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2EF" w:rsidRPr="006E5269" w:rsidRDefault="00287E87" w:rsidP="00287E8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4A77B9B-C36A-4F52-845C-3F799F6EF4C1" style="width:455.25pt;height:310.5pt">
            <v:imagedata r:id="rId8" o:title=""/>
          </v:shape>
        </w:pict>
      </w:r>
    </w:p>
    <w:bookmarkEnd w:id="0"/>
    <w:p w:rsidR="00EF11BF" w:rsidRPr="006E5269" w:rsidRDefault="00EF11BF" w:rsidP="003057BC">
      <w:pPr>
        <w:pStyle w:val="Pagedecouverture"/>
        <w:spacing w:before="240"/>
        <w:rPr>
          <w:noProof/>
        </w:rPr>
        <w:sectPr w:rsidR="00EF11BF" w:rsidRPr="006E5269" w:rsidSect="00287E87">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0"/>
          <w:cols w:space="720"/>
          <w:docGrid w:linePitch="360"/>
        </w:sectPr>
      </w:pPr>
    </w:p>
    <w:bookmarkStart w:id="1" w:name="_GoBack"/>
    <w:bookmarkEnd w:id="1"/>
    <w:p w:rsidR="006E5269" w:rsidRPr="006E5269" w:rsidRDefault="003C5A6F">
      <w:pPr>
        <w:pStyle w:val="TOC2"/>
        <w:tabs>
          <w:tab w:val="right" w:leader="dot" w:pos="9106"/>
        </w:tabs>
        <w:rPr>
          <w:rFonts w:asciiTheme="minorHAnsi" w:eastAsiaTheme="minorEastAsia" w:hAnsiTheme="minorHAnsi" w:cstheme="minorBidi"/>
          <w:noProof/>
          <w:color w:val="auto"/>
          <w:sz w:val="22"/>
          <w:szCs w:val="22"/>
          <w:lang w:bidi="ar-SA"/>
        </w:rPr>
      </w:pPr>
      <w:r w:rsidRPr="006E5269">
        <w:rPr>
          <w:noProof/>
        </w:rPr>
        <w:lastRenderedPageBreak/>
        <w:fldChar w:fldCharType="begin"/>
      </w:r>
      <w:r w:rsidRPr="006E5269">
        <w:rPr>
          <w:noProof/>
        </w:rPr>
        <w:instrText xml:space="preserve"> TOC \o "1-5" \h \z </w:instrText>
      </w:r>
      <w:r w:rsidRPr="006E5269">
        <w:rPr>
          <w:noProof/>
        </w:rPr>
        <w:fldChar w:fldCharType="separate"/>
      </w:r>
      <w:hyperlink w:anchor="_Toc84941893" w:history="1">
        <w:r w:rsidR="006E5269" w:rsidRPr="006E5269">
          <w:rPr>
            <w:rStyle w:val="Hyperlink"/>
            <w:noProof/>
          </w:rPr>
          <w:t>W</w:t>
        </w:r>
        <w:r w:rsidR="006E5269" w:rsidRPr="006E5269">
          <w:rPr>
            <w:rStyle w:val="Hyperlink"/>
            <w:smallCaps/>
            <w:noProof/>
          </w:rPr>
          <w:t>prowadzenie</w:t>
        </w:r>
        <w:r w:rsidR="006E5269" w:rsidRPr="006E5269">
          <w:rPr>
            <w:noProof/>
            <w:webHidden/>
          </w:rPr>
          <w:tab/>
        </w:r>
        <w:r w:rsidR="006E5269" w:rsidRPr="006E5269">
          <w:rPr>
            <w:noProof/>
            <w:webHidden/>
          </w:rPr>
          <w:fldChar w:fldCharType="begin"/>
        </w:r>
        <w:r w:rsidR="006E5269" w:rsidRPr="006E5269">
          <w:rPr>
            <w:noProof/>
            <w:webHidden/>
          </w:rPr>
          <w:instrText xml:space="preserve"> PAGEREF _Toc84941893 \h </w:instrText>
        </w:r>
        <w:r w:rsidR="006E5269" w:rsidRPr="006E5269">
          <w:rPr>
            <w:noProof/>
            <w:webHidden/>
          </w:rPr>
        </w:r>
        <w:r w:rsidR="006E5269" w:rsidRPr="006E5269">
          <w:rPr>
            <w:noProof/>
            <w:webHidden/>
          </w:rPr>
          <w:fldChar w:fldCharType="separate"/>
        </w:r>
        <w:r w:rsidR="00F242E9">
          <w:rPr>
            <w:noProof/>
            <w:webHidden/>
          </w:rPr>
          <w:t>2</w:t>
        </w:r>
        <w:r w:rsidR="006E5269" w:rsidRPr="006E5269">
          <w:rPr>
            <w:noProof/>
            <w:webHidden/>
          </w:rPr>
          <w:fldChar w:fldCharType="end"/>
        </w:r>
      </w:hyperlink>
    </w:p>
    <w:p w:rsidR="006E5269" w:rsidRPr="006E5269" w:rsidRDefault="00287E87">
      <w:pPr>
        <w:pStyle w:val="TOC2"/>
        <w:tabs>
          <w:tab w:val="right" w:leader="dot" w:pos="9106"/>
        </w:tabs>
        <w:rPr>
          <w:rFonts w:asciiTheme="minorHAnsi" w:eastAsiaTheme="minorEastAsia" w:hAnsiTheme="minorHAnsi" w:cstheme="minorBidi"/>
          <w:noProof/>
          <w:color w:val="auto"/>
          <w:sz w:val="22"/>
          <w:szCs w:val="22"/>
          <w:lang w:bidi="ar-SA"/>
        </w:rPr>
      </w:pPr>
      <w:hyperlink w:anchor="_Toc84941894" w:history="1">
        <w:r w:rsidR="006E5269" w:rsidRPr="006E5269">
          <w:rPr>
            <w:rStyle w:val="Hyperlink"/>
            <w:noProof/>
          </w:rPr>
          <w:t>O</w:t>
        </w:r>
        <w:r w:rsidR="006E5269" w:rsidRPr="006E5269">
          <w:rPr>
            <w:rStyle w:val="Hyperlink"/>
            <w:smallCaps/>
            <w:noProof/>
          </w:rPr>
          <w:t>peracje pomocy humanitarnej wsparte</w:t>
        </w:r>
        <w:r w:rsidR="00FD0C71" w:rsidRPr="006E5269">
          <w:rPr>
            <w:rStyle w:val="Hyperlink"/>
            <w:smallCaps/>
            <w:noProof/>
          </w:rPr>
          <w:t xml:space="preserve"> w</w:t>
        </w:r>
        <w:r w:rsidR="00FD0C71">
          <w:rPr>
            <w:rStyle w:val="Hyperlink"/>
            <w:smallCaps/>
            <w:noProof/>
          </w:rPr>
          <w:t> </w:t>
        </w:r>
        <w:r w:rsidR="00FD0C71" w:rsidRPr="006E5269">
          <w:rPr>
            <w:rStyle w:val="Hyperlink"/>
            <w:smallCaps/>
            <w:noProof/>
          </w:rPr>
          <w:t>2</w:t>
        </w:r>
        <w:r w:rsidR="006E5269" w:rsidRPr="006E5269">
          <w:rPr>
            <w:rStyle w:val="Hyperlink"/>
            <w:smallCaps/>
            <w:noProof/>
          </w:rPr>
          <w:t>0</w:t>
        </w:r>
        <w:r w:rsidR="006E5269" w:rsidRPr="00FD0C71">
          <w:rPr>
            <w:rStyle w:val="Hyperlink"/>
            <w:smallCaps/>
            <w:noProof/>
          </w:rPr>
          <w:t>20</w:t>
        </w:r>
        <w:r w:rsidR="00FD0C71" w:rsidRPr="00FD0C71">
          <w:rPr>
            <w:rStyle w:val="Hyperlink"/>
            <w:smallCaps/>
            <w:noProof/>
          </w:rPr>
          <w:t> </w:t>
        </w:r>
        <w:r w:rsidR="006E5269" w:rsidRPr="00FD0C71">
          <w:rPr>
            <w:rStyle w:val="Hyperlink"/>
            <w:smallCaps/>
            <w:noProof/>
          </w:rPr>
          <w:t>r.</w:t>
        </w:r>
        <w:r w:rsidR="006E5269" w:rsidRPr="006E5269">
          <w:rPr>
            <w:noProof/>
            <w:webHidden/>
          </w:rPr>
          <w:tab/>
        </w:r>
        <w:r w:rsidR="006E5269" w:rsidRPr="006E5269">
          <w:rPr>
            <w:noProof/>
            <w:webHidden/>
          </w:rPr>
          <w:fldChar w:fldCharType="begin"/>
        </w:r>
        <w:r w:rsidR="006E5269" w:rsidRPr="006E5269">
          <w:rPr>
            <w:noProof/>
            <w:webHidden/>
          </w:rPr>
          <w:instrText xml:space="preserve"> PAGEREF _Toc84941894 \h </w:instrText>
        </w:r>
        <w:r w:rsidR="006E5269" w:rsidRPr="006E5269">
          <w:rPr>
            <w:noProof/>
            <w:webHidden/>
          </w:rPr>
        </w:r>
        <w:r w:rsidR="006E5269" w:rsidRPr="006E5269">
          <w:rPr>
            <w:noProof/>
            <w:webHidden/>
          </w:rPr>
          <w:fldChar w:fldCharType="separate"/>
        </w:r>
        <w:r w:rsidR="00F242E9">
          <w:rPr>
            <w:noProof/>
            <w:webHidden/>
          </w:rPr>
          <w:t>2</w:t>
        </w:r>
        <w:r w:rsidR="006E5269" w:rsidRPr="006E5269">
          <w:rPr>
            <w:noProof/>
            <w:webHidden/>
          </w:rPr>
          <w:fldChar w:fldCharType="end"/>
        </w:r>
      </w:hyperlink>
    </w:p>
    <w:p w:rsidR="006E5269" w:rsidRPr="006E5269" w:rsidRDefault="00287E87">
      <w:pPr>
        <w:pStyle w:val="TOC3"/>
        <w:tabs>
          <w:tab w:val="right" w:leader="dot" w:pos="9106"/>
        </w:tabs>
        <w:rPr>
          <w:rFonts w:asciiTheme="minorHAnsi" w:eastAsiaTheme="minorEastAsia" w:hAnsiTheme="minorHAnsi" w:cstheme="minorBidi"/>
          <w:noProof/>
          <w:color w:val="auto"/>
          <w:sz w:val="22"/>
          <w:szCs w:val="22"/>
          <w:lang w:bidi="ar-SA"/>
        </w:rPr>
      </w:pPr>
      <w:hyperlink w:anchor="_Toc84941895" w:history="1">
        <w:r w:rsidR="006E5269" w:rsidRPr="006E5269">
          <w:rPr>
            <w:rStyle w:val="Hyperlink"/>
            <w:noProof/>
          </w:rPr>
          <w:t>Przegląd najważniejszych wspartych operacji pomocowych</w:t>
        </w:r>
        <w:r w:rsidR="006E5269" w:rsidRPr="006E5269">
          <w:rPr>
            <w:noProof/>
            <w:webHidden/>
          </w:rPr>
          <w:tab/>
        </w:r>
        <w:r w:rsidR="006E5269" w:rsidRPr="006E5269">
          <w:rPr>
            <w:noProof/>
            <w:webHidden/>
          </w:rPr>
          <w:fldChar w:fldCharType="begin"/>
        </w:r>
        <w:r w:rsidR="006E5269" w:rsidRPr="006E5269">
          <w:rPr>
            <w:noProof/>
            <w:webHidden/>
          </w:rPr>
          <w:instrText xml:space="preserve"> PAGEREF _Toc84941895 \h </w:instrText>
        </w:r>
        <w:r w:rsidR="006E5269" w:rsidRPr="006E5269">
          <w:rPr>
            <w:noProof/>
            <w:webHidden/>
          </w:rPr>
        </w:r>
        <w:r w:rsidR="006E5269" w:rsidRPr="006E5269">
          <w:rPr>
            <w:noProof/>
            <w:webHidden/>
          </w:rPr>
          <w:fldChar w:fldCharType="separate"/>
        </w:r>
        <w:r w:rsidR="00F242E9">
          <w:rPr>
            <w:noProof/>
            <w:webHidden/>
          </w:rPr>
          <w:t>3</w:t>
        </w:r>
        <w:r w:rsidR="006E5269" w:rsidRPr="006E5269">
          <w:rPr>
            <w:noProof/>
            <w:webHidden/>
          </w:rPr>
          <w:fldChar w:fldCharType="end"/>
        </w:r>
      </w:hyperlink>
    </w:p>
    <w:p w:rsidR="006E5269" w:rsidRPr="006E5269" w:rsidRDefault="00287E87">
      <w:pPr>
        <w:pStyle w:val="TOC3"/>
        <w:tabs>
          <w:tab w:val="right" w:leader="dot" w:pos="9106"/>
        </w:tabs>
        <w:rPr>
          <w:rFonts w:asciiTheme="minorHAnsi" w:eastAsiaTheme="minorEastAsia" w:hAnsiTheme="minorHAnsi" w:cstheme="minorBidi"/>
          <w:noProof/>
          <w:color w:val="auto"/>
          <w:sz w:val="22"/>
          <w:szCs w:val="22"/>
          <w:lang w:bidi="ar-SA"/>
        </w:rPr>
      </w:pPr>
      <w:hyperlink w:anchor="_Toc84941896" w:history="1">
        <w:r w:rsidR="006E5269" w:rsidRPr="006E5269">
          <w:rPr>
            <w:rStyle w:val="Hyperlink"/>
            <w:noProof/>
          </w:rPr>
          <w:t>Priorytety horyzontalne</w:t>
        </w:r>
        <w:r w:rsidR="006E5269" w:rsidRPr="006E5269">
          <w:rPr>
            <w:noProof/>
            <w:webHidden/>
          </w:rPr>
          <w:tab/>
        </w:r>
        <w:r w:rsidR="006E5269" w:rsidRPr="006E5269">
          <w:rPr>
            <w:noProof/>
            <w:webHidden/>
          </w:rPr>
          <w:fldChar w:fldCharType="begin"/>
        </w:r>
        <w:r w:rsidR="006E5269" w:rsidRPr="006E5269">
          <w:rPr>
            <w:noProof/>
            <w:webHidden/>
          </w:rPr>
          <w:instrText xml:space="preserve"> PAGEREF _Toc84941896 \h </w:instrText>
        </w:r>
        <w:r w:rsidR="006E5269" w:rsidRPr="006E5269">
          <w:rPr>
            <w:noProof/>
            <w:webHidden/>
          </w:rPr>
        </w:r>
        <w:r w:rsidR="006E5269" w:rsidRPr="006E5269">
          <w:rPr>
            <w:noProof/>
            <w:webHidden/>
          </w:rPr>
          <w:fldChar w:fldCharType="separate"/>
        </w:r>
        <w:r w:rsidR="00F242E9">
          <w:rPr>
            <w:noProof/>
            <w:webHidden/>
          </w:rPr>
          <w:t>12</w:t>
        </w:r>
        <w:r w:rsidR="006E5269" w:rsidRPr="006E5269">
          <w:rPr>
            <w:noProof/>
            <w:webHidden/>
          </w:rPr>
          <w:fldChar w:fldCharType="end"/>
        </w:r>
      </w:hyperlink>
    </w:p>
    <w:p w:rsidR="006E5269" w:rsidRPr="006E5269" w:rsidRDefault="00287E87">
      <w:pPr>
        <w:pStyle w:val="TOC3"/>
        <w:tabs>
          <w:tab w:val="right" w:leader="dot" w:pos="9106"/>
        </w:tabs>
        <w:rPr>
          <w:rFonts w:asciiTheme="minorHAnsi" w:eastAsiaTheme="minorEastAsia" w:hAnsiTheme="minorHAnsi" w:cstheme="minorBidi"/>
          <w:noProof/>
          <w:color w:val="auto"/>
          <w:sz w:val="22"/>
          <w:szCs w:val="22"/>
          <w:lang w:bidi="ar-SA"/>
        </w:rPr>
      </w:pPr>
      <w:hyperlink w:anchor="_Toc84941897" w:history="1">
        <w:r w:rsidR="006E5269" w:rsidRPr="006E5269">
          <w:rPr>
            <w:rStyle w:val="Hyperlink"/>
            <w:noProof/>
          </w:rPr>
          <w:t>Podsumowanie ocen przeprowadzonych</w:t>
        </w:r>
        <w:r w:rsidR="00FD0C71" w:rsidRPr="006E5269">
          <w:rPr>
            <w:rStyle w:val="Hyperlink"/>
            <w:noProof/>
          </w:rPr>
          <w:t xml:space="preserve"> w</w:t>
        </w:r>
        <w:r w:rsidR="00FD0C71">
          <w:rPr>
            <w:rStyle w:val="Hyperlink"/>
            <w:noProof/>
          </w:rPr>
          <w:t> </w:t>
        </w:r>
        <w:r w:rsidR="00FD0C71" w:rsidRPr="006E5269">
          <w:rPr>
            <w:rStyle w:val="Hyperlink"/>
            <w:noProof/>
          </w:rPr>
          <w:t>2</w:t>
        </w:r>
        <w:r w:rsidR="006E5269" w:rsidRPr="006E5269">
          <w:rPr>
            <w:rStyle w:val="Hyperlink"/>
            <w:noProof/>
          </w:rPr>
          <w:t>0</w:t>
        </w:r>
        <w:r w:rsidR="006E5269" w:rsidRPr="00FD0C71">
          <w:rPr>
            <w:rStyle w:val="Hyperlink"/>
            <w:noProof/>
          </w:rPr>
          <w:t>20</w:t>
        </w:r>
        <w:r w:rsidR="00FD0C71" w:rsidRPr="00FD0C71">
          <w:rPr>
            <w:rStyle w:val="Hyperlink"/>
            <w:noProof/>
          </w:rPr>
          <w:t> </w:t>
        </w:r>
        <w:r w:rsidR="006E5269" w:rsidRPr="00FD0C71">
          <w:rPr>
            <w:rStyle w:val="Hyperlink"/>
            <w:noProof/>
          </w:rPr>
          <w:t>r.</w:t>
        </w:r>
        <w:r w:rsidR="006E5269" w:rsidRPr="006E5269">
          <w:rPr>
            <w:noProof/>
            <w:webHidden/>
          </w:rPr>
          <w:tab/>
        </w:r>
        <w:r w:rsidR="006E5269" w:rsidRPr="006E5269">
          <w:rPr>
            <w:noProof/>
            <w:webHidden/>
          </w:rPr>
          <w:fldChar w:fldCharType="begin"/>
        </w:r>
        <w:r w:rsidR="006E5269" w:rsidRPr="006E5269">
          <w:rPr>
            <w:noProof/>
            <w:webHidden/>
          </w:rPr>
          <w:instrText xml:space="preserve"> PAGEREF _Toc84941897 \h </w:instrText>
        </w:r>
        <w:r w:rsidR="006E5269" w:rsidRPr="006E5269">
          <w:rPr>
            <w:noProof/>
            <w:webHidden/>
          </w:rPr>
        </w:r>
        <w:r w:rsidR="006E5269" w:rsidRPr="006E5269">
          <w:rPr>
            <w:noProof/>
            <w:webHidden/>
          </w:rPr>
          <w:fldChar w:fldCharType="separate"/>
        </w:r>
        <w:r w:rsidR="00F242E9">
          <w:rPr>
            <w:noProof/>
            <w:webHidden/>
          </w:rPr>
          <w:t>14</w:t>
        </w:r>
        <w:r w:rsidR="006E5269" w:rsidRPr="006E5269">
          <w:rPr>
            <w:noProof/>
            <w:webHidden/>
          </w:rPr>
          <w:fldChar w:fldCharType="end"/>
        </w:r>
      </w:hyperlink>
    </w:p>
    <w:p w:rsidR="006E5269" w:rsidRPr="006E5269" w:rsidRDefault="00287E87">
      <w:pPr>
        <w:pStyle w:val="TOC3"/>
        <w:tabs>
          <w:tab w:val="right" w:leader="dot" w:pos="9106"/>
        </w:tabs>
        <w:rPr>
          <w:rFonts w:asciiTheme="minorHAnsi" w:eastAsiaTheme="minorEastAsia" w:hAnsiTheme="minorHAnsi" w:cstheme="minorBidi"/>
          <w:noProof/>
          <w:color w:val="auto"/>
          <w:sz w:val="22"/>
          <w:szCs w:val="22"/>
          <w:lang w:bidi="ar-SA"/>
        </w:rPr>
      </w:pPr>
      <w:hyperlink w:anchor="_Toc84941898" w:history="1">
        <w:r w:rsidR="006E5269" w:rsidRPr="006E5269">
          <w:rPr>
            <w:rStyle w:val="Hyperlink"/>
            <w:noProof/>
          </w:rPr>
          <w:t xml:space="preserve">Budżet </w:t>
        </w:r>
        <w:r w:rsidR="006E5269" w:rsidRPr="00FD0C71">
          <w:rPr>
            <w:rStyle w:val="Hyperlink"/>
            <w:noProof/>
          </w:rPr>
          <w:t>na</w:t>
        </w:r>
        <w:r w:rsidR="00FD0C71" w:rsidRPr="00FD0C71">
          <w:rPr>
            <w:rStyle w:val="Hyperlink"/>
            <w:noProof/>
          </w:rPr>
          <w:t> </w:t>
        </w:r>
        <w:r w:rsidR="006E5269" w:rsidRPr="00FD0C71">
          <w:rPr>
            <w:rStyle w:val="Hyperlink"/>
            <w:noProof/>
          </w:rPr>
          <w:t>2</w:t>
        </w:r>
        <w:r w:rsidR="006E5269" w:rsidRPr="006E5269">
          <w:rPr>
            <w:rStyle w:val="Hyperlink"/>
            <w:noProof/>
          </w:rPr>
          <w:t>0</w:t>
        </w:r>
        <w:r w:rsidR="006E5269" w:rsidRPr="00FD0C71">
          <w:rPr>
            <w:rStyle w:val="Hyperlink"/>
            <w:noProof/>
          </w:rPr>
          <w:t>20</w:t>
        </w:r>
        <w:r w:rsidR="00FD0C71" w:rsidRPr="00FD0C71">
          <w:rPr>
            <w:rStyle w:val="Hyperlink"/>
            <w:noProof/>
          </w:rPr>
          <w:t> </w:t>
        </w:r>
        <w:r w:rsidR="006E5269" w:rsidRPr="00FD0C71">
          <w:rPr>
            <w:rStyle w:val="Hyperlink"/>
            <w:noProof/>
          </w:rPr>
          <w:t>r.</w:t>
        </w:r>
        <w:r w:rsidR="006E5269" w:rsidRPr="006E5269">
          <w:rPr>
            <w:noProof/>
            <w:webHidden/>
          </w:rPr>
          <w:tab/>
        </w:r>
        <w:r w:rsidR="006E5269" w:rsidRPr="006E5269">
          <w:rPr>
            <w:noProof/>
            <w:webHidden/>
          </w:rPr>
          <w:fldChar w:fldCharType="begin"/>
        </w:r>
        <w:r w:rsidR="006E5269" w:rsidRPr="006E5269">
          <w:rPr>
            <w:noProof/>
            <w:webHidden/>
          </w:rPr>
          <w:instrText xml:space="preserve"> PAGEREF _Toc84941898 \h </w:instrText>
        </w:r>
        <w:r w:rsidR="006E5269" w:rsidRPr="006E5269">
          <w:rPr>
            <w:noProof/>
            <w:webHidden/>
          </w:rPr>
        </w:r>
        <w:r w:rsidR="006E5269" w:rsidRPr="006E5269">
          <w:rPr>
            <w:noProof/>
            <w:webHidden/>
          </w:rPr>
          <w:fldChar w:fldCharType="separate"/>
        </w:r>
        <w:r w:rsidR="00F242E9">
          <w:rPr>
            <w:noProof/>
            <w:webHidden/>
          </w:rPr>
          <w:t>16</w:t>
        </w:r>
        <w:r w:rsidR="006E5269" w:rsidRPr="006E5269">
          <w:rPr>
            <w:noProof/>
            <w:webHidden/>
          </w:rPr>
          <w:fldChar w:fldCharType="end"/>
        </w:r>
      </w:hyperlink>
    </w:p>
    <w:p w:rsidR="006E5269" w:rsidRPr="006E5269" w:rsidRDefault="00287E87">
      <w:pPr>
        <w:pStyle w:val="TOC3"/>
        <w:tabs>
          <w:tab w:val="right" w:leader="dot" w:pos="9106"/>
        </w:tabs>
        <w:rPr>
          <w:rFonts w:asciiTheme="minorHAnsi" w:eastAsiaTheme="minorEastAsia" w:hAnsiTheme="minorHAnsi" w:cstheme="minorBidi"/>
          <w:noProof/>
          <w:color w:val="auto"/>
          <w:sz w:val="22"/>
          <w:szCs w:val="22"/>
          <w:lang w:bidi="ar-SA"/>
        </w:rPr>
      </w:pPr>
      <w:hyperlink w:anchor="_Toc84941899" w:history="1">
        <w:r w:rsidR="006E5269" w:rsidRPr="006E5269">
          <w:rPr>
            <w:rStyle w:val="Hyperlink"/>
            <w:noProof/>
          </w:rPr>
          <w:t>Dodatkowe informacje</w:t>
        </w:r>
        <w:r w:rsidR="00FD0C71" w:rsidRPr="006E5269">
          <w:rPr>
            <w:rStyle w:val="Hyperlink"/>
            <w:noProof/>
          </w:rPr>
          <w:t xml:space="preserve"> i</w:t>
        </w:r>
        <w:r w:rsidR="00FD0C71">
          <w:rPr>
            <w:rStyle w:val="Hyperlink"/>
            <w:noProof/>
          </w:rPr>
          <w:t> </w:t>
        </w:r>
        <w:r w:rsidR="00FD0C71" w:rsidRPr="006E5269">
          <w:rPr>
            <w:rStyle w:val="Hyperlink"/>
            <w:noProof/>
          </w:rPr>
          <w:t>źró</w:t>
        </w:r>
        <w:r w:rsidR="006E5269" w:rsidRPr="006E5269">
          <w:rPr>
            <w:rStyle w:val="Hyperlink"/>
            <w:noProof/>
          </w:rPr>
          <w:t>dła</w:t>
        </w:r>
        <w:r w:rsidR="006E5269" w:rsidRPr="006E5269">
          <w:rPr>
            <w:noProof/>
            <w:webHidden/>
          </w:rPr>
          <w:tab/>
        </w:r>
        <w:r w:rsidR="006E5269" w:rsidRPr="006E5269">
          <w:rPr>
            <w:noProof/>
            <w:webHidden/>
          </w:rPr>
          <w:fldChar w:fldCharType="begin"/>
        </w:r>
        <w:r w:rsidR="006E5269" w:rsidRPr="006E5269">
          <w:rPr>
            <w:noProof/>
            <w:webHidden/>
          </w:rPr>
          <w:instrText xml:space="preserve"> PAGEREF _Toc84941899 \h </w:instrText>
        </w:r>
        <w:r w:rsidR="006E5269" w:rsidRPr="006E5269">
          <w:rPr>
            <w:noProof/>
            <w:webHidden/>
          </w:rPr>
        </w:r>
        <w:r w:rsidR="006E5269" w:rsidRPr="006E5269">
          <w:rPr>
            <w:noProof/>
            <w:webHidden/>
          </w:rPr>
          <w:fldChar w:fldCharType="separate"/>
        </w:r>
        <w:r w:rsidR="00F242E9">
          <w:rPr>
            <w:noProof/>
            <w:webHidden/>
          </w:rPr>
          <w:t>17</w:t>
        </w:r>
        <w:r w:rsidR="006E5269" w:rsidRPr="006E5269">
          <w:rPr>
            <w:noProof/>
            <w:webHidden/>
          </w:rPr>
          <w:fldChar w:fldCharType="end"/>
        </w:r>
      </w:hyperlink>
    </w:p>
    <w:p w:rsidR="006E5269" w:rsidRPr="006E5269" w:rsidRDefault="00287E87">
      <w:pPr>
        <w:pStyle w:val="TOC3"/>
        <w:tabs>
          <w:tab w:val="right" w:leader="dot" w:pos="9106"/>
        </w:tabs>
        <w:rPr>
          <w:rFonts w:asciiTheme="minorHAnsi" w:eastAsiaTheme="minorEastAsia" w:hAnsiTheme="minorHAnsi" w:cstheme="minorBidi"/>
          <w:noProof/>
          <w:color w:val="auto"/>
          <w:sz w:val="22"/>
          <w:szCs w:val="22"/>
          <w:lang w:bidi="ar-SA"/>
        </w:rPr>
      </w:pPr>
      <w:hyperlink w:anchor="_Toc84941900" w:history="1">
        <w:r w:rsidR="006E5269" w:rsidRPr="006E5269">
          <w:rPr>
            <w:rStyle w:val="Hyperlink"/>
            <w:noProof/>
          </w:rPr>
          <w:t>Partnerzy wykonawczy DG ECHO (2020)</w:t>
        </w:r>
        <w:r w:rsidR="006E5269" w:rsidRPr="006E5269">
          <w:rPr>
            <w:noProof/>
            <w:webHidden/>
          </w:rPr>
          <w:tab/>
        </w:r>
        <w:r w:rsidR="006E5269" w:rsidRPr="006E5269">
          <w:rPr>
            <w:noProof/>
            <w:webHidden/>
          </w:rPr>
          <w:fldChar w:fldCharType="begin"/>
        </w:r>
        <w:r w:rsidR="006E5269" w:rsidRPr="006E5269">
          <w:rPr>
            <w:noProof/>
            <w:webHidden/>
          </w:rPr>
          <w:instrText xml:space="preserve"> PAGEREF _Toc84941900 \h </w:instrText>
        </w:r>
        <w:r w:rsidR="006E5269" w:rsidRPr="006E5269">
          <w:rPr>
            <w:noProof/>
            <w:webHidden/>
          </w:rPr>
        </w:r>
        <w:r w:rsidR="006E5269" w:rsidRPr="006E5269">
          <w:rPr>
            <w:noProof/>
            <w:webHidden/>
          </w:rPr>
          <w:fldChar w:fldCharType="separate"/>
        </w:r>
        <w:r w:rsidR="00F242E9">
          <w:rPr>
            <w:noProof/>
            <w:webHidden/>
          </w:rPr>
          <w:t>17</w:t>
        </w:r>
        <w:r w:rsidR="006E5269" w:rsidRPr="006E5269">
          <w:rPr>
            <w:noProof/>
            <w:webHidden/>
          </w:rPr>
          <w:fldChar w:fldCharType="end"/>
        </w:r>
      </w:hyperlink>
    </w:p>
    <w:p w:rsidR="00A1277F" w:rsidRPr="006E5269" w:rsidRDefault="003C5A6F" w:rsidP="003057BC">
      <w:pPr>
        <w:pStyle w:val="TOC2"/>
        <w:shd w:val="clear" w:color="auto" w:fill="auto"/>
        <w:tabs>
          <w:tab w:val="left" w:leader="dot" w:pos="8872"/>
        </w:tabs>
        <w:rPr>
          <w:noProof/>
        </w:rPr>
        <w:sectPr w:rsidR="00A1277F" w:rsidRPr="006E5269">
          <w:headerReference w:type="even" r:id="rId15"/>
          <w:headerReference w:type="default" r:id="rId16"/>
          <w:footerReference w:type="even" r:id="rId17"/>
          <w:footerReference w:type="default" r:id="rId18"/>
          <w:headerReference w:type="first" r:id="rId19"/>
          <w:footerReference w:type="first" r:id="rId20"/>
          <w:pgSz w:w="11900" w:h="16840"/>
          <w:pgMar w:top="1656" w:right="1410" w:bottom="9614" w:left="1374" w:header="0" w:footer="3" w:gutter="0"/>
          <w:pgNumType w:start="1"/>
          <w:cols w:space="720"/>
          <w:noEndnote/>
          <w:docGrid w:linePitch="360"/>
        </w:sectPr>
      </w:pPr>
      <w:r w:rsidRPr="006E5269">
        <w:rPr>
          <w:noProof/>
        </w:rPr>
        <w:fldChar w:fldCharType="end"/>
      </w:r>
    </w:p>
    <w:p w:rsidR="00836C6E" w:rsidRPr="006E5269" w:rsidRDefault="00836C6E" w:rsidP="003057BC">
      <w:pPr>
        <w:pStyle w:val="Heading210"/>
        <w:keepNext/>
        <w:keepLines/>
        <w:shd w:val="clear" w:color="auto" w:fill="auto"/>
        <w:spacing w:before="240" w:after="330" w:line="240" w:lineRule="auto"/>
        <w:ind w:left="20"/>
        <w:jc w:val="both"/>
        <w:rPr>
          <w:noProof/>
          <w:color w:val="0070C0"/>
        </w:rPr>
      </w:pPr>
      <w:bookmarkStart w:id="2" w:name="_Toc84941893"/>
      <w:bookmarkStart w:id="3" w:name="bookmark13"/>
      <w:r w:rsidRPr="006E5269">
        <w:rPr>
          <w:rStyle w:val="Heading211"/>
          <w:b/>
          <w:bCs/>
          <w:noProof/>
          <w:color w:val="0070C0"/>
          <w:u w:val="none"/>
        </w:rPr>
        <w:t>W</w:t>
      </w:r>
      <w:r w:rsidRPr="006E5269">
        <w:rPr>
          <w:rStyle w:val="Heading21SmallCaps"/>
          <w:b/>
          <w:bCs/>
          <w:noProof/>
          <w:color w:val="0070C0"/>
          <w:u w:val="none"/>
        </w:rPr>
        <w:t>prowadzenie</w:t>
      </w:r>
      <w:bookmarkEnd w:id="2"/>
    </w:p>
    <w:p w:rsidR="000E7943" w:rsidRPr="006E5269" w:rsidRDefault="00836C6E" w:rsidP="00B917D6">
      <w:pPr>
        <w:pStyle w:val="Bodytext20"/>
        <w:shd w:val="clear" w:color="auto" w:fill="auto"/>
        <w:spacing w:before="240" w:after="120" w:line="240" w:lineRule="auto"/>
        <w:ind w:firstLine="0"/>
        <w:jc w:val="both"/>
        <w:rPr>
          <w:noProof/>
        </w:rPr>
      </w:pPr>
      <w:bookmarkStart w:id="4" w:name="bookmark4"/>
      <w:r w:rsidRPr="006E5269">
        <w:rPr>
          <w:noProof/>
        </w:rPr>
        <w:t>W niniejszym sprawozdaniu przedstawiono najważniejsze działania</w:t>
      </w:r>
      <w:r w:rsidR="00FD0C71" w:rsidRPr="006E5269">
        <w:rPr>
          <w:noProof/>
        </w:rPr>
        <w:t xml:space="preserve"> i</w:t>
      </w:r>
      <w:r w:rsidR="00FD0C71">
        <w:rPr>
          <w:noProof/>
        </w:rPr>
        <w:t> </w:t>
      </w:r>
      <w:r w:rsidR="00FD0C71" w:rsidRPr="006E5269">
        <w:rPr>
          <w:noProof/>
        </w:rPr>
        <w:t>osi</w:t>
      </w:r>
      <w:r w:rsidRPr="006E5269">
        <w:rPr>
          <w:noProof/>
        </w:rPr>
        <w:t>ągnięcia UE</w:t>
      </w:r>
      <w:r w:rsidR="00FD0C71" w:rsidRPr="006E5269">
        <w:rPr>
          <w:noProof/>
        </w:rPr>
        <w:t xml:space="preserve"> w</w:t>
      </w:r>
      <w:r w:rsidR="00FD0C71">
        <w:rPr>
          <w:noProof/>
        </w:rPr>
        <w:t> </w:t>
      </w:r>
      <w:r w:rsidR="00FD0C71" w:rsidRPr="006E5269">
        <w:rPr>
          <w:noProof/>
        </w:rPr>
        <w:t>obs</w:t>
      </w:r>
      <w:r w:rsidRPr="006E5269">
        <w:rPr>
          <w:noProof/>
        </w:rPr>
        <w:t>zarze pomocy humanitarnej</w:t>
      </w:r>
      <w:r w:rsidR="00FD0C71" w:rsidRPr="006E5269">
        <w:rPr>
          <w:noProof/>
        </w:rPr>
        <w:t xml:space="preserve"> w</w:t>
      </w:r>
      <w:r w:rsidR="00FD0C71">
        <w:rPr>
          <w:noProof/>
        </w:rPr>
        <w:t> </w:t>
      </w:r>
      <w:r w:rsidR="00FD0C71" w:rsidRPr="006E5269">
        <w:rPr>
          <w:noProof/>
        </w:rPr>
        <w:t>2</w:t>
      </w:r>
      <w:r w:rsidRPr="006E5269">
        <w:rPr>
          <w:noProof/>
        </w:rPr>
        <w:t>0</w:t>
      </w:r>
      <w:r w:rsidRPr="00FD0C71">
        <w:rPr>
          <w:noProof/>
        </w:rPr>
        <w:t>20</w:t>
      </w:r>
      <w:r w:rsidR="00FD0C71" w:rsidRPr="00FD0C71">
        <w:rPr>
          <w:noProof/>
        </w:rPr>
        <w:t> </w:t>
      </w:r>
      <w:r w:rsidRPr="00FD0C71">
        <w:rPr>
          <w:noProof/>
        </w:rPr>
        <w:t>r.</w:t>
      </w:r>
      <w:r w:rsidRPr="006E5269">
        <w:rPr>
          <w:noProof/>
        </w:rPr>
        <w:t xml:space="preserve"> sfinansowane za pośrednictwem Komisji Europejskiej (Komisja). </w:t>
      </w:r>
    </w:p>
    <w:p w:rsidR="00836C6E" w:rsidRPr="006E5269" w:rsidRDefault="00836C6E" w:rsidP="003057BC">
      <w:pPr>
        <w:pStyle w:val="Bodytext20"/>
        <w:shd w:val="clear" w:color="auto" w:fill="auto"/>
        <w:spacing w:before="240" w:after="410" w:line="240" w:lineRule="auto"/>
        <w:ind w:firstLine="0"/>
        <w:jc w:val="both"/>
        <w:rPr>
          <w:noProof/>
        </w:rPr>
      </w:pPr>
      <w:r w:rsidRPr="006E5269">
        <w:rPr>
          <w:noProof/>
        </w:rPr>
        <w:t>Sprawozdanie przygotowano zgodnie</w:t>
      </w:r>
      <w:r w:rsidR="00FD0C71" w:rsidRPr="006E5269">
        <w:rPr>
          <w:noProof/>
        </w:rPr>
        <w:t xml:space="preserve"> z</w:t>
      </w:r>
      <w:r w:rsidR="00FD0C71">
        <w:rPr>
          <w:noProof/>
        </w:rPr>
        <w:t> </w:t>
      </w:r>
      <w:r w:rsidR="00FD0C71" w:rsidRPr="00FD0C71">
        <w:rPr>
          <w:noProof/>
        </w:rPr>
        <w:t>art</w:t>
      </w:r>
      <w:r w:rsidRPr="00FD0C71">
        <w:rPr>
          <w:noProof/>
        </w:rPr>
        <w:t>.</w:t>
      </w:r>
      <w:r w:rsidR="00FD0C71" w:rsidRPr="00FD0C71">
        <w:rPr>
          <w:noProof/>
        </w:rPr>
        <w:t> </w:t>
      </w:r>
      <w:r w:rsidRPr="00FD0C71">
        <w:rPr>
          <w:noProof/>
        </w:rPr>
        <w:t>1</w:t>
      </w:r>
      <w:r w:rsidRPr="006E5269">
        <w:rPr>
          <w:noProof/>
        </w:rPr>
        <w:t xml:space="preserve">9 rozporządzenia Rady (WE) </w:t>
      </w:r>
      <w:r w:rsidRPr="00FD0C71">
        <w:rPr>
          <w:noProof/>
        </w:rPr>
        <w:t>nr</w:t>
      </w:r>
      <w:r w:rsidR="00FD0C71" w:rsidRPr="00FD0C71">
        <w:rPr>
          <w:noProof/>
        </w:rPr>
        <w:t> </w:t>
      </w:r>
      <w:r w:rsidRPr="00FD0C71">
        <w:rPr>
          <w:noProof/>
        </w:rPr>
        <w:t>1</w:t>
      </w:r>
      <w:r w:rsidRPr="006E5269">
        <w:rPr>
          <w:noProof/>
        </w:rPr>
        <w:t>257/96</w:t>
      </w:r>
      <w:r w:rsidR="00FD0C71" w:rsidRPr="006E5269">
        <w:rPr>
          <w:noProof/>
        </w:rPr>
        <w:t xml:space="preserve"> z</w:t>
      </w:r>
      <w:r w:rsidR="00FD0C71">
        <w:rPr>
          <w:noProof/>
        </w:rPr>
        <w:t> </w:t>
      </w:r>
      <w:r w:rsidR="00FD0C71" w:rsidRPr="006E5269">
        <w:rPr>
          <w:noProof/>
        </w:rPr>
        <w:t>dni</w:t>
      </w:r>
      <w:r w:rsidRPr="006E5269">
        <w:rPr>
          <w:noProof/>
        </w:rPr>
        <w:t>a 20 czerwca 19</w:t>
      </w:r>
      <w:r w:rsidRPr="00FD0C71">
        <w:rPr>
          <w:noProof/>
        </w:rPr>
        <w:t>96</w:t>
      </w:r>
      <w:r w:rsidR="00FD0C71" w:rsidRPr="00FD0C71">
        <w:rPr>
          <w:noProof/>
        </w:rPr>
        <w:t> </w:t>
      </w:r>
      <w:r w:rsidRPr="00FD0C71">
        <w:rPr>
          <w:noProof/>
        </w:rPr>
        <w:t>r.</w:t>
      </w:r>
      <w:bookmarkEnd w:id="4"/>
      <w:r w:rsidRPr="006E5269">
        <w:rPr>
          <w:rStyle w:val="FootnoteReference"/>
          <w:noProof/>
        </w:rPr>
        <w:footnoteReference w:id="1"/>
      </w:r>
      <w:r w:rsidRPr="006E5269">
        <w:rPr>
          <w:noProof/>
        </w:rPr>
        <w:t>.</w:t>
      </w:r>
    </w:p>
    <w:p w:rsidR="00836C6E" w:rsidRPr="006E5269" w:rsidRDefault="00836C6E" w:rsidP="003057BC">
      <w:pPr>
        <w:pStyle w:val="Heading210"/>
        <w:keepNext/>
        <w:keepLines/>
        <w:shd w:val="clear" w:color="auto" w:fill="auto"/>
        <w:spacing w:before="240" w:after="0" w:line="240" w:lineRule="auto"/>
        <w:ind w:left="20"/>
        <w:jc w:val="both"/>
        <w:rPr>
          <w:noProof/>
          <w:color w:val="0070C0"/>
        </w:rPr>
      </w:pPr>
      <w:bookmarkStart w:id="5" w:name="_Toc84941894"/>
      <w:r w:rsidRPr="006E5269">
        <w:rPr>
          <w:rStyle w:val="Heading211"/>
          <w:b/>
          <w:bCs/>
          <w:noProof/>
          <w:color w:val="0070C0"/>
          <w:u w:val="none"/>
        </w:rPr>
        <w:t>O</w:t>
      </w:r>
      <w:r w:rsidRPr="006E5269">
        <w:rPr>
          <w:rStyle w:val="Heading21SmallCaps"/>
          <w:b/>
          <w:bCs/>
          <w:noProof/>
          <w:color w:val="0070C0"/>
          <w:u w:val="none"/>
        </w:rPr>
        <w:t>peracje pomocy humanitarnej wsparte</w:t>
      </w:r>
      <w:r w:rsidR="00FD0C71" w:rsidRPr="006E5269">
        <w:rPr>
          <w:rStyle w:val="Heading21SmallCaps"/>
          <w:b/>
          <w:bCs/>
          <w:noProof/>
          <w:color w:val="0070C0"/>
          <w:u w:val="none"/>
        </w:rPr>
        <w:t xml:space="preserve"> w</w:t>
      </w:r>
      <w:r w:rsidR="00FD0C71">
        <w:rPr>
          <w:rStyle w:val="Heading21SmallCaps"/>
          <w:b/>
          <w:bCs/>
          <w:noProof/>
          <w:color w:val="0070C0"/>
          <w:u w:val="none"/>
        </w:rPr>
        <w:t> </w:t>
      </w:r>
      <w:r w:rsidR="00FD0C71" w:rsidRPr="006E5269">
        <w:rPr>
          <w:rStyle w:val="Heading21SmallCaps"/>
          <w:b/>
          <w:bCs/>
          <w:noProof/>
          <w:color w:val="0070C0"/>
          <w:u w:val="none"/>
        </w:rPr>
        <w:t>2</w:t>
      </w:r>
      <w:r w:rsidRPr="006E5269">
        <w:rPr>
          <w:rStyle w:val="Heading21SmallCaps"/>
          <w:b/>
          <w:bCs/>
          <w:noProof/>
          <w:color w:val="0070C0"/>
          <w:u w:val="none"/>
        </w:rPr>
        <w:t>0</w:t>
      </w:r>
      <w:r w:rsidRPr="00FD0C71">
        <w:rPr>
          <w:rStyle w:val="Heading21SmallCaps"/>
          <w:b/>
          <w:bCs/>
          <w:noProof/>
          <w:color w:val="0070C0"/>
          <w:u w:val="none"/>
        </w:rPr>
        <w:t>20</w:t>
      </w:r>
      <w:r w:rsidR="00FD0C71" w:rsidRPr="00FD0C71">
        <w:rPr>
          <w:rStyle w:val="Heading21SmallCaps"/>
          <w:b/>
          <w:bCs/>
          <w:noProof/>
          <w:color w:val="0070C0"/>
          <w:u w:val="none"/>
        </w:rPr>
        <w:t> </w:t>
      </w:r>
      <w:r w:rsidRPr="00FD0C71">
        <w:rPr>
          <w:rStyle w:val="Heading21SmallCaps"/>
          <w:b/>
          <w:bCs/>
          <w:noProof/>
          <w:color w:val="0070C0"/>
          <w:u w:val="none"/>
        </w:rPr>
        <w:t>r.</w:t>
      </w:r>
      <w:bookmarkEnd w:id="5"/>
    </w:p>
    <w:p w:rsidR="00D04A2D" w:rsidRPr="006E5269" w:rsidRDefault="00D04A2D" w:rsidP="00416917">
      <w:pPr>
        <w:spacing w:before="240" w:after="120"/>
        <w:jc w:val="both"/>
        <w:rPr>
          <w:noProof/>
        </w:rPr>
      </w:pPr>
      <w:r w:rsidRPr="006E5269">
        <w:rPr>
          <w:noProof/>
        </w:rPr>
        <w:t>W 20</w:t>
      </w:r>
      <w:r w:rsidRPr="00FD0C71">
        <w:rPr>
          <w:noProof/>
        </w:rPr>
        <w:t>20</w:t>
      </w:r>
      <w:r w:rsidR="00FD0C71" w:rsidRPr="00FD0C71">
        <w:rPr>
          <w:noProof/>
        </w:rPr>
        <w:t> </w:t>
      </w:r>
      <w:r w:rsidRPr="00FD0C71">
        <w:rPr>
          <w:noProof/>
        </w:rPr>
        <w:t>r.</w:t>
      </w:r>
      <w:r w:rsidRPr="006E5269">
        <w:rPr>
          <w:noProof/>
        </w:rPr>
        <w:t xml:space="preserve"> potrzeby humanitarne wzrastały</w:t>
      </w:r>
      <w:r w:rsidR="00FD0C71" w:rsidRPr="006E5269">
        <w:rPr>
          <w:noProof/>
        </w:rPr>
        <w:t xml:space="preserve"> w</w:t>
      </w:r>
      <w:r w:rsidR="00FD0C71">
        <w:rPr>
          <w:noProof/>
        </w:rPr>
        <w:t> </w:t>
      </w:r>
      <w:r w:rsidR="00FD0C71" w:rsidRPr="006E5269">
        <w:rPr>
          <w:noProof/>
        </w:rPr>
        <w:t>wyn</w:t>
      </w:r>
      <w:r w:rsidRPr="006E5269">
        <w:rPr>
          <w:noProof/>
        </w:rPr>
        <w:t>iku złożonych kryzysów, klęsk żywiołowych</w:t>
      </w:r>
      <w:r w:rsidR="00FD0C71" w:rsidRPr="006E5269">
        <w:rPr>
          <w:noProof/>
        </w:rPr>
        <w:t xml:space="preserve"> i</w:t>
      </w:r>
      <w:r w:rsidR="00FD0C71">
        <w:rPr>
          <w:noProof/>
        </w:rPr>
        <w:t> </w:t>
      </w:r>
      <w:r w:rsidR="00FD0C71" w:rsidRPr="006E5269">
        <w:rPr>
          <w:noProof/>
        </w:rPr>
        <w:t>kry</w:t>
      </w:r>
      <w:r w:rsidRPr="006E5269">
        <w:rPr>
          <w:noProof/>
        </w:rPr>
        <w:t>zysów zdrowotnych,</w:t>
      </w:r>
      <w:r w:rsidR="00FD0C71" w:rsidRPr="006E5269">
        <w:rPr>
          <w:noProof/>
        </w:rPr>
        <w:t xml:space="preserve"> w</w:t>
      </w:r>
      <w:r w:rsidR="00FD0C71">
        <w:rPr>
          <w:noProof/>
        </w:rPr>
        <w:t> </w:t>
      </w:r>
      <w:r w:rsidR="00FD0C71" w:rsidRPr="006E5269">
        <w:rPr>
          <w:noProof/>
        </w:rPr>
        <w:t>szc</w:t>
      </w:r>
      <w:r w:rsidRPr="006E5269">
        <w:rPr>
          <w:noProof/>
        </w:rPr>
        <w:t>zególności pandemii COVID-19. Komisja, za pośrednictwem Dyrekcji Generalnej ds. Prowadzonych przez UE Operacji Ochrony Ludności</w:t>
      </w:r>
      <w:r w:rsidR="00FD0C71" w:rsidRPr="006E5269">
        <w:rPr>
          <w:noProof/>
        </w:rPr>
        <w:t xml:space="preserve"> i</w:t>
      </w:r>
      <w:r w:rsidR="00FD0C71">
        <w:rPr>
          <w:noProof/>
        </w:rPr>
        <w:t> </w:t>
      </w:r>
      <w:r w:rsidR="00FD0C71" w:rsidRPr="006E5269">
        <w:rPr>
          <w:noProof/>
        </w:rPr>
        <w:t>Pom</w:t>
      </w:r>
      <w:r w:rsidRPr="006E5269">
        <w:rPr>
          <w:noProof/>
        </w:rPr>
        <w:t>ocy Humanitarnej (DG ECHO), była nadal wiodącym darczyńcą pomocy humanitarnej, przydzielając 2,1 mld EUR do ponad 80 krajów, aby wspierać miliony osób znajdujących się</w:t>
      </w:r>
      <w:r w:rsidR="00FD0C71" w:rsidRPr="006E5269">
        <w:rPr>
          <w:noProof/>
        </w:rPr>
        <w:t xml:space="preserve"> w</w:t>
      </w:r>
      <w:r w:rsidR="00FD0C71">
        <w:rPr>
          <w:noProof/>
        </w:rPr>
        <w:t> </w:t>
      </w:r>
      <w:r w:rsidR="00FD0C71" w:rsidRPr="006E5269">
        <w:rPr>
          <w:noProof/>
        </w:rPr>
        <w:t>pot</w:t>
      </w:r>
      <w:r w:rsidRPr="006E5269">
        <w:rPr>
          <w:noProof/>
        </w:rPr>
        <w:t>rzebie. Silne skutki pandemii COVID-19 pogorszyły bardzo trudną sytuację ludności narażonej na zagrożenia. Działania humanitarne UE</w:t>
      </w:r>
      <w:r w:rsidR="00FD0C71" w:rsidRPr="006E5269">
        <w:rPr>
          <w:noProof/>
        </w:rPr>
        <w:t xml:space="preserve"> w</w:t>
      </w:r>
      <w:r w:rsidR="00FD0C71">
        <w:rPr>
          <w:noProof/>
        </w:rPr>
        <w:t> </w:t>
      </w:r>
      <w:r w:rsidR="00FD0C71" w:rsidRPr="006E5269">
        <w:rPr>
          <w:noProof/>
        </w:rPr>
        <w:t>rea</w:t>
      </w:r>
      <w:r w:rsidRPr="006E5269">
        <w:rPr>
          <w:noProof/>
        </w:rPr>
        <w:t>kcji na potrzeby wynikające</w:t>
      </w:r>
      <w:r w:rsidR="00FD0C71" w:rsidRPr="006E5269">
        <w:rPr>
          <w:noProof/>
        </w:rPr>
        <w:t xml:space="preserve"> z</w:t>
      </w:r>
      <w:r w:rsidR="00FD0C71">
        <w:rPr>
          <w:noProof/>
        </w:rPr>
        <w:t> </w:t>
      </w:r>
      <w:r w:rsidR="00FD0C71" w:rsidRPr="006E5269">
        <w:rPr>
          <w:noProof/>
        </w:rPr>
        <w:t>pan</w:t>
      </w:r>
      <w:r w:rsidRPr="006E5269">
        <w:rPr>
          <w:noProof/>
        </w:rPr>
        <w:t>demii miały wartość 450 mln EUR,</w:t>
      </w:r>
      <w:r w:rsidR="00FD0C71" w:rsidRPr="006E5269">
        <w:rPr>
          <w:noProof/>
        </w:rPr>
        <w:t xml:space="preserve"> a</w:t>
      </w:r>
      <w:r w:rsidR="00FD0C71">
        <w:rPr>
          <w:noProof/>
        </w:rPr>
        <w:t> </w:t>
      </w:r>
      <w:r w:rsidR="00FD0C71" w:rsidRPr="006E5269">
        <w:rPr>
          <w:noProof/>
        </w:rPr>
        <w:t>Kom</w:t>
      </w:r>
      <w:r w:rsidRPr="006E5269">
        <w:rPr>
          <w:noProof/>
        </w:rPr>
        <w:t xml:space="preserve">isja uruchomiła również Unijny humanitarny most powietrzny jako działanie ad hoc, zapewniając pomoc – dzięki 67 zrealizowanym lotom – 20 krajom na całym świecie. </w:t>
      </w:r>
    </w:p>
    <w:p w:rsidR="000E7943" w:rsidRPr="006E5269" w:rsidRDefault="00DB5276" w:rsidP="00416917">
      <w:pPr>
        <w:spacing w:before="240" w:after="120"/>
        <w:jc w:val="both"/>
        <w:rPr>
          <w:noProof/>
        </w:rPr>
      </w:pPr>
      <w:r w:rsidRPr="006E5269">
        <w:rPr>
          <w:noProof/>
        </w:rPr>
        <w:t>Wraz</w:t>
      </w:r>
      <w:r w:rsidR="00FD0C71" w:rsidRPr="006E5269">
        <w:rPr>
          <w:noProof/>
        </w:rPr>
        <w:t xml:space="preserve"> z</w:t>
      </w:r>
      <w:r w:rsidR="00FD0C71">
        <w:rPr>
          <w:noProof/>
        </w:rPr>
        <w:t> </w:t>
      </w:r>
      <w:r w:rsidR="00FD0C71" w:rsidRPr="006E5269">
        <w:rPr>
          <w:noProof/>
        </w:rPr>
        <w:t>Afr</w:t>
      </w:r>
      <w:r w:rsidRPr="006E5269">
        <w:rPr>
          <w:noProof/>
        </w:rPr>
        <w:t>yką, która otrzymała istotną część pomocy, znaczna część unijnej pomocy humanitarnej nadal była przeznaczona na potrzeby ludności odczuwającej skutki kryzysu</w:t>
      </w:r>
      <w:r w:rsidR="00FD0C71" w:rsidRPr="006E5269">
        <w:rPr>
          <w:noProof/>
        </w:rPr>
        <w:t xml:space="preserve"> w</w:t>
      </w:r>
      <w:r w:rsidR="00FD0C71">
        <w:rPr>
          <w:noProof/>
        </w:rPr>
        <w:t> </w:t>
      </w:r>
      <w:r w:rsidR="00FD0C71" w:rsidRPr="006E5269">
        <w:rPr>
          <w:noProof/>
        </w:rPr>
        <w:t>Syr</w:t>
      </w:r>
      <w:r w:rsidRPr="006E5269">
        <w:rPr>
          <w:noProof/>
        </w:rPr>
        <w:t>ii</w:t>
      </w:r>
      <w:r w:rsidR="00FD0C71" w:rsidRPr="006E5269">
        <w:rPr>
          <w:noProof/>
        </w:rPr>
        <w:t xml:space="preserve"> i</w:t>
      </w:r>
      <w:r w:rsidR="00FD0C71">
        <w:rPr>
          <w:noProof/>
        </w:rPr>
        <w:t> </w:t>
      </w:r>
      <w:r w:rsidR="00FD0C71" w:rsidRPr="006E5269">
        <w:rPr>
          <w:noProof/>
        </w:rPr>
        <w:t>w</w:t>
      </w:r>
      <w:r w:rsidR="00FD0C71">
        <w:rPr>
          <w:noProof/>
        </w:rPr>
        <w:t> </w:t>
      </w:r>
      <w:r w:rsidR="00FD0C71" w:rsidRPr="006E5269">
        <w:rPr>
          <w:noProof/>
        </w:rPr>
        <w:t>kra</w:t>
      </w:r>
      <w:r w:rsidRPr="006E5269">
        <w:rPr>
          <w:noProof/>
        </w:rPr>
        <w:t>jach sąsiadujących,</w:t>
      </w:r>
      <w:r w:rsidR="00FD0C71" w:rsidRPr="006E5269">
        <w:rPr>
          <w:noProof/>
        </w:rPr>
        <w:t xml:space="preserve"> w</w:t>
      </w:r>
      <w:r w:rsidR="00FD0C71">
        <w:rPr>
          <w:noProof/>
        </w:rPr>
        <w:t> </w:t>
      </w:r>
      <w:r w:rsidR="00FD0C71" w:rsidRPr="006E5269">
        <w:rPr>
          <w:noProof/>
        </w:rPr>
        <w:t>tym</w:t>
      </w:r>
      <w:r w:rsidRPr="006E5269">
        <w:rPr>
          <w:noProof/>
        </w:rPr>
        <w:t xml:space="preserve"> poprzez składnik humanitarny unijnego Instrumentu Pomocy dla Uchodźców</w:t>
      </w:r>
      <w:r w:rsidR="00FD0C71" w:rsidRPr="006E5269">
        <w:rPr>
          <w:noProof/>
        </w:rPr>
        <w:t xml:space="preserve"> w</w:t>
      </w:r>
      <w:r w:rsidR="00FD0C71">
        <w:rPr>
          <w:noProof/>
        </w:rPr>
        <w:t> </w:t>
      </w:r>
      <w:r w:rsidR="00FD0C71" w:rsidRPr="006E5269">
        <w:rPr>
          <w:noProof/>
        </w:rPr>
        <w:t>Tur</w:t>
      </w:r>
      <w:r w:rsidRPr="006E5269">
        <w:rPr>
          <w:noProof/>
        </w:rPr>
        <w:t xml:space="preserve">cji. </w:t>
      </w:r>
    </w:p>
    <w:p w:rsidR="00D04A2D" w:rsidRPr="006E5269" w:rsidRDefault="00D04A2D" w:rsidP="00416917">
      <w:pPr>
        <w:spacing w:before="240" w:after="120"/>
        <w:jc w:val="both"/>
        <w:rPr>
          <w:noProof/>
        </w:rPr>
      </w:pPr>
      <w:r w:rsidRPr="006E5269">
        <w:rPr>
          <w:noProof/>
        </w:rPr>
        <w:t>UE nadal skupiała się również na wspieraniu ludności nadal objętej „zapomnianymi kryzysami”, m.in.</w:t>
      </w:r>
      <w:r w:rsidR="00FD0C71" w:rsidRPr="006E5269">
        <w:rPr>
          <w:noProof/>
        </w:rPr>
        <w:t xml:space="preserve"> w</w:t>
      </w:r>
      <w:r w:rsidR="00FD0C71">
        <w:rPr>
          <w:noProof/>
        </w:rPr>
        <w:t> </w:t>
      </w:r>
      <w:r w:rsidR="00FD0C71" w:rsidRPr="006E5269">
        <w:rPr>
          <w:noProof/>
        </w:rPr>
        <w:t>Rep</w:t>
      </w:r>
      <w:r w:rsidRPr="006E5269">
        <w:rPr>
          <w:noProof/>
        </w:rPr>
        <w:t xml:space="preserve">ublice Środkowoafrykańskiej, Sudanie, Pakistanie, Kolumbii, Wenezueli, na Haiti i na Filipinach. </w:t>
      </w:r>
    </w:p>
    <w:p w:rsidR="00172FAE" w:rsidRPr="006E5269" w:rsidRDefault="00DD733E" w:rsidP="00416917">
      <w:pPr>
        <w:spacing w:before="240" w:after="120"/>
        <w:jc w:val="both"/>
        <w:rPr>
          <w:noProof/>
        </w:rPr>
      </w:pPr>
      <w:r w:rsidRPr="006E5269">
        <w:rPr>
          <w:noProof/>
        </w:rPr>
        <w:t>Ponadto UE wdrożyła szereg polityk horyzontalnych, takich jak edukacja</w:t>
      </w:r>
      <w:r w:rsidR="00FD0C71" w:rsidRPr="006E5269">
        <w:rPr>
          <w:noProof/>
        </w:rPr>
        <w:t xml:space="preserve"> w</w:t>
      </w:r>
      <w:r w:rsidR="00FD0C71">
        <w:rPr>
          <w:noProof/>
        </w:rPr>
        <w:t> </w:t>
      </w:r>
      <w:r w:rsidR="00FD0C71" w:rsidRPr="006E5269">
        <w:rPr>
          <w:noProof/>
        </w:rPr>
        <w:t>syt</w:t>
      </w:r>
      <w:r w:rsidRPr="006E5269">
        <w:rPr>
          <w:noProof/>
        </w:rPr>
        <w:t>uacjach nadzwyczajnych, gotowość na wypadek klęsk żywiołowych, pomoc pieniężna, zaangażowanie sektora innowacji</w:t>
      </w:r>
      <w:r w:rsidR="00FD0C71" w:rsidRPr="006E5269">
        <w:rPr>
          <w:noProof/>
        </w:rPr>
        <w:t xml:space="preserve"> i</w:t>
      </w:r>
      <w:r w:rsidR="00FD0C71">
        <w:rPr>
          <w:noProof/>
        </w:rPr>
        <w:t> </w:t>
      </w:r>
      <w:r w:rsidR="00FD0C71" w:rsidRPr="006E5269">
        <w:rPr>
          <w:noProof/>
        </w:rPr>
        <w:t>sek</w:t>
      </w:r>
      <w:r w:rsidRPr="006E5269">
        <w:rPr>
          <w:noProof/>
        </w:rPr>
        <w:t>tora prywatnego, wiek</w:t>
      </w:r>
      <w:r w:rsidR="00FD0C71" w:rsidRPr="006E5269">
        <w:rPr>
          <w:noProof/>
        </w:rPr>
        <w:t xml:space="preserve"> i</w:t>
      </w:r>
      <w:r w:rsidR="00FD0C71">
        <w:rPr>
          <w:noProof/>
        </w:rPr>
        <w:t> </w:t>
      </w:r>
      <w:r w:rsidR="00FD0C71" w:rsidRPr="006E5269">
        <w:rPr>
          <w:noProof/>
        </w:rPr>
        <w:t>płe</w:t>
      </w:r>
      <w:r w:rsidRPr="006E5269">
        <w:rPr>
          <w:noProof/>
        </w:rPr>
        <w:t>ć,</w:t>
      </w:r>
      <w:r w:rsidR="00FD0C71" w:rsidRPr="006E5269">
        <w:rPr>
          <w:noProof/>
        </w:rPr>
        <w:t xml:space="preserve"> a</w:t>
      </w:r>
      <w:r w:rsidR="00FD0C71">
        <w:rPr>
          <w:noProof/>
        </w:rPr>
        <w:t> </w:t>
      </w:r>
      <w:r w:rsidR="00FD0C71" w:rsidRPr="006E5269">
        <w:rPr>
          <w:noProof/>
        </w:rPr>
        <w:t>tak</w:t>
      </w:r>
      <w:r w:rsidRPr="006E5269">
        <w:rPr>
          <w:noProof/>
        </w:rPr>
        <w:t>że wsparcie usług transportu humanitarnego.</w:t>
      </w:r>
    </w:p>
    <w:p w:rsidR="000E7943" w:rsidRPr="006E5269" w:rsidRDefault="009A48F6" w:rsidP="00416917">
      <w:pPr>
        <w:spacing w:before="240" w:after="120"/>
        <w:jc w:val="both"/>
        <w:rPr>
          <w:noProof/>
        </w:rPr>
      </w:pPr>
      <w:r w:rsidRPr="006E5269">
        <w:rPr>
          <w:noProof/>
        </w:rPr>
        <w:t>Poza operacjami finansowania Komisja odegrała wiodącą rolę</w:t>
      </w:r>
      <w:r w:rsidR="00FD0C71" w:rsidRPr="006E5269">
        <w:rPr>
          <w:noProof/>
        </w:rPr>
        <w:t xml:space="preserve"> w</w:t>
      </w:r>
      <w:r w:rsidR="00FD0C71">
        <w:rPr>
          <w:noProof/>
        </w:rPr>
        <w:t> </w:t>
      </w:r>
      <w:r w:rsidR="00FD0C71" w:rsidRPr="006E5269">
        <w:rPr>
          <w:noProof/>
        </w:rPr>
        <w:t>pro</w:t>
      </w:r>
      <w:r w:rsidRPr="006E5269">
        <w:rPr>
          <w:noProof/>
        </w:rPr>
        <w:t>pagowaniu pomocy humanitarnej opartej na określonych zasadach oraz orędowaniu na rzecz zgodności</w:t>
      </w:r>
      <w:r w:rsidR="00FD0C71" w:rsidRPr="006E5269">
        <w:rPr>
          <w:noProof/>
        </w:rPr>
        <w:t xml:space="preserve"> z</w:t>
      </w:r>
      <w:r w:rsidR="00FD0C71">
        <w:rPr>
          <w:noProof/>
        </w:rPr>
        <w:t> </w:t>
      </w:r>
      <w:r w:rsidR="00FD0C71" w:rsidRPr="006E5269">
        <w:rPr>
          <w:noProof/>
        </w:rPr>
        <w:t>mię</w:t>
      </w:r>
      <w:r w:rsidRPr="006E5269">
        <w:rPr>
          <w:noProof/>
        </w:rPr>
        <w:t>dzynarodowym prawem humanitarnym. Czyniła to</w:t>
      </w:r>
      <w:r w:rsidR="00FD0C71" w:rsidRPr="006E5269">
        <w:rPr>
          <w:noProof/>
        </w:rPr>
        <w:t xml:space="preserve"> w</w:t>
      </w:r>
      <w:r w:rsidR="00FD0C71">
        <w:rPr>
          <w:noProof/>
        </w:rPr>
        <w:t> </w:t>
      </w:r>
      <w:r w:rsidR="00FD0C71" w:rsidRPr="006E5269">
        <w:rPr>
          <w:noProof/>
        </w:rPr>
        <w:t>dro</w:t>
      </w:r>
      <w:r w:rsidRPr="006E5269">
        <w:rPr>
          <w:noProof/>
        </w:rPr>
        <w:t>dze aktywnego rzecznictwa dotyczącego określonych kryzysów humanitarnych, ale również na arenie międzynarodowej, przewodnicząc grupie wsparcia darczyńców</w:t>
      </w:r>
      <w:r w:rsidRPr="006E5269">
        <w:rPr>
          <w:noProof/>
          <w:vertAlign w:val="superscript"/>
        </w:rPr>
        <w:footnoteReference w:id="2"/>
      </w:r>
      <w:r w:rsidRPr="006E5269">
        <w:rPr>
          <w:noProof/>
        </w:rPr>
        <w:t xml:space="preserve"> Międzynarodowego Komitetu Czerwonego Krzyża (MKCK) oraz inicjatywie ds. dobrej praktyki udzielania pomocy humanitarnej</w:t>
      </w:r>
      <w:r w:rsidRPr="006E5269">
        <w:rPr>
          <w:noProof/>
          <w:vertAlign w:val="superscript"/>
        </w:rPr>
        <w:footnoteReference w:id="3"/>
      </w:r>
      <w:r w:rsidRPr="006E5269">
        <w:rPr>
          <w:noProof/>
        </w:rPr>
        <w:t xml:space="preserve"> (ze Szwajcarią),</w:t>
      </w:r>
      <w:r w:rsidR="00FD0C71" w:rsidRPr="006E5269">
        <w:rPr>
          <w:noProof/>
        </w:rPr>
        <w:t xml:space="preserve"> a</w:t>
      </w:r>
      <w:r w:rsidR="00FD0C71">
        <w:rPr>
          <w:noProof/>
        </w:rPr>
        <w:t> </w:t>
      </w:r>
      <w:r w:rsidR="00FD0C71" w:rsidRPr="006E5269">
        <w:rPr>
          <w:noProof/>
        </w:rPr>
        <w:t>tak</w:t>
      </w:r>
      <w:r w:rsidRPr="006E5269">
        <w:rPr>
          <w:noProof/>
        </w:rPr>
        <w:t>że poprzez swoje zaangażowanie</w:t>
      </w:r>
      <w:r w:rsidR="00FD0C71" w:rsidRPr="006E5269">
        <w:rPr>
          <w:noProof/>
        </w:rPr>
        <w:t xml:space="preserve"> w</w:t>
      </w:r>
      <w:r w:rsidR="00FD0C71">
        <w:rPr>
          <w:noProof/>
        </w:rPr>
        <w:t> </w:t>
      </w:r>
      <w:r w:rsidR="00FD0C71" w:rsidRPr="006E5269">
        <w:rPr>
          <w:noProof/>
        </w:rPr>
        <w:t>hum</w:t>
      </w:r>
      <w:r w:rsidRPr="006E5269">
        <w:rPr>
          <w:noProof/>
        </w:rPr>
        <w:t xml:space="preserve">anitarną koordynację cywilno-wojskową. </w:t>
      </w:r>
    </w:p>
    <w:p w:rsidR="00D04A2D" w:rsidRPr="006E5269" w:rsidRDefault="009A48F6" w:rsidP="00416917">
      <w:pPr>
        <w:spacing w:before="240" w:after="120"/>
        <w:jc w:val="both"/>
        <w:rPr>
          <w:noProof/>
        </w:rPr>
      </w:pPr>
      <w:r w:rsidRPr="006E5269">
        <w:rPr>
          <w:noProof/>
        </w:rPr>
        <w:t>Aby rozwiązać problem coraz większych luk</w:t>
      </w:r>
      <w:r w:rsidR="00FD0C71" w:rsidRPr="006E5269">
        <w:rPr>
          <w:noProof/>
        </w:rPr>
        <w:t xml:space="preserve"> w</w:t>
      </w:r>
      <w:r w:rsidR="00FD0C71">
        <w:rPr>
          <w:noProof/>
        </w:rPr>
        <w:t> </w:t>
      </w:r>
      <w:r w:rsidR="00FD0C71" w:rsidRPr="006E5269">
        <w:rPr>
          <w:noProof/>
        </w:rPr>
        <w:t>fin</w:t>
      </w:r>
      <w:r w:rsidRPr="006E5269">
        <w:rPr>
          <w:noProof/>
        </w:rPr>
        <w:t>ansowaniu pomocy humanitarnej, Komisja propagowała wypełnianie zobowiązań podjętych</w:t>
      </w:r>
      <w:r w:rsidR="00FD0C71" w:rsidRPr="006E5269">
        <w:rPr>
          <w:noProof/>
        </w:rPr>
        <w:t xml:space="preserve"> w</w:t>
      </w:r>
      <w:r w:rsidR="00FD0C71">
        <w:rPr>
          <w:noProof/>
        </w:rPr>
        <w:t> </w:t>
      </w:r>
      <w:r w:rsidR="00FD0C71" w:rsidRPr="006E5269">
        <w:rPr>
          <w:noProof/>
        </w:rPr>
        <w:t>ram</w:t>
      </w:r>
      <w:r w:rsidRPr="006E5269">
        <w:rPr>
          <w:noProof/>
        </w:rPr>
        <w:t>ach tzw. wielkiego układu (Grand Bargain)</w:t>
      </w:r>
      <w:r w:rsidRPr="006E5269">
        <w:rPr>
          <w:rStyle w:val="FootnoteReference"/>
          <w:noProof/>
        </w:rPr>
        <w:footnoteReference w:id="4"/>
      </w:r>
      <w:r w:rsidRPr="006E5269">
        <w:rPr>
          <w:noProof/>
        </w:rPr>
        <w:t xml:space="preserve"> dotyczących</w:t>
      </w:r>
      <w:r w:rsidR="00FD0C71" w:rsidRPr="006E5269">
        <w:rPr>
          <w:noProof/>
        </w:rPr>
        <w:t xml:space="preserve"> w</w:t>
      </w:r>
      <w:r w:rsidR="00FD0C71">
        <w:rPr>
          <w:noProof/>
        </w:rPr>
        <w:t> </w:t>
      </w:r>
      <w:r w:rsidR="00FD0C71" w:rsidRPr="006E5269">
        <w:rPr>
          <w:noProof/>
        </w:rPr>
        <w:t>szc</w:t>
      </w:r>
      <w:r w:rsidRPr="006E5269">
        <w:rPr>
          <w:noProof/>
        </w:rPr>
        <w:t xml:space="preserve">zególności wspólnej wielosektorowej oceny potrzeb. </w:t>
      </w:r>
    </w:p>
    <w:p w:rsidR="00D04A2D" w:rsidRPr="006E5269" w:rsidRDefault="00836C6E" w:rsidP="003057BC">
      <w:pPr>
        <w:pStyle w:val="Heading310"/>
        <w:keepNext/>
        <w:keepLines/>
        <w:shd w:val="clear" w:color="auto" w:fill="auto"/>
        <w:spacing w:before="240" w:after="240" w:line="240" w:lineRule="auto"/>
        <w:ind w:firstLine="0"/>
        <w:jc w:val="both"/>
        <w:rPr>
          <w:noProof/>
          <w:color w:val="002060"/>
          <w:sz w:val="28"/>
        </w:rPr>
      </w:pPr>
      <w:bookmarkStart w:id="6" w:name="bookmark6"/>
      <w:bookmarkStart w:id="7" w:name="_Toc84941895"/>
      <w:r w:rsidRPr="006E5269">
        <w:rPr>
          <w:noProof/>
          <w:color w:val="002060"/>
          <w:sz w:val="28"/>
        </w:rPr>
        <w:t>Przegląd najważniejszych wspartych operacji pomocowych</w:t>
      </w:r>
      <w:bookmarkEnd w:id="6"/>
      <w:bookmarkEnd w:id="7"/>
    </w:p>
    <w:p w:rsidR="009A48F6" w:rsidRPr="006E5269" w:rsidRDefault="007C6456" w:rsidP="003057BC">
      <w:pPr>
        <w:spacing w:before="240"/>
        <w:jc w:val="both"/>
        <w:rPr>
          <w:rFonts w:cstheme="majorBidi"/>
          <w:b/>
          <w:noProof/>
          <w:color w:val="0070C0"/>
          <w:u w:val="single"/>
        </w:rPr>
      </w:pPr>
      <w:r w:rsidRPr="006E5269">
        <w:rPr>
          <w:b/>
          <w:noProof/>
          <w:color w:val="0070C0"/>
          <w:u w:val="single"/>
        </w:rPr>
        <w:t>Afryka Subsaharyjska</w:t>
      </w:r>
    </w:p>
    <w:p w:rsidR="000C2E1E" w:rsidRPr="006E5269" w:rsidRDefault="000C2E1E" w:rsidP="003057BC">
      <w:pPr>
        <w:spacing w:before="240"/>
        <w:jc w:val="both"/>
        <w:rPr>
          <w:rFonts w:cstheme="majorBidi"/>
          <w:b/>
          <w:noProof/>
          <w:color w:val="0070C0"/>
        </w:rPr>
      </w:pPr>
      <w:r w:rsidRPr="006E5269">
        <w:rPr>
          <w:b/>
          <w:noProof/>
          <w:color w:val="0070C0"/>
        </w:rPr>
        <w:t xml:space="preserve">Etiopia </w:t>
      </w:r>
    </w:p>
    <w:p w:rsidR="000E7943" w:rsidRPr="006E5269" w:rsidRDefault="00101FFB" w:rsidP="003057BC">
      <w:pPr>
        <w:spacing w:before="240" w:after="120"/>
        <w:jc w:val="both"/>
        <w:rPr>
          <w:rFonts w:cstheme="minorHAnsi"/>
          <w:noProof/>
        </w:rPr>
      </w:pPr>
      <w:r w:rsidRPr="006E5269">
        <w:rPr>
          <w:noProof/>
        </w:rPr>
        <w:t>Około 2 mln osób zostało wysiedlonych</w:t>
      </w:r>
      <w:r w:rsidR="00FD0C71" w:rsidRPr="006E5269">
        <w:rPr>
          <w:noProof/>
        </w:rPr>
        <w:t xml:space="preserve"> z</w:t>
      </w:r>
      <w:r w:rsidR="00FD0C71">
        <w:rPr>
          <w:noProof/>
        </w:rPr>
        <w:t> </w:t>
      </w:r>
      <w:r w:rsidR="00FD0C71" w:rsidRPr="006E5269">
        <w:rPr>
          <w:noProof/>
        </w:rPr>
        <w:t>pow</w:t>
      </w:r>
      <w:r w:rsidRPr="006E5269">
        <w:rPr>
          <w:noProof/>
        </w:rPr>
        <w:t>odu przemocy na tle etnicznymi zagrożeń klimatycznych,</w:t>
      </w:r>
      <w:r w:rsidR="00FD0C71" w:rsidRPr="006E5269">
        <w:rPr>
          <w:noProof/>
        </w:rPr>
        <w:t xml:space="preserve"> a</w:t>
      </w:r>
      <w:r w:rsidR="00FD0C71">
        <w:rPr>
          <w:noProof/>
        </w:rPr>
        <w:t> </w:t>
      </w:r>
      <w:r w:rsidR="00FD0C71" w:rsidRPr="006E5269">
        <w:rPr>
          <w:noProof/>
        </w:rPr>
        <w:t>klę</w:t>
      </w:r>
      <w:r w:rsidRPr="006E5269">
        <w:rPr>
          <w:noProof/>
        </w:rPr>
        <w:t xml:space="preserve">ski żywiołowe przyczyniły się do braku bezpieczeństwa żywnościowego. </w:t>
      </w:r>
    </w:p>
    <w:p w:rsidR="000E7943" w:rsidRPr="006E5269" w:rsidRDefault="00535EA7" w:rsidP="003057BC">
      <w:pPr>
        <w:spacing w:before="240" w:after="120"/>
        <w:jc w:val="both"/>
        <w:rPr>
          <w:rFonts w:cstheme="minorHAnsi"/>
          <w:noProof/>
        </w:rPr>
      </w:pPr>
      <w:r w:rsidRPr="006E5269">
        <w:rPr>
          <w:noProof/>
        </w:rPr>
        <w:t>W wyniku konfliktu</w:t>
      </w:r>
      <w:r w:rsidR="00FD0C71" w:rsidRPr="006E5269">
        <w:rPr>
          <w:noProof/>
        </w:rPr>
        <w:t xml:space="preserve"> w</w:t>
      </w:r>
      <w:r w:rsidR="00FD0C71">
        <w:rPr>
          <w:noProof/>
        </w:rPr>
        <w:t> </w:t>
      </w:r>
      <w:r w:rsidR="00FD0C71" w:rsidRPr="006E5269">
        <w:rPr>
          <w:noProof/>
        </w:rPr>
        <w:t>pół</w:t>
      </w:r>
      <w:r w:rsidRPr="006E5269">
        <w:rPr>
          <w:noProof/>
        </w:rPr>
        <w:t>nocnej czę</w:t>
      </w:r>
      <w:r w:rsidR="00FA3844">
        <w:rPr>
          <w:noProof/>
        </w:rPr>
        <w:t xml:space="preserve">ści Tigraju około 4,5 mln osób </w:t>
      </w:r>
      <w:r w:rsidRPr="006E5269">
        <w:rPr>
          <w:noProof/>
        </w:rPr>
        <w:t>stanęło</w:t>
      </w:r>
      <w:r w:rsidR="00FD0C71" w:rsidRPr="006E5269">
        <w:rPr>
          <w:noProof/>
        </w:rPr>
        <w:t xml:space="preserve"> w</w:t>
      </w:r>
      <w:r w:rsidR="00FD0C71">
        <w:rPr>
          <w:noProof/>
        </w:rPr>
        <w:t> </w:t>
      </w:r>
      <w:r w:rsidR="00FD0C71" w:rsidRPr="006E5269">
        <w:rPr>
          <w:noProof/>
        </w:rPr>
        <w:t>obl</w:t>
      </w:r>
      <w:r w:rsidRPr="006E5269">
        <w:rPr>
          <w:noProof/>
        </w:rPr>
        <w:t>iczu braku bezpieczeństwa żywnościowego,</w:t>
      </w:r>
      <w:r w:rsidR="00FD0C71" w:rsidRPr="006E5269">
        <w:rPr>
          <w:noProof/>
        </w:rPr>
        <w:t xml:space="preserve"> a</w:t>
      </w:r>
      <w:r w:rsidR="00FD0C71">
        <w:rPr>
          <w:noProof/>
        </w:rPr>
        <w:t> </w:t>
      </w:r>
      <w:r w:rsidR="00FD0C71" w:rsidRPr="006E5269">
        <w:rPr>
          <w:noProof/>
        </w:rPr>
        <w:t>dod</w:t>
      </w:r>
      <w:r w:rsidRPr="006E5269">
        <w:rPr>
          <w:noProof/>
        </w:rPr>
        <w:t>atkowe 2 mln osób zostało wewnętrznie przesiedlonych. Pomimo działań</w:t>
      </w:r>
      <w:r w:rsidR="00FD0C71" w:rsidRPr="006E5269">
        <w:rPr>
          <w:noProof/>
        </w:rPr>
        <w:t xml:space="preserve"> w</w:t>
      </w:r>
      <w:r w:rsidR="00FD0C71">
        <w:rPr>
          <w:noProof/>
        </w:rPr>
        <w:t> </w:t>
      </w:r>
      <w:r w:rsidR="00FD0C71" w:rsidRPr="006E5269">
        <w:rPr>
          <w:noProof/>
        </w:rPr>
        <w:t>zak</w:t>
      </w:r>
      <w:r w:rsidRPr="006E5269">
        <w:rPr>
          <w:noProof/>
        </w:rPr>
        <w:t>resie rzecznictwa Tigraj został odcięty od pomocy zewnętrznej. UE przeznaczyła 24,8 mln EUR na kryzys</w:t>
      </w:r>
      <w:r w:rsidR="00FD0C71" w:rsidRPr="006E5269">
        <w:rPr>
          <w:noProof/>
        </w:rPr>
        <w:t xml:space="preserve"> w</w:t>
      </w:r>
      <w:r w:rsidR="00FD0C71">
        <w:rPr>
          <w:noProof/>
        </w:rPr>
        <w:t> </w:t>
      </w:r>
      <w:r w:rsidR="00FD0C71" w:rsidRPr="006E5269">
        <w:rPr>
          <w:noProof/>
        </w:rPr>
        <w:t>Tig</w:t>
      </w:r>
      <w:r w:rsidRPr="006E5269">
        <w:rPr>
          <w:noProof/>
        </w:rPr>
        <w:t>raju</w:t>
      </w:r>
      <w:r w:rsidR="00FD0C71" w:rsidRPr="006E5269">
        <w:rPr>
          <w:noProof/>
        </w:rPr>
        <w:t xml:space="preserve"> i</w:t>
      </w:r>
      <w:r w:rsidR="00FD0C71">
        <w:rPr>
          <w:noProof/>
        </w:rPr>
        <w:t> </w:t>
      </w:r>
      <w:r w:rsidR="00FD0C71" w:rsidRPr="006E5269">
        <w:rPr>
          <w:noProof/>
        </w:rPr>
        <w:t>jeg</w:t>
      </w:r>
      <w:r w:rsidRPr="006E5269">
        <w:rPr>
          <w:noProof/>
        </w:rPr>
        <w:t xml:space="preserve">o skutki uboczne. </w:t>
      </w:r>
    </w:p>
    <w:p w:rsidR="000C2E1E" w:rsidRPr="006E5269" w:rsidRDefault="000E7943" w:rsidP="003057BC">
      <w:pPr>
        <w:spacing w:before="240" w:after="120"/>
        <w:jc w:val="both"/>
        <w:rPr>
          <w:rFonts w:cstheme="minorHAnsi"/>
          <w:i/>
          <w:noProof/>
        </w:rPr>
      </w:pPr>
      <w:r w:rsidRPr="006E5269">
        <w:rPr>
          <w:i/>
          <w:noProof/>
        </w:rPr>
        <w:t xml:space="preserve">Unijna pomoc humanitarna ogółem – </w:t>
      </w:r>
      <w:r w:rsidRPr="006E5269">
        <w:rPr>
          <w:b/>
          <w:i/>
          <w:noProof/>
        </w:rPr>
        <w:t>63 mln EUR</w:t>
      </w:r>
      <w:r w:rsidRPr="006E5269">
        <w:rPr>
          <w:i/>
          <w:noProof/>
        </w:rPr>
        <w:t>.</w:t>
      </w:r>
    </w:p>
    <w:p w:rsidR="004B71EC" w:rsidRPr="006E5269" w:rsidRDefault="000C2E1E" w:rsidP="003057BC">
      <w:pPr>
        <w:spacing w:before="240"/>
        <w:jc w:val="both"/>
        <w:rPr>
          <w:rFonts w:cstheme="majorBidi"/>
          <w:b/>
          <w:noProof/>
          <w:color w:val="0070C0"/>
        </w:rPr>
      </w:pPr>
      <w:r w:rsidRPr="006E5269">
        <w:rPr>
          <w:b/>
          <w:noProof/>
          <w:color w:val="0070C0"/>
        </w:rPr>
        <w:t>Kenia</w:t>
      </w:r>
    </w:p>
    <w:p w:rsidR="00C37158" w:rsidRPr="006E5269" w:rsidRDefault="005622EB" w:rsidP="003057BC">
      <w:pPr>
        <w:spacing w:before="240"/>
        <w:jc w:val="both"/>
        <w:rPr>
          <w:bCs/>
          <w:noProof/>
        </w:rPr>
      </w:pPr>
      <w:r w:rsidRPr="006E5269">
        <w:rPr>
          <w:noProof/>
        </w:rPr>
        <w:t>Kenia przyjęła ponad 500 000 uchodźców całkowicie zależnych od pomocy. „Potrójne zagrożenie” (pandemia COVID-19, plaga szarańczy</w:t>
      </w:r>
      <w:r w:rsidR="00FD0C71" w:rsidRPr="006E5269">
        <w:rPr>
          <w:noProof/>
        </w:rPr>
        <w:t xml:space="preserve"> i</w:t>
      </w:r>
      <w:r w:rsidR="00FD0C71">
        <w:rPr>
          <w:noProof/>
        </w:rPr>
        <w:t> </w:t>
      </w:r>
      <w:r w:rsidR="00FD0C71" w:rsidRPr="006E5269">
        <w:rPr>
          <w:noProof/>
        </w:rPr>
        <w:t>pow</w:t>
      </w:r>
      <w:r w:rsidRPr="006E5269">
        <w:rPr>
          <w:noProof/>
        </w:rPr>
        <w:t>odzie) sprawiło, że około 2,3 mln osób stanęło</w:t>
      </w:r>
      <w:r w:rsidR="00FD0C71" w:rsidRPr="006E5269">
        <w:rPr>
          <w:noProof/>
        </w:rPr>
        <w:t xml:space="preserve"> w</w:t>
      </w:r>
      <w:r w:rsidR="00FD0C71">
        <w:rPr>
          <w:noProof/>
        </w:rPr>
        <w:t> </w:t>
      </w:r>
      <w:r w:rsidR="00FD0C71" w:rsidRPr="006E5269">
        <w:rPr>
          <w:noProof/>
        </w:rPr>
        <w:t>obl</w:t>
      </w:r>
      <w:r w:rsidRPr="006E5269">
        <w:rPr>
          <w:noProof/>
        </w:rPr>
        <w:t xml:space="preserve">iczu braku bezpieczeństwa żywnościowego. </w:t>
      </w:r>
    </w:p>
    <w:p w:rsidR="000E7943" w:rsidRPr="006E5269" w:rsidRDefault="000E7943" w:rsidP="000E7943">
      <w:pPr>
        <w:spacing w:before="240" w:after="120"/>
        <w:jc w:val="both"/>
        <w:rPr>
          <w:rFonts w:cstheme="minorHAnsi"/>
          <w:i/>
          <w:noProof/>
        </w:rPr>
      </w:pPr>
      <w:r w:rsidRPr="006E5269">
        <w:rPr>
          <w:i/>
          <w:noProof/>
        </w:rPr>
        <w:t xml:space="preserve">Unijna pomoc humanitarna ogółem – </w:t>
      </w:r>
      <w:r w:rsidRPr="006E5269">
        <w:rPr>
          <w:b/>
          <w:i/>
          <w:noProof/>
        </w:rPr>
        <w:t>18,45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 xml:space="preserve">Somalia </w:t>
      </w:r>
    </w:p>
    <w:p w:rsidR="000C2E1E" w:rsidRPr="006E5269" w:rsidRDefault="003745D2" w:rsidP="003057BC">
      <w:pPr>
        <w:spacing w:before="240" w:after="120"/>
        <w:jc w:val="both"/>
        <w:rPr>
          <w:rFonts w:cstheme="minorHAnsi"/>
          <w:noProof/>
        </w:rPr>
      </w:pPr>
      <w:r w:rsidRPr="006E5269">
        <w:rPr>
          <w:noProof/>
        </w:rPr>
        <w:t>Powodzie dotknęły Somalię</w:t>
      </w:r>
      <w:r w:rsidR="00FD0C71" w:rsidRPr="006E5269">
        <w:rPr>
          <w:noProof/>
        </w:rPr>
        <w:t xml:space="preserve"> w</w:t>
      </w:r>
      <w:r w:rsidR="00FD0C71">
        <w:rPr>
          <w:noProof/>
        </w:rPr>
        <w:t> </w:t>
      </w:r>
      <w:r w:rsidR="00FD0C71" w:rsidRPr="006E5269">
        <w:rPr>
          <w:noProof/>
        </w:rPr>
        <w:t>cza</w:t>
      </w:r>
      <w:r w:rsidRPr="006E5269">
        <w:rPr>
          <w:noProof/>
        </w:rPr>
        <w:t>sie długiej pory deszczowej oraz</w:t>
      </w:r>
      <w:r w:rsidR="00FD0C71" w:rsidRPr="006E5269">
        <w:rPr>
          <w:noProof/>
        </w:rPr>
        <w:t xml:space="preserve"> w</w:t>
      </w:r>
      <w:r w:rsidR="00FD0C71">
        <w:rPr>
          <w:noProof/>
        </w:rPr>
        <w:t> </w:t>
      </w:r>
      <w:r w:rsidR="00FD0C71" w:rsidRPr="006E5269">
        <w:rPr>
          <w:noProof/>
        </w:rPr>
        <w:t>cza</w:t>
      </w:r>
      <w:r w:rsidRPr="006E5269">
        <w:rPr>
          <w:noProof/>
        </w:rPr>
        <w:t>sie pory suchej. Konsekwencje suszy</w:t>
      </w:r>
      <w:r w:rsidR="00FD0C71" w:rsidRPr="006E5269">
        <w:rPr>
          <w:noProof/>
        </w:rPr>
        <w:t xml:space="preserve"> w</w:t>
      </w:r>
      <w:r w:rsidR="00FD0C71">
        <w:rPr>
          <w:noProof/>
        </w:rPr>
        <w:t> </w:t>
      </w:r>
      <w:r w:rsidR="00FD0C71" w:rsidRPr="006E5269">
        <w:rPr>
          <w:noProof/>
        </w:rPr>
        <w:t>pop</w:t>
      </w:r>
      <w:r w:rsidRPr="006E5269">
        <w:rPr>
          <w:noProof/>
        </w:rPr>
        <w:t>rzednich latach, skutki pandemii COVID-19, plaga szarańczy</w:t>
      </w:r>
      <w:r w:rsidR="00FD0C71" w:rsidRPr="006E5269">
        <w:rPr>
          <w:noProof/>
        </w:rPr>
        <w:t xml:space="preserve"> i</w:t>
      </w:r>
      <w:r w:rsidR="00FD0C71">
        <w:rPr>
          <w:noProof/>
        </w:rPr>
        <w:t> </w:t>
      </w:r>
      <w:r w:rsidR="00FD0C71" w:rsidRPr="006E5269">
        <w:rPr>
          <w:noProof/>
        </w:rPr>
        <w:t>kon</w:t>
      </w:r>
      <w:r w:rsidRPr="006E5269">
        <w:rPr>
          <w:noProof/>
        </w:rPr>
        <w:t xml:space="preserve">flikt spowodowały, że potrzeby humanitarne pozostały wysokie. </w:t>
      </w:r>
    </w:p>
    <w:p w:rsidR="000E7943" w:rsidRPr="006E5269" w:rsidRDefault="000E7943" w:rsidP="000E7943">
      <w:pPr>
        <w:spacing w:before="240" w:after="120"/>
        <w:jc w:val="both"/>
        <w:rPr>
          <w:rFonts w:cstheme="minorHAnsi"/>
          <w:i/>
          <w:noProof/>
        </w:rPr>
      </w:pPr>
      <w:r w:rsidRPr="006E5269">
        <w:rPr>
          <w:i/>
          <w:noProof/>
        </w:rPr>
        <w:t xml:space="preserve">Unijna pomoc humanitarna ogółem – </w:t>
      </w:r>
      <w:r w:rsidRPr="006E5269">
        <w:rPr>
          <w:b/>
          <w:i/>
          <w:noProof/>
        </w:rPr>
        <w:t>50,9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Sudan Południowy</w:t>
      </w:r>
    </w:p>
    <w:p w:rsidR="002F3E45" w:rsidRPr="006E5269" w:rsidRDefault="007125E9" w:rsidP="003057BC">
      <w:pPr>
        <w:spacing w:before="240" w:after="120"/>
        <w:jc w:val="both"/>
        <w:rPr>
          <w:rFonts w:cstheme="minorHAnsi"/>
          <w:noProof/>
        </w:rPr>
      </w:pPr>
      <w:r w:rsidRPr="006E5269">
        <w:rPr>
          <w:noProof/>
        </w:rPr>
        <w:t>Społeczności dotkliwie odczuły nasilenie konfliktu</w:t>
      </w:r>
      <w:r w:rsidR="00FD0C71" w:rsidRPr="006E5269">
        <w:rPr>
          <w:noProof/>
        </w:rPr>
        <w:t xml:space="preserve"> i</w:t>
      </w:r>
      <w:r w:rsidR="00FD0C71">
        <w:rPr>
          <w:noProof/>
        </w:rPr>
        <w:t> </w:t>
      </w:r>
      <w:r w:rsidR="00FD0C71" w:rsidRPr="006E5269">
        <w:rPr>
          <w:noProof/>
        </w:rPr>
        <w:t>prz</w:t>
      </w:r>
      <w:r w:rsidRPr="006E5269">
        <w:rPr>
          <w:noProof/>
        </w:rPr>
        <w:t>emocy na poziomie regionalnym, klęski żywiołowe (plaga szarańczy</w:t>
      </w:r>
      <w:r w:rsidR="00FD0C71" w:rsidRPr="006E5269">
        <w:rPr>
          <w:noProof/>
        </w:rPr>
        <w:t xml:space="preserve"> i</w:t>
      </w:r>
      <w:r w:rsidR="00FD0C71">
        <w:rPr>
          <w:noProof/>
        </w:rPr>
        <w:t> </w:t>
      </w:r>
      <w:r w:rsidR="00FD0C71" w:rsidRPr="006E5269">
        <w:rPr>
          <w:noProof/>
        </w:rPr>
        <w:t>dru</w:t>
      </w:r>
      <w:r w:rsidRPr="006E5269">
        <w:rPr>
          <w:noProof/>
        </w:rPr>
        <w:t>gi</w:t>
      </w:r>
      <w:r w:rsidR="00FD0C71" w:rsidRPr="006E5269">
        <w:rPr>
          <w:noProof/>
        </w:rPr>
        <w:t xml:space="preserve"> z</w:t>
      </w:r>
      <w:r w:rsidR="00FD0C71">
        <w:rPr>
          <w:noProof/>
        </w:rPr>
        <w:t> </w:t>
      </w:r>
      <w:r w:rsidR="00FD0C71" w:rsidRPr="006E5269">
        <w:rPr>
          <w:noProof/>
        </w:rPr>
        <w:t>rzę</w:t>
      </w:r>
      <w:r w:rsidRPr="006E5269">
        <w:rPr>
          <w:noProof/>
        </w:rPr>
        <w:t xml:space="preserve">du rok powodzi) oraz pandemię COVID-19. Ponadto </w:t>
      </w:r>
      <w:r w:rsidRPr="00FD0C71">
        <w:rPr>
          <w:noProof/>
        </w:rPr>
        <w:t>od</w:t>
      </w:r>
      <w:r w:rsidR="00FD0C71" w:rsidRPr="00FD0C71">
        <w:rPr>
          <w:noProof/>
        </w:rPr>
        <w:t> </w:t>
      </w:r>
      <w:r w:rsidRPr="00FD0C71">
        <w:rPr>
          <w:noProof/>
        </w:rPr>
        <w:t>2</w:t>
      </w:r>
      <w:r w:rsidRPr="006E5269">
        <w:rPr>
          <w:noProof/>
        </w:rPr>
        <w:t>0</w:t>
      </w:r>
      <w:r w:rsidRPr="00FD0C71">
        <w:rPr>
          <w:noProof/>
        </w:rPr>
        <w:t>13</w:t>
      </w:r>
      <w:r w:rsidR="00FD0C71" w:rsidRPr="00FD0C71">
        <w:rPr>
          <w:noProof/>
        </w:rPr>
        <w:t> </w:t>
      </w:r>
      <w:r w:rsidRPr="00FD0C71">
        <w:rPr>
          <w:noProof/>
        </w:rPr>
        <w:t>r.</w:t>
      </w:r>
      <w:r w:rsidRPr="006E5269">
        <w:rPr>
          <w:noProof/>
        </w:rPr>
        <w:t xml:space="preserve"> wysiedlono blisko 4 mln osób. Nasilenie przemocy na poziomie regionalnym oraz powodzie stały się przyczyną nowych wysiedleń</w:t>
      </w:r>
      <w:r w:rsidR="00FD0C71" w:rsidRPr="006E5269">
        <w:rPr>
          <w:noProof/>
        </w:rPr>
        <w:t xml:space="preserve"> i</w:t>
      </w:r>
      <w:r w:rsidR="00FD0C71">
        <w:rPr>
          <w:noProof/>
        </w:rPr>
        <w:t> </w:t>
      </w:r>
      <w:r w:rsidR="00FD0C71" w:rsidRPr="006E5269">
        <w:rPr>
          <w:noProof/>
        </w:rPr>
        <w:t>zwi</w:t>
      </w:r>
      <w:r w:rsidRPr="006E5269">
        <w:rPr>
          <w:noProof/>
        </w:rPr>
        <w:t xml:space="preserve">ększenia braku bezpieczeństwa żywnościowego. </w:t>
      </w:r>
    </w:p>
    <w:p w:rsidR="005574C0" w:rsidRPr="006E5269" w:rsidRDefault="005574C0" w:rsidP="005574C0">
      <w:pPr>
        <w:spacing w:before="240" w:after="120"/>
        <w:jc w:val="both"/>
        <w:rPr>
          <w:rFonts w:cstheme="minorHAnsi"/>
          <w:i/>
          <w:noProof/>
        </w:rPr>
      </w:pPr>
      <w:r w:rsidRPr="006E5269">
        <w:rPr>
          <w:i/>
          <w:noProof/>
        </w:rPr>
        <w:t xml:space="preserve">Unijna pomoc humanitarna ogółem – </w:t>
      </w:r>
      <w:r w:rsidRPr="006E5269">
        <w:rPr>
          <w:b/>
          <w:i/>
          <w:noProof/>
        </w:rPr>
        <w:t>59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 xml:space="preserve">Sudan </w:t>
      </w:r>
    </w:p>
    <w:p w:rsidR="002F3E45" w:rsidRPr="006E5269" w:rsidRDefault="007125E9" w:rsidP="003057BC">
      <w:pPr>
        <w:spacing w:before="240" w:after="120"/>
        <w:jc w:val="both"/>
        <w:rPr>
          <w:rFonts w:cstheme="minorHAnsi"/>
          <w:noProof/>
        </w:rPr>
      </w:pPr>
      <w:r w:rsidRPr="006E5269">
        <w:rPr>
          <w:noProof/>
        </w:rPr>
        <w:t>9,3 mln osób potrzebowało pomocy</w:t>
      </w:r>
      <w:r w:rsidR="00FD0C71" w:rsidRPr="006E5269">
        <w:rPr>
          <w:noProof/>
        </w:rPr>
        <w:t xml:space="preserve"> z</w:t>
      </w:r>
      <w:r w:rsidR="00FD0C71">
        <w:rPr>
          <w:noProof/>
        </w:rPr>
        <w:t> </w:t>
      </w:r>
      <w:r w:rsidR="00FD0C71" w:rsidRPr="006E5269">
        <w:rPr>
          <w:noProof/>
        </w:rPr>
        <w:t>pow</w:t>
      </w:r>
      <w:r w:rsidRPr="006E5269">
        <w:rPr>
          <w:noProof/>
        </w:rPr>
        <w:t>odu kryzysu gospodarczego, przedłużających się konfliktów, klęsk żywiołowych (plaga szarańczy</w:t>
      </w:r>
      <w:r w:rsidR="00FD0C71" w:rsidRPr="006E5269">
        <w:rPr>
          <w:noProof/>
        </w:rPr>
        <w:t xml:space="preserve"> i</w:t>
      </w:r>
      <w:r w:rsidR="00FD0C71">
        <w:rPr>
          <w:noProof/>
        </w:rPr>
        <w:t> </w:t>
      </w:r>
      <w:r w:rsidR="00FD0C71" w:rsidRPr="006E5269">
        <w:rPr>
          <w:noProof/>
        </w:rPr>
        <w:t>sil</w:t>
      </w:r>
      <w:r w:rsidRPr="006E5269">
        <w:rPr>
          <w:noProof/>
        </w:rPr>
        <w:t>ne powodzie), skutków pandemii COVID-19 oraz nowego kryzysu uchodźczego spowodowanego konfliktem</w:t>
      </w:r>
      <w:r w:rsidR="00FD0C71" w:rsidRPr="006E5269">
        <w:rPr>
          <w:noProof/>
        </w:rPr>
        <w:t xml:space="preserve"> w</w:t>
      </w:r>
      <w:r w:rsidR="00FD0C71">
        <w:rPr>
          <w:noProof/>
        </w:rPr>
        <w:t> </w:t>
      </w:r>
      <w:r w:rsidR="00FD0C71" w:rsidRPr="006E5269">
        <w:rPr>
          <w:noProof/>
        </w:rPr>
        <w:t>Tig</w:t>
      </w:r>
      <w:r w:rsidRPr="006E5269">
        <w:rPr>
          <w:noProof/>
        </w:rPr>
        <w:t>raju</w:t>
      </w:r>
      <w:r w:rsidR="00FD0C71" w:rsidRPr="006E5269">
        <w:rPr>
          <w:noProof/>
        </w:rPr>
        <w:t>. W</w:t>
      </w:r>
      <w:r w:rsidR="00FD0C71">
        <w:rPr>
          <w:noProof/>
        </w:rPr>
        <w:t> </w:t>
      </w:r>
      <w:r w:rsidR="00FD0C71" w:rsidRPr="006E5269">
        <w:rPr>
          <w:noProof/>
        </w:rPr>
        <w:t>rez</w:t>
      </w:r>
      <w:r w:rsidRPr="006E5269">
        <w:rPr>
          <w:noProof/>
        </w:rPr>
        <w:t>ultacie</w:t>
      </w:r>
      <w:r w:rsidR="00FD0C71" w:rsidRPr="006E5269">
        <w:rPr>
          <w:noProof/>
        </w:rPr>
        <w:t xml:space="preserve"> w</w:t>
      </w:r>
      <w:r w:rsidR="00FD0C71">
        <w:rPr>
          <w:noProof/>
        </w:rPr>
        <w:t> </w:t>
      </w:r>
      <w:r w:rsidR="00FD0C71" w:rsidRPr="006E5269">
        <w:rPr>
          <w:noProof/>
        </w:rPr>
        <w:t>Sud</w:t>
      </w:r>
      <w:r w:rsidRPr="006E5269">
        <w:rPr>
          <w:noProof/>
        </w:rPr>
        <w:t xml:space="preserve">anie znalazło </w:t>
      </w:r>
      <w:r w:rsidRPr="00FD0C71">
        <w:rPr>
          <w:noProof/>
        </w:rPr>
        <w:t>się</w:t>
      </w:r>
      <w:r w:rsidR="00FD0C71" w:rsidRPr="00FD0C71">
        <w:rPr>
          <w:noProof/>
        </w:rPr>
        <w:t> </w:t>
      </w:r>
      <w:r w:rsidRPr="00FD0C71">
        <w:rPr>
          <w:noProof/>
        </w:rPr>
        <w:t>1</w:t>
      </w:r>
      <w:r w:rsidRPr="006E5269">
        <w:rPr>
          <w:noProof/>
        </w:rPr>
        <w:t>,8 mln osób wewnętrznie przesiedlonych oraz 1,1 mln uchodźców,</w:t>
      </w:r>
      <w:r w:rsidR="00FD0C71" w:rsidRPr="006E5269">
        <w:rPr>
          <w:noProof/>
        </w:rPr>
        <w:t xml:space="preserve"> a</w:t>
      </w:r>
      <w:r w:rsidR="00FD0C71">
        <w:rPr>
          <w:noProof/>
        </w:rPr>
        <w:t> </w:t>
      </w:r>
      <w:r w:rsidR="00FD0C71" w:rsidRPr="006E5269">
        <w:rPr>
          <w:noProof/>
        </w:rPr>
        <w:t>ost</w:t>
      </w:r>
      <w:r w:rsidRPr="006E5269">
        <w:rPr>
          <w:noProof/>
        </w:rPr>
        <w:t xml:space="preserve">atnia ocena według zintegrowanej klasyfikacji faz bezpieczeństwa żywnościowego (Integrated Food Security Phase Classification) wykazała zwiększony brak bezpieczeństwa żywnościowego. </w:t>
      </w:r>
    </w:p>
    <w:p w:rsidR="005574C0" w:rsidRPr="006E5269" w:rsidRDefault="005574C0" w:rsidP="005574C0">
      <w:pPr>
        <w:spacing w:before="240" w:after="120"/>
        <w:jc w:val="both"/>
        <w:rPr>
          <w:rFonts w:cstheme="minorHAnsi"/>
          <w:i/>
          <w:noProof/>
        </w:rPr>
      </w:pPr>
      <w:r w:rsidRPr="006E5269">
        <w:rPr>
          <w:i/>
          <w:noProof/>
        </w:rPr>
        <w:t xml:space="preserve">Unijna pomoc humanitarna ogółem – </w:t>
      </w:r>
      <w:r w:rsidRPr="006E5269">
        <w:rPr>
          <w:b/>
          <w:i/>
          <w:noProof/>
        </w:rPr>
        <w:t>67,6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Uganda</w:t>
      </w:r>
    </w:p>
    <w:p w:rsidR="002F3E45" w:rsidRPr="006E5269" w:rsidRDefault="000C2E1E" w:rsidP="003057BC">
      <w:pPr>
        <w:spacing w:before="240" w:after="120"/>
        <w:jc w:val="both"/>
        <w:rPr>
          <w:rFonts w:cstheme="minorHAnsi"/>
          <w:noProof/>
        </w:rPr>
      </w:pPr>
      <w:r w:rsidRPr="006E5269">
        <w:rPr>
          <w:noProof/>
        </w:rPr>
        <w:t>Uganda przyjęła największą liczbę uchodźców (ponad 1,4 mln)</w:t>
      </w:r>
      <w:r w:rsidR="00FD0C71" w:rsidRPr="006E5269">
        <w:rPr>
          <w:noProof/>
        </w:rPr>
        <w:t xml:space="preserve"> w</w:t>
      </w:r>
      <w:r w:rsidR="00FD0C71">
        <w:rPr>
          <w:noProof/>
        </w:rPr>
        <w:t> </w:t>
      </w:r>
      <w:r w:rsidR="00FD0C71" w:rsidRPr="006E5269">
        <w:rPr>
          <w:noProof/>
        </w:rPr>
        <w:t>Afr</w:t>
      </w:r>
      <w:r w:rsidRPr="006E5269">
        <w:rPr>
          <w:noProof/>
        </w:rPr>
        <w:t>yce, głównie</w:t>
      </w:r>
      <w:r w:rsidR="00FD0C71" w:rsidRPr="006E5269">
        <w:rPr>
          <w:noProof/>
        </w:rPr>
        <w:t xml:space="preserve"> z</w:t>
      </w:r>
      <w:r w:rsidR="00FD0C71">
        <w:rPr>
          <w:noProof/>
        </w:rPr>
        <w:t> </w:t>
      </w:r>
      <w:r w:rsidR="00FD0C71" w:rsidRPr="006E5269">
        <w:rPr>
          <w:noProof/>
        </w:rPr>
        <w:t>Sud</w:t>
      </w:r>
      <w:r w:rsidRPr="006E5269">
        <w:rPr>
          <w:noProof/>
        </w:rPr>
        <w:t>anu Południowego</w:t>
      </w:r>
      <w:r w:rsidR="00FD0C71" w:rsidRPr="006E5269">
        <w:rPr>
          <w:noProof/>
        </w:rPr>
        <w:t xml:space="preserve"> i</w:t>
      </w:r>
      <w:r w:rsidR="00FD0C71">
        <w:rPr>
          <w:noProof/>
        </w:rPr>
        <w:t> </w:t>
      </w:r>
      <w:r w:rsidR="00FD0C71" w:rsidRPr="006E5269">
        <w:rPr>
          <w:noProof/>
        </w:rPr>
        <w:t>Dem</w:t>
      </w:r>
      <w:r w:rsidRPr="006E5269">
        <w:rPr>
          <w:noProof/>
        </w:rPr>
        <w:t>okratycznej Republiki Konga. Napływ uchodźców spowodował wyczerpanie zdolności przyjmowania ośrodków recepcyjnych</w:t>
      </w:r>
      <w:r w:rsidR="00FD0C71" w:rsidRPr="006E5269">
        <w:rPr>
          <w:noProof/>
        </w:rPr>
        <w:t xml:space="preserve"> i</w:t>
      </w:r>
      <w:r w:rsidR="00FD0C71">
        <w:rPr>
          <w:noProof/>
        </w:rPr>
        <w:t> </w:t>
      </w:r>
      <w:r w:rsidR="00FD0C71" w:rsidRPr="006E5269">
        <w:rPr>
          <w:noProof/>
        </w:rPr>
        <w:t>prz</w:t>
      </w:r>
      <w:r w:rsidRPr="006E5269">
        <w:rPr>
          <w:noProof/>
        </w:rPr>
        <w:t>ejściowych. Główne potrzeby są związane ze wsparciem żywnościowym, wodą, urządzeniami sanitarnymi oraz innymi podstawowymi usługami. Uganda jest również podatna na klęski żywiołowe</w:t>
      </w:r>
      <w:r w:rsidR="00FD0C71" w:rsidRPr="006E5269">
        <w:rPr>
          <w:noProof/>
        </w:rPr>
        <w:t xml:space="preserve"> i</w:t>
      </w:r>
      <w:r w:rsidR="00FD0C71">
        <w:rPr>
          <w:noProof/>
        </w:rPr>
        <w:t> </w:t>
      </w:r>
      <w:r w:rsidR="00FD0C71" w:rsidRPr="006E5269">
        <w:rPr>
          <w:noProof/>
        </w:rPr>
        <w:t>epi</w:t>
      </w:r>
      <w:r w:rsidRPr="006E5269">
        <w:rPr>
          <w:noProof/>
        </w:rPr>
        <w:t xml:space="preserve">demie. </w:t>
      </w:r>
    </w:p>
    <w:p w:rsidR="005574C0" w:rsidRPr="006E5269" w:rsidRDefault="005574C0" w:rsidP="005574C0">
      <w:pPr>
        <w:spacing w:before="240" w:after="120"/>
        <w:jc w:val="both"/>
        <w:rPr>
          <w:rFonts w:cstheme="minorHAnsi"/>
          <w:i/>
          <w:noProof/>
        </w:rPr>
      </w:pPr>
      <w:r w:rsidRPr="006E5269">
        <w:rPr>
          <w:i/>
          <w:noProof/>
        </w:rPr>
        <w:t xml:space="preserve">Unijna pomoc humanitarna ogółem – </w:t>
      </w:r>
      <w:r w:rsidRPr="006E5269">
        <w:rPr>
          <w:b/>
          <w:i/>
          <w:noProof/>
        </w:rPr>
        <w:t>34,45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Burundi</w:t>
      </w:r>
    </w:p>
    <w:p w:rsidR="002E1121" w:rsidRPr="006E5269" w:rsidRDefault="00EE500E" w:rsidP="003057BC">
      <w:pPr>
        <w:spacing w:before="240" w:after="120"/>
        <w:jc w:val="both"/>
        <w:rPr>
          <w:rFonts w:cstheme="minorHAnsi"/>
          <w:noProof/>
        </w:rPr>
      </w:pPr>
      <w:r w:rsidRPr="006E5269">
        <w:rPr>
          <w:noProof/>
        </w:rPr>
        <w:t>Z powodu ekstremalnych zdarzeń pogodowych, pandemii COVID-19 oraz obaw związanych</w:t>
      </w:r>
      <w:r w:rsidR="00FD0C71" w:rsidRPr="006E5269">
        <w:rPr>
          <w:noProof/>
        </w:rPr>
        <w:t xml:space="preserve"> z</w:t>
      </w:r>
      <w:r w:rsidR="00FD0C71">
        <w:rPr>
          <w:noProof/>
        </w:rPr>
        <w:t> </w:t>
      </w:r>
      <w:r w:rsidR="00FD0C71" w:rsidRPr="006E5269">
        <w:rPr>
          <w:noProof/>
        </w:rPr>
        <w:t>och</w:t>
      </w:r>
      <w:r w:rsidRPr="006E5269">
        <w:rPr>
          <w:noProof/>
        </w:rPr>
        <w:t>roną 1,74 mln osób</w:t>
      </w:r>
      <w:r w:rsidR="00FD0C71" w:rsidRPr="006E5269">
        <w:rPr>
          <w:noProof/>
        </w:rPr>
        <w:t xml:space="preserve"> w</w:t>
      </w:r>
      <w:r w:rsidR="00FD0C71">
        <w:rPr>
          <w:noProof/>
        </w:rPr>
        <w:t> </w:t>
      </w:r>
      <w:r w:rsidR="00FD0C71" w:rsidRPr="006E5269">
        <w:rPr>
          <w:noProof/>
        </w:rPr>
        <w:t>Bur</w:t>
      </w:r>
      <w:r w:rsidRPr="006E5269">
        <w:rPr>
          <w:noProof/>
        </w:rPr>
        <w:t>undi</w:t>
      </w:r>
      <w:r w:rsidR="00FD0C71" w:rsidRPr="006E5269">
        <w:rPr>
          <w:noProof/>
        </w:rPr>
        <w:t xml:space="preserve"> i</w:t>
      </w:r>
      <w:r w:rsidR="00FD0C71">
        <w:rPr>
          <w:noProof/>
        </w:rPr>
        <w:t> </w:t>
      </w:r>
      <w:r w:rsidR="00FD0C71" w:rsidRPr="006E5269">
        <w:rPr>
          <w:noProof/>
        </w:rPr>
        <w:t>pon</w:t>
      </w:r>
      <w:r w:rsidRPr="006E5269">
        <w:rPr>
          <w:noProof/>
        </w:rPr>
        <w:t>ad 310 000 uchodźców</w:t>
      </w:r>
      <w:r w:rsidR="00FD0C71" w:rsidRPr="006E5269">
        <w:rPr>
          <w:noProof/>
        </w:rPr>
        <w:t xml:space="preserve"> w</w:t>
      </w:r>
      <w:r w:rsidR="00FD0C71">
        <w:rPr>
          <w:noProof/>
        </w:rPr>
        <w:t> </w:t>
      </w:r>
      <w:r w:rsidR="00FD0C71" w:rsidRPr="006E5269">
        <w:rPr>
          <w:noProof/>
        </w:rPr>
        <w:t>kra</w:t>
      </w:r>
      <w:r w:rsidRPr="006E5269">
        <w:rPr>
          <w:noProof/>
        </w:rPr>
        <w:t xml:space="preserve">jach sąsiadujących potrzebowało pomocy humanitarnej. </w:t>
      </w:r>
    </w:p>
    <w:p w:rsidR="000C2E1E" w:rsidRPr="006E5269" w:rsidRDefault="002C743D" w:rsidP="003057BC">
      <w:pPr>
        <w:spacing w:before="240" w:after="120"/>
        <w:jc w:val="both"/>
        <w:rPr>
          <w:rFonts w:cstheme="minorHAnsi"/>
          <w:noProof/>
        </w:rPr>
      </w:pPr>
      <w:r w:rsidRPr="006E5269">
        <w:rPr>
          <w:noProof/>
        </w:rPr>
        <w:t>UE przyjęła podejście regionalne, przekazując pomoc na koordynację, zapewnienie gotowości na wypadek klęsk żywiołowych oraz ograniczenie ryzyka związanego</w:t>
      </w:r>
      <w:r w:rsidR="00FD0C71" w:rsidRPr="006E5269">
        <w:rPr>
          <w:noProof/>
        </w:rPr>
        <w:t xml:space="preserve"> z</w:t>
      </w:r>
      <w:r w:rsidR="00FD0C71">
        <w:rPr>
          <w:noProof/>
        </w:rPr>
        <w:t> </w:t>
      </w:r>
      <w:r w:rsidR="00FD0C71" w:rsidRPr="006E5269">
        <w:rPr>
          <w:noProof/>
        </w:rPr>
        <w:t>klę</w:t>
      </w:r>
      <w:r w:rsidRPr="006E5269">
        <w:rPr>
          <w:noProof/>
        </w:rPr>
        <w:t>skami żywiołowymi,</w:t>
      </w:r>
      <w:r w:rsidR="00FD0C71" w:rsidRPr="006E5269">
        <w:rPr>
          <w:noProof/>
        </w:rPr>
        <w:t xml:space="preserve"> w</w:t>
      </w:r>
      <w:r w:rsidR="00FD0C71">
        <w:rPr>
          <w:noProof/>
        </w:rPr>
        <w:t> </w:t>
      </w:r>
      <w:r w:rsidR="00FD0C71" w:rsidRPr="006E5269">
        <w:rPr>
          <w:noProof/>
        </w:rPr>
        <w:t>tym</w:t>
      </w:r>
      <w:r w:rsidRPr="006E5269">
        <w:rPr>
          <w:noProof/>
        </w:rPr>
        <w:t xml:space="preserve"> na walkę</w:t>
      </w:r>
      <w:r w:rsidR="00FD0C71" w:rsidRPr="006E5269">
        <w:rPr>
          <w:noProof/>
        </w:rPr>
        <w:t xml:space="preserve"> z</w:t>
      </w:r>
      <w:r w:rsidR="00FD0C71">
        <w:rPr>
          <w:noProof/>
        </w:rPr>
        <w:t> </w:t>
      </w:r>
      <w:r w:rsidR="00FD0C71" w:rsidRPr="006E5269">
        <w:rPr>
          <w:noProof/>
        </w:rPr>
        <w:t>epi</w:t>
      </w:r>
      <w:r w:rsidRPr="006E5269">
        <w:rPr>
          <w:noProof/>
        </w:rPr>
        <w:t xml:space="preserve">demiami. </w:t>
      </w:r>
    </w:p>
    <w:p w:rsidR="00FA3783" w:rsidRPr="006E5269" w:rsidRDefault="00FA3783" w:rsidP="003057BC">
      <w:pPr>
        <w:spacing w:before="240" w:after="120"/>
        <w:jc w:val="both"/>
        <w:rPr>
          <w:rFonts w:ascii="Verdana" w:hAnsi="Verdana"/>
          <w:b/>
          <w:noProof/>
          <w:sz w:val="20"/>
          <w:szCs w:val="20"/>
          <w:u w:val="single"/>
        </w:rPr>
      </w:pPr>
      <w:r w:rsidRPr="006E5269">
        <w:rPr>
          <w:i/>
          <w:noProof/>
        </w:rPr>
        <w:t xml:space="preserve">Unijna pomoc humanitarna ogółem – </w:t>
      </w:r>
      <w:r w:rsidRPr="006E5269">
        <w:rPr>
          <w:b/>
          <w:i/>
          <w:noProof/>
        </w:rPr>
        <w:t>8,5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Demokratyczna Republika Konga (DR Konga)</w:t>
      </w:r>
    </w:p>
    <w:p w:rsidR="002F3E45" w:rsidRPr="006E5269" w:rsidRDefault="00FA3783" w:rsidP="003057BC">
      <w:pPr>
        <w:spacing w:before="240" w:after="120"/>
        <w:jc w:val="both"/>
        <w:rPr>
          <w:rFonts w:cstheme="minorHAnsi"/>
          <w:noProof/>
        </w:rPr>
      </w:pPr>
      <w:r w:rsidRPr="006E5269">
        <w:rPr>
          <w:noProof/>
        </w:rPr>
        <w:t>Kryzysy humanitarne</w:t>
      </w:r>
      <w:r w:rsidR="00FD0C71" w:rsidRPr="006E5269">
        <w:rPr>
          <w:noProof/>
        </w:rPr>
        <w:t xml:space="preserve"> w</w:t>
      </w:r>
      <w:r w:rsidR="00FD0C71">
        <w:rPr>
          <w:noProof/>
        </w:rPr>
        <w:t> </w:t>
      </w:r>
      <w:r w:rsidR="00FD0C71" w:rsidRPr="006E5269">
        <w:rPr>
          <w:noProof/>
        </w:rPr>
        <w:t>tym</w:t>
      </w:r>
      <w:r w:rsidRPr="006E5269">
        <w:rPr>
          <w:noProof/>
        </w:rPr>
        <w:t xml:space="preserve"> państwie naraziły 21,8 mln osób na poważny brak bezpieczeństwa żywnościowego</w:t>
      </w:r>
      <w:r w:rsidR="00FD0C71" w:rsidRPr="006E5269">
        <w:rPr>
          <w:noProof/>
        </w:rPr>
        <w:t>. W</w:t>
      </w:r>
      <w:r w:rsidR="00FD0C71">
        <w:rPr>
          <w:noProof/>
        </w:rPr>
        <w:t> </w:t>
      </w:r>
      <w:r w:rsidR="00FD0C71" w:rsidRPr="006E5269">
        <w:rPr>
          <w:noProof/>
        </w:rPr>
        <w:t>wyn</w:t>
      </w:r>
      <w:r w:rsidRPr="006E5269">
        <w:rPr>
          <w:noProof/>
        </w:rPr>
        <w:t>iku rozprzestrzeniającego się konfliktu ponad 5 mln osób zostało wewnętrznie przesiedlonych, a do krajów sąsiadujących przybyło 900 000 uchodźców. Malaria, klęski żywiołowe, epidemie</w:t>
      </w:r>
      <w:r w:rsidR="00FD0C71" w:rsidRPr="006E5269">
        <w:rPr>
          <w:noProof/>
        </w:rPr>
        <w:t xml:space="preserve"> i</w:t>
      </w:r>
      <w:r w:rsidR="00FD0C71">
        <w:rPr>
          <w:noProof/>
        </w:rPr>
        <w:t> </w:t>
      </w:r>
      <w:r w:rsidR="00FD0C71" w:rsidRPr="006E5269">
        <w:rPr>
          <w:noProof/>
        </w:rPr>
        <w:t>pan</w:t>
      </w:r>
      <w:r w:rsidRPr="006E5269">
        <w:rPr>
          <w:noProof/>
        </w:rPr>
        <w:t>demia COVID-19 spowodowały ogromne straty</w:t>
      </w:r>
      <w:r w:rsidR="00FD0C71" w:rsidRPr="006E5269">
        <w:rPr>
          <w:noProof/>
        </w:rPr>
        <w:t xml:space="preserve"> w</w:t>
      </w:r>
      <w:r w:rsidR="00FD0C71">
        <w:rPr>
          <w:noProof/>
        </w:rPr>
        <w:t> </w:t>
      </w:r>
      <w:r w:rsidR="00FD0C71" w:rsidRPr="006E5269">
        <w:rPr>
          <w:noProof/>
        </w:rPr>
        <w:t>lud</w:t>
      </w:r>
      <w:r w:rsidRPr="006E5269">
        <w:rPr>
          <w:noProof/>
        </w:rPr>
        <w:t>ziach.</w:t>
      </w:r>
    </w:p>
    <w:p w:rsidR="000C2E1E" w:rsidRPr="006E5269" w:rsidRDefault="000C2E1E" w:rsidP="003057BC">
      <w:pPr>
        <w:spacing w:before="240" w:after="120"/>
        <w:jc w:val="both"/>
        <w:rPr>
          <w:rFonts w:cstheme="minorHAnsi"/>
          <w:noProof/>
        </w:rPr>
      </w:pPr>
      <w:r w:rsidRPr="006E5269">
        <w:rPr>
          <w:noProof/>
        </w:rPr>
        <w:t>UE przekazała ponad 40 mln EUR na działania ratujące życie ludzi, ponad 7 mln EUR na humanitarne przewozy lotnicze (transport lotniczy ECHO),</w:t>
      </w:r>
      <w:r w:rsidR="00FD0C71" w:rsidRPr="006E5269">
        <w:rPr>
          <w:noProof/>
        </w:rPr>
        <w:t xml:space="preserve"> a</w:t>
      </w:r>
      <w:r w:rsidR="00FD0C71">
        <w:rPr>
          <w:noProof/>
        </w:rPr>
        <w:t> </w:t>
      </w:r>
      <w:r w:rsidR="00FD0C71" w:rsidRPr="006E5269">
        <w:rPr>
          <w:noProof/>
        </w:rPr>
        <w:t>tak</w:t>
      </w:r>
      <w:r w:rsidRPr="006E5269">
        <w:rPr>
          <w:noProof/>
        </w:rPr>
        <w:t>że wspierała reagowanie kryzysowe na powodzie.</w:t>
      </w:r>
    </w:p>
    <w:p w:rsidR="00FA3783" w:rsidRPr="006E5269" w:rsidRDefault="00FA3783" w:rsidP="003057BC">
      <w:pPr>
        <w:spacing w:before="240" w:after="120"/>
        <w:jc w:val="both"/>
        <w:rPr>
          <w:rFonts w:cstheme="minorHAnsi"/>
          <w:noProof/>
        </w:rPr>
      </w:pPr>
      <w:r w:rsidRPr="006E5269">
        <w:rPr>
          <w:i/>
          <w:noProof/>
        </w:rPr>
        <w:t xml:space="preserve">Unijna pomoc humanitarna ogółem – </w:t>
      </w:r>
      <w:r w:rsidRPr="006E5269">
        <w:rPr>
          <w:b/>
          <w:i/>
          <w:noProof/>
        </w:rPr>
        <w:t>47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 xml:space="preserve">Republika Środkowoafrykańska </w:t>
      </w:r>
    </w:p>
    <w:p w:rsidR="00007553" w:rsidRPr="006E5269" w:rsidRDefault="000C2E1E" w:rsidP="003057BC">
      <w:pPr>
        <w:spacing w:before="240" w:after="120"/>
        <w:jc w:val="both"/>
        <w:rPr>
          <w:rFonts w:cstheme="minorHAnsi"/>
          <w:noProof/>
        </w:rPr>
      </w:pPr>
      <w:r w:rsidRPr="006E5269">
        <w:rPr>
          <w:noProof/>
        </w:rPr>
        <w:t>W związku</w:t>
      </w:r>
      <w:r w:rsidR="00FD0C71" w:rsidRPr="006E5269">
        <w:rPr>
          <w:noProof/>
        </w:rPr>
        <w:t xml:space="preserve"> z</w:t>
      </w:r>
      <w:r w:rsidR="00FD0C71">
        <w:rPr>
          <w:noProof/>
        </w:rPr>
        <w:t> </w:t>
      </w:r>
      <w:r w:rsidR="00FD0C71" w:rsidRPr="006E5269">
        <w:rPr>
          <w:noProof/>
        </w:rPr>
        <w:t>pog</w:t>
      </w:r>
      <w:r w:rsidRPr="006E5269">
        <w:rPr>
          <w:noProof/>
        </w:rPr>
        <w:t>łębiającym się kryzysem regionalnym, który dotknął ponad 1,6 mln osób, unijne środki finansowe zostały wykorzystane na wsparcie żywnościowe</w:t>
      </w:r>
      <w:r w:rsidR="00FD0C71" w:rsidRPr="006E5269">
        <w:rPr>
          <w:noProof/>
        </w:rPr>
        <w:t xml:space="preserve"> i</w:t>
      </w:r>
      <w:r w:rsidR="00FD0C71">
        <w:rPr>
          <w:noProof/>
        </w:rPr>
        <w:t> </w:t>
      </w:r>
      <w:r w:rsidR="00FD0C71" w:rsidRPr="006E5269">
        <w:rPr>
          <w:noProof/>
        </w:rPr>
        <w:t>pom</w:t>
      </w:r>
      <w:r w:rsidRPr="006E5269">
        <w:rPr>
          <w:noProof/>
        </w:rPr>
        <w:t>oc</w:t>
      </w:r>
      <w:r w:rsidR="00FD0C71" w:rsidRPr="006E5269">
        <w:rPr>
          <w:noProof/>
        </w:rPr>
        <w:t xml:space="preserve"> w</w:t>
      </w:r>
      <w:r w:rsidR="00FD0C71">
        <w:rPr>
          <w:noProof/>
        </w:rPr>
        <w:t> </w:t>
      </w:r>
      <w:r w:rsidR="00FD0C71" w:rsidRPr="006E5269">
        <w:rPr>
          <w:noProof/>
        </w:rPr>
        <w:t>zak</w:t>
      </w:r>
      <w:r w:rsidRPr="006E5269">
        <w:rPr>
          <w:noProof/>
        </w:rPr>
        <w:t>resie źródeł utrzymania, rolnictwo, ochronę ludności cywilnej</w:t>
      </w:r>
      <w:r w:rsidR="00FD0C71" w:rsidRPr="006E5269">
        <w:rPr>
          <w:noProof/>
        </w:rPr>
        <w:t xml:space="preserve"> i</w:t>
      </w:r>
      <w:r w:rsidR="00FD0C71">
        <w:rPr>
          <w:noProof/>
        </w:rPr>
        <w:t> </w:t>
      </w:r>
      <w:r w:rsidR="00FD0C71" w:rsidRPr="006E5269">
        <w:rPr>
          <w:noProof/>
        </w:rPr>
        <w:t>pod</w:t>
      </w:r>
      <w:r w:rsidRPr="006E5269">
        <w:rPr>
          <w:noProof/>
        </w:rPr>
        <w:t>stawowych usług</w:t>
      </w:r>
      <w:r w:rsidR="00FD0C71" w:rsidRPr="006E5269">
        <w:rPr>
          <w:noProof/>
        </w:rPr>
        <w:t xml:space="preserve"> w</w:t>
      </w:r>
      <w:r w:rsidR="00FD0C71">
        <w:rPr>
          <w:noProof/>
        </w:rPr>
        <w:t> </w:t>
      </w:r>
      <w:r w:rsidR="00FD0C71" w:rsidRPr="006E5269">
        <w:rPr>
          <w:noProof/>
        </w:rPr>
        <w:t>Rep</w:t>
      </w:r>
      <w:r w:rsidRPr="006E5269">
        <w:rPr>
          <w:noProof/>
        </w:rPr>
        <w:t>ublice Środkowoafrykańskiej. Udzielono również wsparcia na rzecz wzmocnienia koordynacji, bezpieczeństwa</w:t>
      </w:r>
      <w:r w:rsidR="00FD0C71" w:rsidRPr="006E5269">
        <w:rPr>
          <w:noProof/>
        </w:rPr>
        <w:t xml:space="preserve"> i</w:t>
      </w:r>
      <w:r w:rsidR="00FD0C71">
        <w:rPr>
          <w:noProof/>
        </w:rPr>
        <w:t> </w:t>
      </w:r>
      <w:r w:rsidR="00FD0C71" w:rsidRPr="006E5269">
        <w:rPr>
          <w:noProof/>
        </w:rPr>
        <w:t>log</w:t>
      </w:r>
      <w:r w:rsidRPr="006E5269">
        <w:rPr>
          <w:noProof/>
        </w:rPr>
        <w:t xml:space="preserve">istyki. </w:t>
      </w:r>
    </w:p>
    <w:p w:rsidR="00FA3783" w:rsidRPr="006E5269" w:rsidRDefault="00FA3783" w:rsidP="003057BC">
      <w:pPr>
        <w:spacing w:before="240" w:after="120"/>
        <w:jc w:val="both"/>
        <w:rPr>
          <w:rFonts w:cstheme="minorHAnsi"/>
          <w:noProof/>
        </w:rPr>
      </w:pPr>
      <w:r w:rsidRPr="006E5269">
        <w:rPr>
          <w:i/>
          <w:noProof/>
        </w:rPr>
        <w:t xml:space="preserve">Unijna pomoc humanitarna ogółem – </w:t>
      </w:r>
      <w:r w:rsidRPr="006E5269">
        <w:rPr>
          <w:b/>
          <w:i/>
          <w:noProof/>
        </w:rPr>
        <w:t>22,7 mln EUR</w:t>
      </w:r>
      <w:r w:rsidRPr="006E5269">
        <w:rPr>
          <w:i/>
          <w:noProof/>
        </w:rPr>
        <w:t>.</w:t>
      </w:r>
    </w:p>
    <w:p w:rsidR="00FE0132" w:rsidRDefault="00FE0132" w:rsidP="003057BC">
      <w:pPr>
        <w:spacing w:before="240"/>
        <w:jc w:val="both"/>
        <w:rPr>
          <w:b/>
          <w:noProof/>
          <w:color w:val="0070C0"/>
        </w:rPr>
      </w:pPr>
    </w:p>
    <w:p w:rsidR="000C2E1E" w:rsidRPr="006E5269" w:rsidRDefault="000C2E1E" w:rsidP="003057BC">
      <w:pPr>
        <w:spacing w:before="240"/>
        <w:jc w:val="both"/>
        <w:rPr>
          <w:rFonts w:cstheme="majorBidi"/>
          <w:b/>
          <w:noProof/>
          <w:color w:val="0070C0"/>
        </w:rPr>
      </w:pPr>
      <w:r w:rsidRPr="006E5269">
        <w:rPr>
          <w:b/>
          <w:noProof/>
          <w:color w:val="0070C0"/>
        </w:rPr>
        <w:t>Sahel</w:t>
      </w:r>
    </w:p>
    <w:p w:rsidR="000C2E1E" w:rsidRPr="006E5269" w:rsidRDefault="009363BC" w:rsidP="003057BC">
      <w:pPr>
        <w:spacing w:before="240" w:after="120"/>
        <w:jc w:val="both"/>
        <w:rPr>
          <w:rFonts w:cstheme="minorHAnsi"/>
          <w:noProof/>
        </w:rPr>
      </w:pPr>
      <w:r w:rsidRPr="006E5269">
        <w:rPr>
          <w:noProof/>
        </w:rPr>
        <w:t>UE zaspokoiła doraźne potrzeby humanitarne</w:t>
      </w:r>
      <w:r w:rsidR="00FD0C71" w:rsidRPr="006E5269">
        <w:rPr>
          <w:noProof/>
        </w:rPr>
        <w:t xml:space="preserve"> w</w:t>
      </w:r>
      <w:r w:rsidR="00FD0C71">
        <w:rPr>
          <w:noProof/>
        </w:rPr>
        <w:t> </w:t>
      </w:r>
      <w:r w:rsidR="00FD0C71" w:rsidRPr="006E5269">
        <w:rPr>
          <w:noProof/>
        </w:rPr>
        <w:t>Bur</w:t>
      </w:r>
      <w:r w:rsidRPr="006E5269">
        <w:rPr>
          <w:noProof/>
        </w:rPr>
        <w:t>kina Faso, Mauretanii, Mali, Czadzie, Nigrze, Nigerii</w:t>
      </w:r>
      <w:r w:rsidR="00FD0C71" w:rsidRPr="006E5269">
        <w:rPr>
          <w:noProof/>
        </w:rPr>
        <w:t xml:space="preserve"> i</w:t>
      </w:r>
      <w:r w:rsidR="00FD0C71">
        <w:rPr>
          <w:noProof/>
        </w:rPr>
        <w:t> </w:t>
      </w:r>
      <w:r w:rsidR="00FD0C71" w:rsidRPr="006E5269">
        <w:rPr>
          <w:noProof/>
        </w:rPr>
        <w:t>Kam</w:t>
      </w:r>
      <w:r w:rsidRPr="006E5269">
        <w:rPr>
          <w:noProof/>
        </w:rPr>
        <w:t>erunie, przekazując pomoc ponad 7,5 mln osób.</w:t>
      </w:r>
    </w:p>
    <w:p w:rsidR="00601A99" w:rsidRPr="006E5269" w:rsidRDefault="00BE5288" w:rsidP="003057BC">
      <w:pPr>
        <w:spacing w:before="240" w:after="120"/>
        <w:jc w:val="both"/>
        <w:rPr>
          <w:rFonts w:cstheme="minorHAnsi"/>
          <w:noProof/>
        </w:rPr>
      </w:pPr>
      <w:r w:rsidRPr="006E5269">
        <w:rPr>
          <w:noProof/>
        </w:rPr>
        <w:t>UE zapewniła mechanizmy szybkiego reagowania, ochronę, przewozy lotnicze umożliwiające dotarcie do trudno dostępnych obszarów (transport lotniczy ECHO), humanitarną koordynację cywilno-wojskową oraz zarządzanie bezpieczeństwem na obszarach dotkniętych konfliktem. Zapewniła również leczenie</w:t>
      </w:r>
      <w:r w:rsidR="00FD0C71" w:rsidRPr="006E5269">
        <w:rPr>
          <w:noProof/>
        </w:rPr>
        <w:t xml:space="preserve"> w</w:t>
      </w:r>
      <w:r w:rsidR="00FD0C71">
        <w:rPr>
          <w:noProof/>
        </w:rPr>
        <w:t> </w:t>
      </w:r>
      <w:r w:rsidR="00FD0C71" w:rsidRPr="006E5269">
        <w:rPr>
          <w:noProof/>
        </w:rPr>
        <w:t>odp</w:t>
      </w:r>
      <w:r w:rsidRPr="006E5269">
        <w:rPr>
          <w:noProof/>
        </w:rPr>
        <w:t>owiedzi na kryzys żywnościowy</w:t>
      </w:r>
      <w:r w:rsidR="00FD0C71" w:rsidRPr="006E5269">
        <w:rPr>
          <w:noProof/>
        </w:rPr>
        <w:t xml:space="preserve"> i</w:t>
      </w:r>
      <w:r w:rsidR="00FD0C71">
        <w:rPr>
          <w:noProof/>
        </w:rPr>
        <w:t> </w:t>
      </w:r>
      <w:r w:rsidR="00FD0C71" w:rsidRPr="006E5269">
        <w:rPr>
          <w:noProof/>
        </w:rPr>
        <w:t>żyw</w:t>
      </w:r>
      <w:r w:rsidRPr="006E5269">
        <w:rPr>
          <w:noProof/>
        </w:rPr>
        <w:t>ieniowy. Komisja wdrożyła ponadto powiązanie między aspektami humanitarnymi</w:t>
      </w:r>
      <w:r w:rsidR="00FD0C71" w:rsidRPr="006E5269">
        <w:rPr>
          <w:noProof/>
        </w:rPr>
        <w:t xml:space="preserve"> a</w:t>
      </w:r>
      <w:r w:rsidR="00FD0C71">
        <w:rPr>
          <w:noProof/>
        </w:rPr>
        <w:t> </w:t>
      </w:r>
      <w:r w:rsidR="00FD0C71" w:rsidRPr="006E5269">
        <w:rPr>
          <w:noProof/>
        </w:rPr>
        <w:t>roz</w:t>
      </w:r>
      <w:r w:rsidRPr="006E5269">
        <w:rPr>
          <w:noProof/>
        </w:rPr>
        <w:t>wojowymi</w:t>
      </w:r>
      <w:r w:rsidR="00FD0C71" w:rsidRPr="006E5269">
        <w:rPr>
          <w:noProof/>
        </w:rPr>
        <w:t xml:space="preserve"> i</w:t>
      </w:r>
      <w:r w:rsidR="00FD0C71">
        <w:rPr>
          <w:noProof/>
        </w:rPr>
        <w:t> </w:t>
      </w:r>
      <w:r w:rsidR="00FD0C71" w:rsidRPr="006E5269">
        <w:rPr>
          <w:noProof/>
        </w:rPr>
        <w:t>pok</w:t>
      </w:r>
      <w:r w:rsidRPr="006E5269">
        <w:rPr>
          <w:noProof/>
        </w:rPr>
        <w:t>ojowymi</w:t>
      </w:r>
      <w:r w:rsidRPr="006E5269">
        <w:rPr>
          <w:rStyle w:val="FootnoteReference"/>
          <w:rFonts w:cstheme="minorHAnsi"/>
          <w:noProof/>
        </w:rPr>
        <w:footnoteReference w:id="5"/>
      </w:r>
      <w:r w:rsidRPr="006E5269">
        <w:rPr>
          <w:noProof/>
        </w:rPr>
        <w:t>, aby zwiększać odporność ludności dotkniętej skutkami kryzysu, ograniczyć potrzeby humanitarne</w:t>
      </w:r>
      <w:r w:rsidR="00FD0C71" w:rsidRPr="006E5269">
        <w:rPr>
          <w:noProof/>
        </w:rPr>
        <w:t xml:space="preserve"> i</w:t>
      </w:r>
      <w:r w:rsidR="00FD0C71">
        <w:rPr>
          <w:noProof/>
        </w:rPr>
        <w:t> </w:t>
      </w:r>
      <w:r w:rsidR="00FD0C71" w:rsidRPr="006E5269">
        <w:rPr>
          <w:noProof/>
        </w:rPr>
        <w:t>wye</w:t>
      </w:r>
      <w:r w:rsidRPr="006E5269">
        <w:rPr>
          <w:noProof/>
        </w:rPr>
        <w:t>liminować główne źródła braku bezpieczeństwa żywnościowego</w:t>
      </w:r>
      <w:r w:rsidR="00FD0C71" w:rsidRPr="006E5269">
        <w:rPr>
          <w:noProof/>
        </w:rPr>
        <w:t xml:space="preserve"> i</w:t>
      </w:r>
      <w:r w:rsidR="00FD0C71">
        <w:rPr>
          <w:noProof/>
        </w:rPr>
        <w:t> </w:t>
      </w:r>
      <w:r w:rsidR="00FD0C71" w:rsidRPr="006E5269">
        <w:rPr>
          <w:noProof/>
        </w:rPr>
        <w:t>ost</w:t>
      </w:r>
      <w:r w:rsidRPr="006E5269">
        <w:rPr>
          <w:noProof/>
        </w:rPr>
        <w:t>rego niedożywienia.</w:t>
      </w:r>
    </w:p>
    <w:p w:rsidR="00416917" w:rsidRPr="00FE0132" w:rsidRDefault="000028A7" w:rsidP="00FE0132">
      <w:pPr>
        <w:spacing w:before="240" w:after="120"/>
        <w:jc w:val="both"/>
        <w:rPr>
          <w:rFonts w:cstheme="minorHAnsi"/>
          <w:noProof/>
        </w:rPr>
      </w:pPr>
      <w:r w:rsidRPr="006E5269">
        <w:rPr>
          <w:i/>
          <w:noProof/>
        </w:rPr>
        <w:t xml:space="preserve">Unijna pomoc humanitarna ogółem – </w:t>
      </w:r>
      <w:r w:rsidRPr="006E5269">
        <w:rPr>
          <w:b/>
          <w:i/>
          <w:noProof/>
        </w:rPr>
        <w:t>190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Basen jeziora Czad</w:t>
      </w:r>
    </w:p>
    <w:p w:rsidR="000C2E1E" w:rsidRPr="006E5269" w:rsidRDefault="001D5BF2" w:rsidP="003057BC">
      <w:pPr>
        <w:spacing w:before="240" w:after="120"/>
        <w:jc w:val="both"/>
        <w:rPr>
          <w:rFonts w:cstheme="minorHAnsi"/>
          <w:noProof/>
        </w:rPr>
      </w:pPr>
      <w:r w:rsidRPr="006E5269">
        <w:rPr>
          <w:noProof/>
        </w:rPr>
        <w:t>Trwający od dekady kryzys dotyka ponad 10 mln osób</w:t>
      </w:r>
      <w:r w:rsidR="00FD0C71" w:rsidRPr="006E5269">
        <w:rPr>
          <w:noProof/>
        </w:rPr>
        <w:t xml:space="preserve"> w</w:t>
      </w:r>
      <w:r w:rsidR="00FD0C71">
        <w:rPr>
          <w:noProof/>
        </w:rPr>
        <w:t> </w:t>
      </w:r>
      <w:r w:rsidR="00FD0C71" w:rsidRPr="006E5269">
        <w:rPr>
          <w:noProof/>
        </w:rPr>
        <w:t>tym</w:t>
      </w:r>
      <w:r w:rsidRPr="006E5269">
        <w:rPr>
          <w:noProof/>
        </w:rPr>
        <w:t xml:space="preserve"> regionie. Unijne środki finansowe zapewniły pomoc, ochronę</w:t>
      </w:r>
      <w:r w:rsidR="00FD0C71" w:rsidRPr="006E5269">
        <w:rPr>
          <w:noProof/>
        </w:rPr>
        <w:t xml:space="preserve"> i</w:t>
      </w:r>
      <w:r w:rsidR="00FD0C71">
        <w:rPr>
          <w:noProof/>
        </w:rPr>
        <w:t> </w:t>
      </w:r>
      <w:r w:rsidR="00FD0C71" w:rsidRPr="006E5269">
        <w:rPr>
          <w:noProof/>
        </w:rPr>
        <w:t>wsp</w:t>
      </w:r>
      <w:r w:rsidRPr="006E5269">
        <w:rPr>
          <w:noProof/>
        </w:rPr>
        <w:t>arcie ludności dotkniętej konfliktem</w:t>
      </w:r>
      <w:r w:rsidR="00FD0C71" w:rsidRPr="006E5269">
        <w:rPr>
          <w:noProof/>
        </w:rPr>
        <w:t xml:space="preserve"> w</w:t>
      </w:r>
      <w:r w:rsidR="00FD0C71">
        <w:rPr>
          <w:noProof/>
        </w:rPr>
        <w:t> </w:t>
      </w:r>
      <w:r w:rsidR="00FD0C71" w:rsidRPr="006E5269">
        <w:rPr>
          <w:noProof/>
        </w:rPr>
        <w:t>reg</w:t>
      </w:r>
      <w:r w:rsidRPr="006E5269">
        <w:rPr>
          <w:noProof/>
        </w:rPr>
        <w:t>ionie,</w:t>
      </w:r>
      <w:r w:rsidR="00FD0C71" w:rsidRPr="006E5269">
        <w:rPr>
          <w:noProof/>
        </w:rPr>
        <w:t xml:space="preserve"> a</w:t>
      </w:r>
      <w:r w:rsidR="00FD0C71">
        <w:rPr>
          <w:noProof/>
        </w:rPr>
        <w:t> </w:t>
      </w:r>
      <w:r w:rsidR="00FD0C71" w:rsidRPr="006E5269">
        <w:rPr>
          <w:noProof/>
        </w:rPr>
        <w:t>tak</w:t>
      </w:r>
      <w:r w:rsidRPr="006E5269">
        <w:rPr>
          <w:noProof/>
        </w:rPr>
        <w:t>że wsparcie</w:t>
      </w:r>
      <w:r w:rsidR="00FD0C71" w:rsidRPr="006E5269">
        <w:rPr>
          <w:noProof/>
        </w:rPr>
        <w:t xml:space="preserve"> w</w:t>
      </w:r>
      <w:r w:rsidR="00FD0C71">
        <w:rPr>
          <w:noProof/>
        </w:rPr>
        <w:t> </w:t>
      </w:r>
      <w:r w:rsidR="00FD0C71" w:rsidRPr="006E5269">
        <w:rPr>
          <w:noProof/>
        </w:rPr>
        <w:t>lec</w:t>
      </w:r>
      <w:r w:rsidRPr="006E5269">
        <w:rPr>
          <w:noProof/>
        </w:rPr>
        <w:t xml:space="preserve">zeniu ostrego niedożywienia. </w:t>
      </w:r>
    </w:p>
    <w:p w:rsidR="00A91917" w:rsidRPr="006E5269" w:rsidRDefault="00A91917" w:rsidP="003057BC">
      <w:pPr>
        <w:spacing w:before="240" w:after="120"/>
        <w:jc w:val="both"/>
        <w:rPr>
          <w:rFonts w:cstheme="minorHAnsi"/>
          <w:b/>
          <w:noProof/>
          <w:u w:val="single"/>
        </w:rPr>
      </w:pPr>
      <w:r w:rsidRPr="006E5269">
        <w:rPr>
          <w:i/>
          <w:noProof/>
        </w:rPr>
        <w:t xml:space="preserve">Unijna pomoc humanitarna ogółem – </w:t>
      </w:r>
      <w:r w:rsidRPr="006E5269">
        <w:rPr>
          <w:b/>
          <w:i/>
          <w:noProof/>
        </w:rPr>
        <w:t>72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Region Afryki Południowej</w:t>
      </w:r>
      <w:r w:rsidR="00FD0C71" w:rsidRPr="006E5269">
        <w:rPr>
          <w:b/>
          <w:noProof/>
          <w:color w:val="0070C0"/>
        </w:rPr>
        <w:t xml:space="preserve"> i</w:t>
      </w:r>
      <w:r w:rsidR="00FD0C71">
        <w:rPr>
          <w:b/>
          <w:noProof/>
          <w:color w:val="0070C0"/>
        </w:rPr>
        <w:t> </w:t>
      </w:r>
      <w:r w:rsidR="00FD0C71" w:rsidRPr="006E5269">
        <w:rPr>
          <w:b/>
          <w:noProof/>
          <w:color w:val="0070C0"/>
        </w:rPr>
        <w:t>Oce</w:t>
      </w:r>
      <w:r w:rsidRPr="006E5269">
        <w:rPr>
          <w:b/>
          <w:noProof/>
          <w:color w:val="0070C0"/>
        </w:rPr>
        <w:t>anu Indyjskiego</w:t>
      </w:r>
    </w:p>
    <w:p w:rsidR="00E969CF" w:rsidRPr="006E5269" w:rsidRDefault="000C2E1E" w:rsidP="003057BC">
      <w:pPr>
        <w:spacing w:before="240" w:after="240"/>
        <w:jc w:val="both"/>
        <w:rPr>
          <w:noProof/>
          <w:color w:val="auto"/>
        </w:rPr>
      </w:pPr>
      <w:r w:rsidRPr="006E5269">
        <w:rPr>
          <w:noProof/>
        </w:rPr>
        <w:t>Ze względu na wzrost ekstremalnych zdarzeń pogodowych priorytetami</w:t>
      </w:r>
      <w:r w:rsidR="00FD0C71" w:rsidRPr="006E5269">
        <w:rPr>
          <w:noProof/>
        </w:rPr>
        <w:t xml:space="preserve"> w</w:t>
      </w:r>
      <w:r w:rsidR="00FD0C71">
        <w:rPr>
          <w:noProof/>
        </w:rPr>
        <w:t> </w:t>
      </w:r>
      <w:r w:rsidR="00FD0C71" w:rsidRPr="006E5269">
        <w:rPr>
          <w:noProof/>
        </w:rPr>
        <w:t>tym</w:t>
      </w:r>
      <w:r w:rsidRPr="006E5269">
        <w:rPr>
          <w:noProof/>
        </w:rPr>
        <w:t xml:space="preserve"> regionie były: reagowanie kryzysowe na klęski żywiołowe</w:t>
      </w:r>
      <w:r w:rsidR="00FD0C71" w:rsidRPr="006E5269">
        <w:rPr>
          <w:noProof/>
        </w:rPr>
        <w:t xml:space="preserve"> i</w:t>
      </w:r>
      <w:r w:rsidR="00FD0C71">
        <w:rPr>
          <w:noProof/>
        </w:rPr>
        <w:t> </w:t>
      </w:r>
      <w:r w:rsidR="00FD0C71" w:rsidRPr="006E5269">
        <w:rPr>
          <w:noProof/>
        </w:rPr>
        <w:t>kat</w:t>
      </w:r>
      <w:r w:rsidRPr="006E5269">
        <w:rPr>
          <w:noProof/>
        </w:rPr>
        <w:t>astrofy spowodowane przez człowieka, edukacja</w:t>
      </w:r>
      <w:r w:rsidR="00FD0C71" w:rsidRPr="006E5269">
        <w:rPr>
          <w:noProof/>
        </w:rPr>
        <w:t xml:space="preserve"> w</w:t>
      </w:r>
      <w:r w:rsidR="00FD0C71">
        <w:rPr>
          <w:noProof/>
        </w:rPr>
        <w:t> </w:t>
      </w:r>
      <w:r w:rsidR="00FD0C71" w:rsidRPr="006E5269">
        <w:rPr>
          <w:noProof/>
        </w:rPr>
        <w:t>syt</w:t>
      </w:r>
      <w:r w:rsidRPr="006E5269">
        <w:rPr>
          <w:noProof/>
        </w:rPr>
        <w:t>uacjach nadzwyczajnych oraz gotowość na wypadek klęsk żywiołowych. Ponad 16 mln osób zagrażał również brak bezpieczeństwa żywnościowego. Pandemia COVID-19</w:t>
      </w:r>
      <w:r w:rsidR="00FD0C71" w:rsidRPr="006E5269">
        <w:rPr>
          <w:noProof/>
        </w:rPr>
        <w:t xml:space="preserve"> i</w:t>
      </w:r>
      <w:r w:rsidR="00FD0C71">
        <w:rPr>
          <w:noProof/>
        </w:rPr>
        <w:t> </w:t>
      </w:r>
      <w:r w:rsidR="00FD0C71" w:rsidRPr="006E5269">
        <w:rPr>
          <w:noProof/>
        </w:rPr>
        <w:t>jej</w:t>
      </w:r>
      <w:r w:rsidRPr="006E5269">
        <w:rPr>
          <w:noProof/>
        </w:rPr>
        <w:t xml:space="preserve"> skutki miały poważny wpływ na źródła utrzymania,</w:t>
      </w:r>
      <w:r w:rsidR="00FD0C71" w:rsidRPr="006E5269">
        <w:rPr>
          <w:noProof/>
        </w:rPr>
        <w:t xml:space="preserve"> a</w:t>
      </w:r>
      <w:r w:rsidR="00FD0C71">
        <w:rPr>
          <w:noProof/>
        </w:rPr>
        <w:t> </w:t>
      </w:r>
      <w:r w:rsidR="00FD0C71" w:rsidRPr="006E5269">
        <w:rPr>
          <w:noProof/>
        </w:rPr>
        <w:t>fin</w:t>
      </w:r>
      <w:r w:rsidRPr="006E5269">
        <w:rPr>
          <w:noProof/>
        </w:rPr>
        <w:t>ansowanie unijne przyczyniło się do zwiększenia gotowości</w:t>
      </w:r>
      <w:r w:rsidR="00FD0C71" w:rsidRPr="006E5269">
        <w:rPr>
          <w:noProof/>
        </w:rPr>
        <w:t xml:space="preserve"> i</w:t>
      </w:r>
      <w:r w:rsidR="00FD0C71">
        <w:rPr>
          <w:noProof/>
        </w:rPr>
        <w:t> </w:t>
      </w:r>
      <w:r w:rsidR="00FD0C71" w:rsidRPr="006E5269">
        <w:rPr>
          <w:noProof/>
        </w:rPr>
        <w:t>rea</w:t>
      </w:r>
      <w:r w:rsidRPr="006E5269">
        <w:rPr>
          <w:noProof/>
        </w:rPr>
        <w:t>gowania</w:t>
      </w:r>
      <w:r w:rsidRPr="006E5269">
        <w:rPr>
          <w:noProof/>
          <w:color w:val="auto"/>
        </w:rPr>
        <w:t>. UE udzieliła pomocy humanitarnej również</w:t>
      </w:r>
      <w:r w:rsidR="00FD0C71" w:rsidRPr="006E5269">
        <w:rPr>
          <w:noProof/>
          <w:color w:val="auto"/>
        </w:rPr>
        <w:t xml:space="preserve"> w</w:t>
      </w:r>
      <w:r w:rsidR="00FD0C71">
        <w:rPr>
          <w:noProof/>
          <w:color w:val="auto"/>
        </w:rPr>
        <w:t> </w:t>
      </w:r>
      <w:r w:rsidR="00FD0C71" w:rsidRPr="006E5269">
        <w:rPr>
          <w:noProof/>
          <w:color w:val="auto"/>
        </w:rPr>
        <w:t>odp</w:t>
      </w:r>
      <w:r w:rsidRPr="006E5269">
        <w:rPr>
          <w:noProof/>
          <w:color w:val="auto"/>
        </w:rPr>
        <w:t>owiedzi na kryzys związany</w:t>
      </w:r>
      <w:r w:rsidR="00FD0C71" w:rsidRPr="006E5269">
        <w:rPr>
          <w:noProof/>
          <w:color w:val="auto"/>
        </w:rPr>
        <w:t xml:space="preserve"> z</w:t>
      </w:r>
      <w:r w:rsidR="00FD0C71">
        <w:rPr>
          <w:noProof/>
          <w:color w:val="auto"/>
        </w:rPr>
        <w:t> </w:t>
      </w:r>
      <w:r w:rsidR="00FD0C71" w:rsidRPr="006E5269">
        <w:rPr>
          <w:noProof/>
          <w:color w:val="auto"/>
        </w:rPr>
        <w:t>prz</w:t>
      </w:r>
      <w:r w:rsidRPr="006E5269">
        <w:rPr>
          <w:noProof/>
          <w:color w:val="auto"/>
        </w:rPr>
        <w:t>emocą zbrojną</w:t>
      </w:r>
      <w:r w:rsidR="00FD0C71" w:rsidRPr="006E5269">
        <w:rPr>
          <w:noProof/>
          <w:color w:val="auto"/>
        </w:rPr>
        <w:t xml:space="preserve"> i</w:t>
      </w:r>
      <w:r w:rsidR="00FD0C71">
        <w:rPr>
          <w:noProof/>
          <w:color w:val="auto"/>
        </w:rPr>
        <w:t> </w:t>
      </w:r>
      <w:r w:rsidR="00FD0C71" w:rsidRPr="006E5269">
        <w:rPr>
          <w:noProof/>
          <w:color w:val="auto"/>
        </w:rPr>
        <w:t>prz</w:t>
      </w:r>
      <w:r w:rsidRPr="006E5269">
        <w:rPr>
          <w:noProof/>
          <w:color w:val="auto"/>
        </w:rPr>
        <w:t>esiedleniami wewnętrznymi</w:t>
      </w:r>
      <w:r w:rsidR="00FD0C71" w:rsidRPr="006E5269">
        <w:rPr>
          <w:noProof/>
          <w:color w:val="auto"/>
        </w:rPr>
        <w:t xml:space="preserve"> w</w:t>
      </w:r>
      <w:r w:rsidR="00FD0C71">
        <w:rPr>
          <w:noProof/>
          <w:color w:val="auto"/>
        </w:rPr>
        <w:t> </w:t>
      </w:r>
      <w:r w:rsidR="00FD0C71" w:rsidRPr="006E5269">
        <w:rPr>
          <w:noProof/>
          <w:color w:val="auto"/>
        </w:rPr>
        <w:t>pro</w:t>
      </w:r>
      <w:r w:rsidRPr="006E5269">
        <w:rPr>
          <w:noProof/>
          <w:color w:val="auto"/>
        </w:rPr>
        <w:t>wincji Cabo Delgado</w:t>
      </w:r>
      <w:r w:rsidR="00FD0C71" w:rsidRPr="006E5269">
        <w:rPr>
          <w:noProof/>
          <w:color w:val="auto"/>
        </w:rPr>
        <w:t xml:space="preserve"> w</w:t>
      </w:r>
      <w:r w:rsidR="00FD0C71">
        <w:rPr>
          <w:noProof/>
          <w:color w:val="auto"/>
        </w:rPr>
        <w:t> </w:t>
      </w:r>
      <w:r w:rsidR="00FD0C71" w:rsidRPr="006E5269">
        <w:rPr>
          <w:noProof/>
          <w:color w:val="auto"/>
        </w:rPr>
        <w:t>Moz</w:t>
      </w:r>
      <w:r w:rsidRPr="006E5269">
        <w:rPr>
          <w:noProof/>
          <w:color w:val="auto"/>
        </w:rPr>
        <w:t>ambiku.</w:t>
      </w:r>
    </w:p>
    <w:p w:rsidR="000C2E1E" w:rsidRPr="006E5269" w:rsidRDefault="00A91917" w:rsidP="006724CB">
      <w:pPr>
        <w:spacing w:before="240" w:after="240"/>
        <w:jc w:val="both"/>
        <w:rPr>
          <w:i/>
          <w:noProof/>
        </w:rPr>
      </w:pPr>
      <w:r w:rsidRPr="006E5269">
        <w:rPr>
          <w:i/>
          <w:noProof/>
        </w:rPr>
        <w:t xml:space="preserve">Unijna pomoc humanitarna ogółem – </w:t>
      </w:r>
      <w:r w:rsidRPr="006E5269">
        <w:rPr>
          <w:b/>
          <w:i/>
          <w:noProof/>
        </w:rPr>
        <w:t>64,9 mln EUR</w:t>
      </w:r>
      <w:r w:rsidRPr="006E5269">
        <w:rPr>
          <w:i/>
          <w:noProof/>
        </w:rPr>
        <w:t xml:space="preserve">. </w:t>
      </w:r>
    </w:p>
    <w:p w:rsidR="00335FA7" w:rsidRPr="006E5269" w:rsidRDefault="00335FA7" w:rsidP="00335FA7">
      <w:pPr>
        <w:spacing w:before="240"/>
        <w:jc w:val="both"/>
        <w:rPr>
          <w:rFonts w:cstheme="majorBidi"/>
          <w:b/>
          <w:noProof/>
          <w:color w:val="0070C0"/>
          <w:u w:val="single"/>
        </w:rPr>
      </w:pPr>
      <w:r w:rsidRPr="006E5269">
        <w:rPr>
          <w:b/>
          <w:noProof/>
          <w:color w:val="0070C0"/>
          <w:u w:val="single"/>
        </w:rPr>
        <w:t>Afryka Północna</w:t>
      </w:r>
    </w:p>
    <w:p w:rsidR="00335FA7" w:rsidRPr="006E5269" w:rsidRDefault="00335FA7" w:rsidP="00335FA7">
      <w:pPr>
        <w:spacing w:before="240"/>
        <w:jc w:val="both"/>
        <w:rPr>
          <w:rFonts w:cstheme="majorBidi"/>
          <w:b/>
          <w:noProof/>
          <w:color w:val="0070C0"/>
        </w:rPr>
      </w:pPr>
      <w:r w:rsidRPr="006E5269">
        <w:rPr>
          <w:b/>
          <w:noProof/>
          <w:color w:val="0070C0"/>
        </w:rPr>
        <w:t>Libia</w:t>
      </w:r>
    </w:p>
    <w:p w:rsidR="00335FA7" w:rsidRPr="006E5269" w:rsidRDefault="00335FA7" w:rsidP="00335FA7">
      <w:pPr>
        <w:spacing w:before="240" w:after="120"/>
        <w:jc w:val="both"/>
        <w:rPr>
          <w:noProof/>
        </w:rPr>
      </w:pPr>
      <w:r w:rsidRPr="006E5269">
        <w:rPr>
          <w:noProof/>
        </w:rPr>
        <w:t>Po zakończeniu konfliktu zbrojnego 316 000 osób zostało wewnętrznie przesiedlonych,</w:t>
      </w:r>
      <w:r w:rsidR="00FD0C71" w:rsidRPr="006E5269">
        <w:rPr>
          <w:noProof/>
        </w:rPr>
        <w:t xml:space="preserve"> a</w:t>
      </w:r>
      <w:r w:rsidR="00FD0C71">
        <w:rPr>
          <w:noProof/>
        </w:rPr>
        <w:t> </w:t>
      </w:r>
      <w:r w:rsidR="00FD0C71" w:rsidRPr="006E5269">
        <w:rPr>
          <w:noProof/>
        </w:rPr>
        <w:t>1</w:t>
      </w:r>
      <w:r w:rsidRPr="006E5269">
        <w:rPr>
          <w:noProof/>
        </w:rPr>
        <w:t>,3 mln potrzebowało pomocy. Kryzys spotęgowała pandemia COVID-19, naruszanie międzynarodowego prawa humanitarnego oraz ograniczony dostęp do pomocy humanitarnej.</w:t>
      </w:r>
    </w:p>
    <w:p w:rsidR="00335FA7" w:rsidRPr="006E5269" w:rsidRDefault="00335FA7" w:rsidP="00335FA7">
      <w:pPr>
        <w:spacing w:before="240" w:after="120"/>
        <w:jc w:val="both"/>
        <w:rPr>
          <w:noProof/>
        </w:rPr>
      </w:pPr>
      <w:r w:rsidRPr="006E5269">
        <w:rPr>
          <w:noProof/>
        </w:rPr>
        <w:t>UE przeznaczyła pomoc na wsparcie dla wysiedleńców, uchodźców, migrantów, osób powracających</w:t>
      </w:r>
      <w:r w:rsidR="00FD0C71" w:rsidRPr="006E5269">
        <w:rPr>
          <w:noProof/>
        </w:rPr>
        <w:t xml:space="preserve"> i</w:t>
      </w:r>
      <w:r w:rsidR="00FD0C71">
        <w:rPr>
          <w:noProof/>
        </w:rPr>
        <w:t> </w:t>
      </w:r>
      <w:r w:rsidR="00FD0C71" w:rsidRPr="006E5269">
        <w:rPr>
          <w:noProof/>
        </w:rPr>
        <w:t>spo</w:t>
      </w:r>
      <w:r w:rsidRPr="006E5269">
        <w:rPr>
          <w:noProof/>
        </w:rPr>
        <w:t>łeczności przyjmujących,</w:t>
      </w:r>
      <w:r w:rsidR="00FD0C71" w:rsidRPr="006E5269">
        <w:rPr>
          <w:noProof/>
        </w:rPr>
        <w:t xml:space="preserve"> a</w:t>
      </w:r>
      <w:r w:rsidR="00FD0C71">
        <w:rPr>
          <w:noProof/>
        </w:rPr>
        <w:t> </w:t>
      </w:r>
      <w:r w:rsidR="00FD0C71" w:rsidRPr="006E5269">
        <w:rPr>
          <w:noProof/>
        </w:rPr>
        <w:t>tak</w:t>
      </w:r>
      <w:r w:rsidRPr="006E5269">
        <w:rPr>
          <w:noProof/>
        </w:rPr>
        <w:t>że na pomoc</w:t>
      </w:r>
      <w:r w:rsidR="00FD0C71" w:rsidRPr="006E5269">
        <w:rPr>
          <w:noProof/>
        </w:rPr>
        <w:t xml:space="preserve"> w</w:t>
      </w:r>
      <w:r w:rsidR="00FD0C71">
        <w:rPr>
          <w:noProof/>
        </w:rPr>
        <w:t> </w:t>
      </w:r>
      <w:r w:rsidR="00FD0C71" w:rsidRPr="006E5269">
        <w:rPr>
          <w:noProof/>
        </w:rPr>
        <w:t>zak</w:t>
      </w:r>
      <w:r w:rsidRPr="006E5269">
        <w:rPr>
          <w:noProof/>
        </w:rPr>
        <w:t>resie koordynacji</w:t>
      </w:r>
      <w:r w:rsidR="00FD0C71" w:rsidRPr="006E5269">
        <w:rPr>
          <w:noProof/>
        </w:rPr>
        <w:t xml:space="preserve"> i</w:t>
      </w:r>
      <w:r w:rsidR="00FD0C71">
        <w:rPr>
          <w:noProof/>
        </w:rPr>
        <w:t> </w:t>
      </w:r>
      <w:r w:rsidR="00FD0C71" w:rsidRPr="006E5269">
        <w:rPr>
          <w:noProof/>
        </w:rPr>
        <w:t>wsp</w:t>
      </w:r>
      <w:r w:rsidRPr="006E5269">
        <w:rPr>
          <w:noProof/>
        </w:rPr>
        <w:t>arcia logistycznego,</w:t>
      </w:r>
      <w:r w:rsidR="00FD0C71" w:rsidRPr="006E5269">
        <w:rPr>
          <w:noProof/>
        </w:rPr>
        <w:t xml:space="preserve"> w</w:t>
      </w:r>
      <w:r w:rsidR="00FD0C71">
        <w:rPr>
          <w:noProof/>
        </w:rPr>
        <w:t> </w:t>
      </w:r>
      <w:r w:rsidR="00FD0C71" w:rsidRPr="006E5269">
        <w:rPr>
          <w:noProof/>
        </w:rPr>
        <w:t>tym</w:t>
      </w:r>
      <w:r w:rsidRPr="006E5269">
        <w:rPr>
          <w:noProof/>
        </w:rPr>
        <w:t xml:space="preserve"> loty Humanitarian Air Service ONZ (UNHAS). </w:t>
      </w:r>
    </w:p>
    <w:p w:rsidR="00775E86" w:rsidRPr="006E5269" w:rsidRDefault="00775E86" w:rsidP="00335FA7">
      <w:pPr>
        <w:spacing w:before="240" w:after="120"/>
        <w:jc w:val="both"/>
        <w:rPr>
          <w:noProof/>
        </w:rPr>
      </w:pPr>
      <w:r w:rsidRPr="006E5269">
        <w:rPr>
          <w:i/>
          <w:noProof/>
        </w:rPr>
        <w:t xml:space="preserve">Unijna pomoc humanitarna ogółem – </w:t>
      </w:r>
      <w:r w:rsidRPr="006E5269">
        <w:rPr>
          <w:b/>
          <w:i/>
          <w:noProof/>
        </w:rPr>
        <w:t>9 mln EUR</w:t>
      </w:r>
      <w:r w:rsidRPr="006E5269">
        <w:rPr>
          <w:i/>
          <w:noProof/>
        </w:rPr>
        <w:t>.</w:t>
      </w:r>
    </w:p>
    <w:p w:rsidR="00A10BF8" w:rsidRDefault="00A10BF8" w:rsidP="00B8050C">
      <w:pPr>
        <w:spacing w:before="240" w:after="240"/>
        <w:jc w:val="both"/>
        <w:rPr>
          <w:b/>
          <w:noProof/>
          <w:color w:val="0070C0"/>
        </w:rPr>
      </w:pPr>
    </w:p>
    <w:p w:rsidR="00335FA7" w:rsidRPr="006E5269" w:rsidRDefault="00335FA7" w:rsidP="00B8050C">
      <w:pPr>
        <w:spacing w:before="240" w:after="240"/>
        <w:jc w:val="both"/>
        <w:rPr>
          <w:rFonts w:cstheme="majorBidi"/>
          <w:b/>
          <w:noProof/>
          <w:color w:val="0070C0"/>
        </w:rPr>
      </w:pPr>
      <w:r w:rsidRPr="006E5269">
        <w:rPr>
          <w:b/>
          <w:noProof/>
          <w:color w:val="0070C0"/>
        </w:rPr>
        <w:t>Egipt</w:t>
      </w:r>
    </w:p>
    <w:p w:rsidR="002F3E45" w:rsidRPr="006E5269" w:rsidRDefault="00335FA7" w:rsidP="004109BD">
      <w:pPr>
        <w:jc w:val="both"/>
        <w:rPr>
          <w:noProof/>
        </w:rPr>
      </w:pPr>
      <w:r w:rsidRPr="006E5269">
        <w:rPr>
          <w:noProof/>
        </w:rPr>
        <w:t>Blisko 260 000 zarejestrowanych uchodźców</w:t>
      </w:r>
      <w:r w:rsidR="00FD0C71" w:rsidRPr="006E5269">
        <w:rPr>
          <w:noProof/>
        </w:rPr>
        <w:t xml:space="preserve"> i</w:t>
      </w:r>
      <w:r w:rsidR="00FD0C71">
        <w:rPr>
          <w:noProof/>
        </w:rPr>
        <w:t> </w:t>
      </w:r>
      <w:r w:rsidR="00FD0C71" w:rsidRPr="006E5269">
        <w:rPr>
          <w:noProof/>
        </w:rPr>
        <w:t>osó</w:t>
      </w:r>
      <w:r w:rsidRPr="006E5269">
        <w:rPr>
          <w:noProof/>
        </w:rPr>
        <w:t>b ubiegających się</w:t>
      </w:r>
      <w:r w:rsidR="00FD0C71" w:rsidRPr="006E5269">
        <w:rPr>
          <w:noProof/>
        </w:rPr>
        <w:t xml:space="preserve"> o</w:t>
      </w:r>
      <w:r w:rsidR="00FD0C71">
        <w:rPr>
          <w:noProof/>
        </w:rPr>
        <w:t> </w:t>
      </w:r>
      <w:r w:rsidR="00FD0C71" w:rsidRPr="006E5269">
        <w:rPr>
          <w:noProof/>
        </w:rPr>
        <w:t>azy</w:t>
      </w:r>
      <w:r w:rsidRPr="006E5269">
        <w:rPr>
          <w:noProof/>
        </w:rPr>
        <w:t>l,</w:t>
      </w:r>
      <w:r w:rsidR="00FD0C71" w:rsidRPr="006E5269">
        <w:rPr>
          <w:noProof/>
        </w:rPr>
        <w:t xml:space="preserve"> z</w:t>
      </w:r>
      <w:r w:rsidR="00FD0C71">
        <w:rPr>
          <w:noProof/>
        </w:rPr>
        <w:t> </w:t>
      </w:r>
      <w:r w:rsidR="00FD0C71" w:rsidRPr="006E5269">
        <w:rPr>
          <w:noProof/>
        </w:rPr>
        <w:t>cze</w:t>
      </w:r>
      <w:r w:rsidRPr="006E5269">
        <w:rPr>
          <w:noProof/>
        </w:rPr>
        <w:t>go 3</w:t>
      </w:r>
      <w:r w:rsidRPr="00FD0C71">
        <w:rPr>
          <w:noProof/>
        </w:rPr>
        <w:t>8</w:t>
      </w:r>
      <w:r w:rsidR="00FD0C71" w:rsidRPr="00FD0C71">
        <w:rPr>
          <w:noProof/>
        </w:rPr>
        <w:t> </w:t>
      </w:r>
      <w:r w:rsidRPr="00FD0C71">
        <w:rPr>
          <w:noProof/>
        </w:rPr>
        <w:t>%</w:t>
      </w:r>
      <w:r w:rsidRPr="006E5269">
        <w:rPr>
          <w:noProof/>
        </w:rPr>
        <w:t xml:space="preserve"> stanowią dzieci, pozostawiono własnemu losowi</w:t>
      </w:r>
      <w:r w:rsidR="00FD0C71" w:rsidRPr="006E5269">
        <w:rPr>
          <w:noProof/>
        </w:rPr>
        <w:t xml:space="preserve"> w</w:t>
      </w:r>
      <w:r w:rsidR="00FD0C71">
        <w:rPr>
          <w:noProof/>
        </w:rPr>
        <w:t> </w:t>
      </w:r>
      <w:r w:rsidR="00FD0C71" w:rsidRPr="006E5269">
        <w:rPr>
          <w:noProof/>
        </w:rPr>
        <w:t>Egi</w:t>
      </w:r>
      <w:r w:rsidRPr="006E5269">
        <w:rPr>
          <w:noProof/>
        </w:rPr>
        <w:t xml:space="preserve">pcie. </w:t>
      </w:r>
    </w:p>
    <w:p w:rsidR="002F3E45" w:rsidRPr="006E5269" w:rsidRDefault="002F3E45" w:rsidP="00284C1E">
      <w:pPr>
        <w:rPr>
          <w:noProof/>
        </w:rPr>
      </w:pPr>
    </w:p>
    <w:p w:rsidR="00284C1E" w:rsidRPr="006E5269" w:rsidRDefault="00335FA7" w:rsidP="004109BD">
      <w:pPr>
        <w:jc w:val="both"/>
        <w:rPr>
          <w:noProof/>
        </w:rPr>
      </w:pPr>
      <w:r w:rsidRPr="006E5269">
        <w:rPr>
          <w:noProof/>
        </w:rPr>
        <w:t>Pomoc UE koncentrowała się na ochronie humanitarnej, środkach pieniężnych na zaspokojenie podstawowych potrzeba oraz na edukacji</w:t>
      </w:r>
      <w:r w:rsidR="00FD0C71" w:rsidRPr="006E5269">
        <w:rPr>
          <w:noProof/>
        </w:rPr>
        <w:t xml:space="preserve"> w</w:t>
      </w:r>
      <w:r w:rsidR="00FD0C71">
        <w:rPr>
          <w:noProof/>
        </w:rPr>
        <w:t> </w:t>
      </w:r>
      <w:r w:rsidR="00FD0C71" w:rsidRPr="006E5269">
        <w:rPr>
          <w:noProof/>
        </w:rPr>
        <w:t>syt</w:t>
      </w:r>
      <w:r w:rsidRPr="006E5269">
        <w:rPr>
          <w:noProof/>
        </w:rPr>
        <w:t xml:space="preserve">uacjach nadzwyczajnych. </w:t>
      </w:r>
    </w:p>
    <w:p w:rsidR="00775E86" w:rsidRPr="006E5269" w:rsidRDefault="00775E86" w:rsidP="004109BD">
      <w:pPr>
        <w:jc w:val="both"/>
        <w:rPr>
          <w:noProof/>
        </w:rPr>
      </w:pPr>
    </w:p>
    <w:p w:rsidR="00775E86" w:rsidRPr="006E5269" w:rsidRDefault="00775E86" w:rsidP="004109BD">
      <w:pPr>
        <w:jc w:val="both"/>
        <w:rPr>
          <w:noProof/>
        </w:rPr>
      </w:pPr>
      <w:r w:rsidRPr="006E5269">
        <w:rPr>
          <w:i/>
          <w:noProof/>
        </w:rPr>
        <w:t xml:space="preserve">Unijna pomoc humanitarna ogółem – </w:t>
      </w:r>
      <w:r w:rsidRPr="006E5269">
        <w:rPr>
          <w:b/>
          <w:i/>
          <w:noProof/>
        </w:rPr>
        <w:t>5 mln EUR</w:t>
      </w:r>
      <w:r w:rsidRPr="006E5269">
        <w:rPr>
          <w:i/>
          <w:noProof/>
        </w:rPr>
        <w:t>.</w:t>
      </w:r>
    </w:p>
    <w:p w:rsidR="00284C1E" w:rsidRPr="006E5269" w:rsidRDefault="00284C1E" w:rsidP="00284C1E">
      <w:pPr>
        <w:rPr>
          <w:noProof/>
        </w:rPr>
      </w:pPr>
    </w:p>
    <w:p w:rsidR="00284C1E" w:rsidRPr="006E5269" w:rsidRDefault="00B2520B" w:rsidP="00284C1E">
      <w:pPr>
        <w:rPr>
          <w:rFonts w:cstheme="majorBidi"/>
          <w:b/>
          <w:noProof/>
          <w:color w:val="0070C0"/>
        </w:rPr>
      </w:pPr>
      <w:r w:rsidRPr="006E5269">
        <w:rPr>
          <w:b/>
          <w:noProof/>
          <w:color w:val="0070C0"/>
        </w:rPr>
        <w:t>Kryzys dotyczący Saharyjczyków</w:t>
      </w:r>
    </w:p>
    <w:p w:rsidR="00284C1E" w:rsidRPr="006E5269" w:rsidRDefault="002E1121" w:rsidP="00284C1E">
      <w:pPr>
        <w:spacing w:before="240" w:after="120"/>
        <w:jc w:val="both"/>
        <w:rPr>
          <w:noProof/>
        </w:rPr>
      </w:pPr>
      <w:r w:rsidRPr="006E5269">
        <w:rPr>
          <w:noProof/>
        </w:rPr>
        <w:t>Dziesiątki tysięcy uchodźców zachodniosaharyjskich pozostawiono własnemu losowi</w:t>
      </w:r>
      <w:r w:rsidR="00FD0C71" w:rsidRPr="006E5269">
        <w:rPr>
          <w:noProof/>
        </w:rPr>
        <w:t xml:space="preserve"> w</w:t>
      </w:r>
      <w:r w:rsidR="00FD0C71">
        <w:rPr>
          <w:noProof/>
        </w:rPr>
        <w:t> </w:t>
      </w:r>
      <w:r w:rsidR="00FD0C71" w:rsidRPr="006E5269">
        <w:rPr>
          <w:noProof/>
        </w:rPr>
        <w:t>trw</w:t>
      </w:r>
      <w:r w:rsidRPr="006E5269">
        <w:rPr>
          <w:noProof/>
        </w:rPr>
        <w:t>ającym od czterdziestu lat zapomnianym konflikcie. Żyją</w:t>
      </w:r>
      <w:r w:rsidR="00FD0C71" w:rsidRPr="006E5269">
        <w:rPr>
          <w:noProof/>
        </w:rPr>
        <w:t xml:space="preserve"> w</w:t>
      </w:r>
      <w:r w:rsidR="00FD0C71">
        <w:rPr>
          <w:noProof/>
        </w:rPr>
        <w:t> </w:t>
      </w:r>
      <w:r w:rsidR="00FD0C71" w:rsidRPr="006E5269">
        <w:rPr>
          <w:noProof/>
        </w:rPr>
        <w:t>pię</w:t>
      </w:r>
      <w:r w:rsidRPr="006E5269">
        <w:rPr>
          <w:noProof/>
        </w:rPr>
        <w:t>ciu obozach</w:t>
      </w:r>
      <w:r w:rsidR="00FD0C71" w:rsidRPr="006E5269">
        <w:rPr>
          <w:noProof/>
        </w:rPr>
        <w:t xml:space="preserve"> z</w:t>
      </w:r>
      <w:r w:rsidR="00FD0C71">
        <w:rPr>
          <w:noProof/>
        </w:rPr>
        <w:t> </w:t>
      </w:r>
      <w:r w:rsidR="00FD0C71" w:rsidRPr="006E5269">
        <w:rPr>
          <w:noProof/>
        </w:rPr>
        <w:t>nie</w:t>
      </w:r>
      <w:r w:rsidRPr="006E5269">
        <w:rPr>
          <w:noProof/>
        </w:rPr>
        <w:t>wielkim dostępem do źródeł zewnętrznych, przez co pomoc humanitarna jest im niezbędna do przetrwania.</w:t>
      </w:r>
    </w:p>
    <w:p w:rsidR="00335FA7" w:rsidRPr="006E5269" w:rsidRDefault="00284C1E" w:rsidP="00335FA7">
      <w:pPr>
        <w:spacing w:before="240" w:after="120"/>
        <w:jc w:val="both"/>
        <w:rPr>
          <w:noProof/>
        </w:rPr>
      </w:pPr>
      <w:r w:rsidRPr="006E5269">
        <w:rPr>
          <w:noProof/>
        </w:rPr>
        <w:t>Pomoc UE obejmowała żywność, bezpieczną wodę pitną</w:t>
      </w:r>
      <w:r w:rsidR="00FD0C71" w:rsidRPr="006E5269">
        <w:rPr>
          <w:noProof/>
        </w:rPr>
        <w:t xml:space="preserve"> i</w:t>
      </w:r>
      <w:r w:rsidR="00FD0C71">
        <w:rPr>
          <w:noProof/>
        </w:rPr>
        <w:t> </w:t>
      </w:r>
      <w:r w:rsidR="00FD0C71" w:rsidRPr="006E5269">
        <w:rPr>
          <w:noProof/>
        </w:rPr>
        <w:t>pod</w:t>
      </w:r>
      <w:r w:rsidRPr="006E5269">
        <w:rPr>
          <w:noProof/>
        </w:rPr>
        <w:t>stawowe leki, edukację</w:t>
      </w:r>
      <w:r w:rsidR="00FD0C71" w:rsidRPr="006E5269">
        <w:rPr>
          <w:noProof/>
        </w:rPr>
        <w:t xml:space="preserve"> w</w:t>
      </w:r>
      <w:r w:rsidR="00FD0C71">
        <w:rPr>
          <w:noProof/>
        </w:rPr>
        <w:t> </w:t>
      </w:r>
      <w:r w:rsidR="00FD0C71" w:rsidRPr="006E5269">
        <w:rPr>
          <w:noProof/>
        </w:rPr>
        <w:t>syt</w:t>
      </w:r>
      <w:r w:rsidRPr="006E5269">
        <w:rPr>
          <w:noProof/>
        </w:rPr>
        <w:t>uacjach nadzwyczajnych oraz gotowość na pandemię COVID-19.</w:t>
      </w:r>
    </w:p>
    <w:p w:rsidR="00775E86" w:rsidRPr="006E5269" w:rsidRDefault="00775E86" w:rsidP="00335FA7">
      <w:pPr>
        <w:spacing w:before="240" w:after="120"/>
        <w:jc w:val="both"/>
        <w:rPr>
          <w:noProof/>
        </w:rPr>
      </w:pPr>
      <w:r w:rsidRPr="006E5269">
        <w:rPr>
          <w:i/>
          <w:noProof/>
        </w:rPr>
        <w:t xml:space="preserve">Unijna pomoc humanitarna ogółem – </w:t>
      </w:r>
      <w:r w:rsidRPr="006E5269">
        <w:rPr>
          <w:b/>
          <w:i/>
          <w:noProof/>
        </w:rPr>
        <w:t>9 mln EUR</w:t>
      </w:r>
      <w:r w:rsidRPr="006E5269">
        <w:rPr>
          <w:i/>
          <w:noProof/>
        </w:rPr>
        <w:t>.</w:t>
      </w:r>
    </w:p>
    <w:p w:rsidR="00416917" w:rsidRPr="006E5269" w:rsidRDefault="00416917">
      <w:pPr>
        <w:rPr>
          <w:rFonts w:cstheme="majorBidi"/>
          <w:b/>
          <w:noProof/>
          <w:color w:val="0070C0"/>
        </w:rPr>
      </w:pPr>
      <w:r w:rsidRPr="006E5269">
        <w:rPr>
          <w:noProof/>
        </w:rPr>
        <w:br w:type="page"/>
      </w:r>
    </w:p>
    <w:p w:rsidR="00F44478" w:rsidRPr="006E5269" w:rsidRDefault="00335FA7" w:rsidP="006724CB">
      <w:pPr>
        <w:spacing w:before="240" w:after="240"/>
        <w:jc w:val="both"/>
        <w:rPr>
          <w:rFonts w:ascii="Verdana" w:hAnsi="Verdana"/>
          <w:b/>
          <w:noProof/>
          <w:sz w:val="20"/>
          <w:szCs w:val="20"/>
          <w:u w:val="single"/>
        </w:rPr>
      </w:pPr>
      <w:r w:rsidRPr="006E5269">
        <w:rPr>
          <w:b/>
          <w:noProof/>
          <w:color w:val="0070C0"/>
          <w:u w:val="single"/>
        </w:rPr>
        <w:t>Ameryka Centralna</w:t>
      </w:r>
      <w:r w:rsidR="00FD0C71" w:rsidRPr="006E5269">
        <w:rPr>
          <w:b/>
          <w:noProof/>
          <w:color w:val="0070C0"/>
          <w:u w:val="single"/>
        </w:rPr>
        <w:t xml:space="preserve"> i</w:t>
      </w:r>
      <w:r w:rsidR="00FD0C71">
        <w:rPr>
          <w:b/>
          <w:noProof/>
          <w:color w:val="0070C0"/>
          <w:u w:val="single"/>
        </w:rPr>
        <w:t> </w:t>
      </w:r>
      <w:r w:rsidR="00FD0C71" w:rsidRPr="006E5269">
        <w:rPr>
          <w:b/>
          <w:noProof/>
          <w:color w:val="0070C0"/>
          <w:u w:val="single"/>
        </w:rPr>
        <w:t>Poł</w:t>
      </w:r>
      <w:r w:rsidRPr="006E5269">
        <w:rPr>
          <w:b/>
          <w:noProof/>
          <w:color w:val="0070C0"/>
          <w:u w:val="single"/>
        </w:rPr>
        <w:t>udniowa oraz Karaiby</w:t>
      </w:r>
    </w:p>
    <w:p w:rsidR="000C2E1E" w:rsidRPr="006E5269" w:rsidRDefault="000C2E1E" w:rsidP="003057BC">
      <w:pPr>
        <w:spacing w:before="240"/>
        <w:jc w:val="both"/>
        <w:rPr>
          <w:rFonts w:cstheme="majorBidi"/>
          <w:b/>
          <w:noProof/>
          <w:color w:val="0070C0"/>
        </w:rPr>
      </w:pPr>
      <w:r w:rsidRPr="006E5269">
        <w:rPr>
          <w:b/>
          <w:noProof/>
          <w:color w:val="0070C0"/>
        </w:rPr>
        <w:t>Wenezuela</w:t>
      </w:r>
    </w:p>
    <w:p w:rsidR="000C2E1E" w:rsidRPr="006E5269" w:rsidRDefault="00A85E6D" w:rsidP="003057BC">
      <w:pPr>
        <w:spacing w:before="240" w:after="120"/>
        <w:jc w:val="both"/>
        <w:rPr>
          <w:rFonts w:cstheme="minorHAnsi"/>
          <w:noProof/>
        </w:rPr>
      </w:pPr>
      <w:r w:rsidRPr="006E5269">
        <w:rPr>
          <w:noProof/>
        </w:rPr>
        <w:t>W wyniku zapaści społeczno-gospodarczej</w:t>
      </w:r>
      <w:r w:rsidR="00FD0C71" w:rsidRPr="006E5269">
        <w:rPr>
          <w:noProof/>
        </w:rPr>
        <w:t xml:space="preserve"> w</w:t>
      </w:r>
      <w:r w:rsidR="00FD0C71">
        <w:rPr>
          <w:noProof/>
        </w:rPr>
        <w:t> </w:t>
      </w:r>
      <w:r w:rsidR="00FD0C71" w:rsidRPr="006E5269">
        <w:rPr>
          <w:noProof/>
        </w:rPr>
        <w:t>Wen</w:t>
      </w:r>
      <w:r w:rsidRPr="006E5269">
        <w:rPr>
          <w:noProof/>
        </w:rPr>
        <w:t>ezueli 14 mln osób potrzebowało pomocy. Sytuację pogorszyły następnie pandemia COVID-19, przemoc, polaryzacja polityczna, niepewność prawa, niedobory paliwa</w:t>
      </w:r>
      <w:r w:rsidR="00FD0C71" w:rsidRPr="006E5269">
        <w:rPr>
          <w:noProof/>
        </w:rPr>
        <w:t xml:space="preserve"> i</w:t>
      </w:r>
      <w:r w:rsidR="00FD0C71">
        <w:rPr>
          <w:noProof/>
        </w:rPr>
        <w:t> </w:t>
      </w:r>
      <w:r w:rsidR="00FD0C71" w:rsidRPr="006E5269">
        <w:rPr>
          <w:noProof/>
        </w:rPr>
        <w:t>mas</w:t>
      </w:r>
      <w:r w:rsidRPr="006E5269">
        <w:rPr>
          <w:noProof/>
        </w:rPr>
        <w:t>owe przerwy</w:t>
      </w:r>
      <w:r w:rsidR="00FD0C71" w:rsidRPr="006E5269">
        <w:rPr>
          <w:noProof/>
        </w:rPr>
        <w:t xml:space="preserve"> w</w:t>
      </w:r>
      <w:r w:rsidR="00FD0C71">
        <w:rPr>
          <w:noProof/>
        </w:rPr>
        <w:t> </w:t>
      </w:r>
      <w:r w:rsidR="00FD0C71" w:rsidRPr="006E5269">
        <w:rPr>
          <w:noProof/>
        </w:rPr>
        <w:t>dos</w:t>
      </w:r>
      <w:r w:rsidRPr="006E5269">
        <w:rPr>
          <w:noProof/>
        </w:rPr>
        <w:t>tawie energii elektrycznej. Liczba wenezuelskich migrantów</w:t>
      </w:r>
      <w:r w:rsidR="00FD0C71" w:rsidRPr="006E5269">
        <w:rPr>
          <w:noProof/>
        </w:rPr>
        <w:t xml:space="preserve"> i</w:t>
      </w:r>
      <w:r w:rsidR="00FD0C71">
        <w:rPr>
          <w:noProof/>
        </w:rPr>
        <w:t> </w:t>
      </w:r>
      <w:r w:rsidR="00FD0C71" w:rsidRPr="006E5269">
        <w:rPr>
          <w:noProof/>
        </w:rPr>
        <w:t>uch</w:t>
      </w:r>
      <w:r w:rsidRPr="006E5269">
        <w:rPr>
          <w:noProof/>
        </w:rPr>
        <w:t>odźców sięgnęła 5,5 mln.</w:t>
      </w:r>
    </w:p>
    <w:p w:rsidR="000C2E1E" w:rsidRPr="006E5269" w:rsidRDefault="00775E86" w:rsidP="003057BC">
      <w:pPr>
        <w:spacing w:before="240" w:after="120"/>
        <w:jc w:val="both"/>
        <w:rPr>
          <w:rFonts w:cstheme="minorHAnsi"/>
          <w:noProof/>
        </w:rPr>
      </w:pPr>
      <w:r w:rsidRPr="006E5269">
        <w:rPr>
          <w:noProof/>
        </w:rPr>
        <w:t>Oprócz pomocy UE kontynuowała swoje starania od strony dyplomatycznej</w:t>
      </w:r>
      <w:r w:rsidR="00FD0C71" w:rsidRPr="006E5269">
        <w:rPr>
          <w:noProof/>
        </w:rPr>
        <w:t>. W</w:t>
      </w:r>
      <w:r w:rsidR="00FD0C71">
        <w:rPr>
          <w:noProof/>
        </w:rPr>
        <w:t> </w:t>
      </w:r>
      <w:r w:rsidR="00FD0C71" w:rsidRPr="006E5269">
        <w:rPr>
          <w:noProof/>
        </w:rPr>
        <w:t>odp</w:t>
      </w:r>
      <w:r w:rsidRPr="006E5269">
        <w:rPr>
          <w:noProof/>
        </w:rPr>
        <w:t>owiedzi na kryzys migracyjny</w:t>
      </w:r>
      <w:r w:rsidR="00FD0C71" w:rsidRPr="006E5269">
        <w:rPr>
          <w:noProof/>
        </w:rPr>
        <w:t xml:space="preserve"> i</w:t>
      </w:r>
      <w:r w:rsidR="00FD0C71">
        <w:rPr>
          <w:noProof/>
        </w:rPr>
        <w:t> </w:t>
      </w:r>
      <w:r w:rsidR="00FD0C71" w:rsidRPr="006E5269">
        <w:rPr>
          <w:noProof/>
        </w:rPr>
        <w:t>uch</w:t>
      </w:r>
      <w:r w:rsidRPr="006E5269">
        <w:rPr>
          <w:noProof/>
        </w:rPr>
        <w:t>odźczy</w:t>
      </w:r>
      <w:r w:rsidR="00FD0C71" w:rsidRPr="006E5269">
        <w:rPr>
          <w:noProof/>
        </w:rPr>
        <w:t xml:space="preserve"> w</w:t>
      </w:r>
      <w:r w:rsidR="00FD0C71">
        <w:rPr>
          <w:noProof/>
        </w:rPr>
        <w:t> </w:t>
      </w:r>
      <w:r w:rsidR="00FD0C71" w:rsidRPr="006E5269">
        <w:rPr>
          <w:noProof/>
        </w:rPr>
        <w:t>Wen</w:t>
      </w:r>
      <w:r w:rsidRPr="006E5269">
        <w:rPr>
          <w:noProof/>
        </w:rPr>
        <w:t>ezueli</w:t>
      </w:r>
      <w:r w:rsidR="00FD0C71" w:rsidRPr="006E5269">
        <w:rPr>
          <w:noProof/>
        </w:rPr>
        <w:t xml:space="preserve"> w</w:t>
      </w:r>
      <w:r w:rsidR="00FD0C71">
        <w:rPr>
          <w:noProof/>
        </w:rPr>
        <w:t> </w:t>
      </w:r>
      <w:r w:rsidR="00FD0C71" w:rsidRPr="006E5269">
        <w:rPr>
          <w:noProof/>
        </w:rPr>
        <w:t>maj</w:t>
      </w:r>
      <w:r w:rsidRPr="006E5269">
        <w:rPr>
          <w:noProof/>
        </w:rPr>
        <w:t>u 20</w:t>
      </w:r>
      <w:r w:rsidRPr="00FD0C71">
        <w:rPr>
          <w:noProof/>
        </w:rPr>
        <w:t>20</w:t>
      </w:r>
      <w:r w:rsidR="00FD0C71" w:rsidRPr="00FD0C71">
        <w:rPr>
          <w:noProof/>
        </w:rPr>
        <w:t> </w:t>
      </w:r>
      <w:r w:rsidRPr="00FD0C71">
        <w:rPr>
          <w:noProof/>
        </w:rPr>
        <w:t>r.</w:t>
      </w:r>
      <w:r w:rsidRPr="006E5269">
        <w:rPr>
          <w:noProof/>
        </w:rPr>
        <w:t xml:space="preserve"> UE wraz</w:t>
      </w:r>
      <w:r w:rsidR="00FD0C71" w:rsidRPr="006E5269">
        <w:rPr>
          <w:noProof/>
        </w:rPr>
        <w:t xml:space="preserve"> z</w:t>
      </w:r>
      <w:r w:rsidR="00FD0C71">
        <w:rPr>
          <w:noProof/>
        </w:rPr>
        <w:t> </w:t>
      </w:r>
      <w:r w:rsidR="00FD0C71" w:rsidRPr="006E5269">
        <w:rPr>
          <w:noProof/>
        </w:rPr>
        <w:t>His</w:t>
      </w:r>
      <w:r w:rsidRPr="006E5269">
        <w:rPr>
          <w:noProof/>
        </w:rPr>
        <w:t>zpanią była współgospodarzem wirtualnej konferencji darczyńców</w:t>
      </w:r>
      <w:r w:rsidRPr="006E5269">
        <w:rPr>
          <w:rStyle w:val="FootnoteReference"/>
          <w:rFonts w:cstheme="minorHAnsi"/>
          <w:noProof/>
        </w:rPr>
        <w:footnoteReference w:id="6"/>
      </w:r>
      <w:r w:rsidRPr="006E5269">
        <w:rPr>
          <w:noProof/>
        </w:rPr>
        <w:t>.</w:t>
      </w:r>
    </w:p>
    <w:p w:rsidR="00775E86" w:rsidRPr="006E5269" w:rsidRDefault="00775E86" w:rsidP="003057BC">
      <w:pPr>
        <w:spacing w:before="240" w:after="120"/>
        <w:jc w:val="both"/>
        <w:rPr>
          <w:rFonts w:cstheme="minorHAnsi"/>
          <w:noProof/>
        </w:rPr>
      </w:pPr>
      <w:r w:rsidRPr="006E5269">
        <w:rPr>
          <w:i/>
          <w:noProof/>
        </w:rPr>
        <w:t xml:space="preserve">Unijna pomoc humanitarna ogółem – </w:t>
      </w:r>
      <w:r w:rsidRPr="006E5269">
        <w:rPr>
          <w:b/>
          <w:i/>
          <w:noProof/>
        </w:rPr>
        <w:t>67,7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Kolumbia</w:t>
      </w:r>
    </w:p>
    <w:p w:rsidR="002F3E45" w:rsidRPr="006E5269" w:rsidRDefault="00DA54F2" w:rsidP="003057BC">
      <w:pPr>
        <w:spacing w:before="240" w:after="120"/>
        <w:jc w:val="both"/>
        <w:rPr>
          <w:rFonts w:cstheme="minorHAnsi"/>
          <w:noProof/>
        </w:rPr>
      </w:pPr>
      <w:r w:rsidRPr="006E5269">
        <w:rPr>
          <w:noProof/>
        </w:rPr>
        <w:t>Pomoc humanitarna pomogła Kolumbii poradzić sobie</w:t>
      </w:r>
      <w:r w:rsidR="00FD0C71" w:rsidRPr="006E5269">
        <w:rPr>
          <w:noProof/>
        </w:rPr>
        <w:t xml:space="preserve"> z</w:t>
      </w:r>
      <w:r w:rsidR="00FD0C71">
        <w:rPr>
          <w:noProof/>
        </w:rPr>
        <w:t> </w:t>
      </w:r>
      <w:r w:rsidR="00FD0C71" w:rsidRPr="006E5269">
        <w:rPr>
          <w:noProof/>
        </w:rPr>
        <w:t>prz</w:t>
      </w:r>
      <w:r w:rsidRPr="006E5269">
        <w:rPr>
          <w:noProof/>
        </w:rPr>
        <w:t>yjęciem 1,7 mln wenezuelskich uchodźców,</w:t>
      </w:r>
      <w:r w:rsidR="00FD0C71" w:rsidRPr="006E5269">
        <w:rPr>
          <w:noProof/>
        </w:rPr>
        <w:t xml:space="preserve"> z</w:t>
      </w:r>
      <w:r w:rsidR="00FD0C71">
        <w:rPr>
          <w:noProof/>
        </w:rPr>
        <w:t> </w:t>
      </w:r>
      <w:r w:rsidR="00FD0C71" w:rsidRPr="006E5269">
        <w:rPr>
          <w:noProof/>
        </w:rPr>
        <w:t>trw</w:t>
      </w:r>
      <w:r w:rsidRPr="006E5269">
        <w:rPr>
          <w:noProof/>
        </w:rPr>
        <w:t>ającym konfliktem wewnętrznym</w:t>
      </w:r>
      <w:r w:rsidR="00FD0C71" w:rsidRPr="006E5269">
        <w:rPr>
          <w:noProof/>
        </w:rPr>
        <w:t xml:space="preserve"> i</w:t>
      </w:r>
      <w:r w:rsidR="00FD0C71">
        <w:rPr>
          <w:noProof/>
        </w:rPr>
        <w:t> </w:t>
      </w:r>
      <w:r w:rsidR="00FD0C71" w:rsidRPr="006E5269">
        <w:rPr>
          <w:noProof/>
        </w:rPr>
        <w:t>pan</w:t>
      </w:r>
      <w:r w:rsidRPr="006E5269">
        <w:rPr>
          <w:noProof/>
        </w:rPr>
        <w:t xml:space="preserve">demią COVID-19. Ponadto ponad 590 000 osób zostało bezpośrednio dotkniętych klęskami żywiołowymi. </w:t>
      </w:r>
    </w:p>
    <w:p w:rsidR="000C2E1E" w:rsidRPr="006E5269" w:rsidRDefault="003D203D" w:rsidP="003057BC">
      <w:pPr>
        <w:spacing w:before="240" w:after="120"/>
        <w:jc w:val="both"/>
        <w:rPr>
          <w:rFonts w:cstheme="minorHAnsi"/>
          <w:noProof/>
        </w:rPr>
      </w:pPr>
      <w:r w:rsidRPr="006E5269">
        <w:rPr>
          <w:noProof/>
        </w:rPr>
        <w:t>Pomoc UE objęła takie obszary, jak ochrona humanitarna, opieka zdrowotna, woda</w:t>
      </w:r>
      <w:r w:rsidR="00FD0C71" w:rsidRPr="006E5269">
        <w:rPr>
          <w:noProof/>
        </w:rPr>
        <w:t xml:space="preserve"> i</w:t>
      </w:r>
      <w:r w:rsidR="00FD0C71">
        <w:rPr>
          <w:noProof/>
        </w:rPr>
        <w:t> </w:t>
      </w:r>
      <w:r w:rsidR="00FD0C71" w:rsidRPr="006E5269">
        <w:rPr>
          <w:noProof/>
        </w:rPr>
        <w:t>urz</w:t>
      </w:r>
      <w:r w:rsidRPr="006E5269">
        <w:rPr>
          <w:noProof/>
        </w:rPr>
        <w:t>ądzenia sanitarne, edukacja</w:t>
      </w:r>
      <w:r w:rsidR="00FD0C71" w:rsidRPr="006E5269">
        <w:rPr>
          <w:noProof/>
        </w:rPr>
        <w:t xml:space="preserve"> w</w:t>
      </w:r>
      <w:r w:rsidR="00FD0C71">
        <w:rPr>
          <w:noProof/>
        </w:rPr>
        <w:t> </w:t>
      </w:r>
      <w:r w:rsidR="00FD0C71" w:rsidRPr="006E5269">
        <w:rPr>
          <w:noProof/>
        </w:rPr>
        <w:t>syt</w:t>
      </w:r>
      <w:r w:rsidRPr="006E5269">
        <w:rPr>
          <w:noProof/>
        </w:rPr>
        <w:t>uacjach nadzwyczajnych</w:t>
      </w:r>
      <w:r w:rsidR="00FD0C71" w:rsidRPr="006E5269">
        <w:rPr>
          <w:noProof/>
        </w:rPr>
        <w:t xml:space="preserve"> i</w:t>
      </w:r>
      <w:r w:rsidR="00FD0C71">
        <w:rPr>
          <w:noProof/>
        </w:rPr>
        <w:t> </w:t>
      </w:r>
      <w:r w:rsidR="00FD0C71" w:rsidRPr="006E5269">
        <w:rPr>
          <w:noProof/>
        </w:rPr>
        <w:t>got</w:t>
      </w:r>
      <w:r w:rsidRPr="006E5269">
        <w:rPr>
          <w:noProof/>
        </w:rPr>
        <w:t>owość na wypadek klęsk żywiołowych.</w:t>
      </w:r>
    </w:p>
    <w:p w:rsidR="00A06A1B" w:rsidRPr="006E5269" w:rsidRDefault="00A06A1B" w:rsidP="003057BC">
      <w:pPr>
        <w:spacing w:before="240" w:after="120"/>
        <w:jc w:val="both"/>
        <w:rPr>
          <w:rFonts w:cstheme="minorHAnsi"/>
          <w:noProof/>
        </w:rPr>
      </w:pPr>
      <w:r w:rsidRPr="006E5269">
        <w:rPr>
          <w:i/>
          <w:noProof/>
        </w:rPr>
        <w:t xml:space="preserve">Unijna pomoc humanitarna ogółem – </w:t>
      </w:r>
      <w:r w:rsidRPr="006E5269">
        <w:rPr>
          <w:b/>
          <w:i/>
          <w:noProof/>
        </w:rPr>
        <w:t>5,85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Ameryka Centralna</w:t>
      </w:r>
    </w:p>
    <w:p w:rsidR="002228D3" w:rsidRPr="006E5269" w:rsidRDefault="000C2E1E" w:rsidP="00853048">
      <w:pPr>
        <w:spacing w:before="240" w:after="120"/>
        <w:jc w:val="both"/>
        <w:rPr>
          <w:rFonts w:cstheme="minorHAnsi"/>
          <w:noProof/>
        </w:rPr>
      </w:pPr>
      <w:r w:rsidRPr="006E5269">
        <w:rPr>
          <w:noProof/>
        </w:rPr>
        <w:t>El Niño, huragany Eta</w:t>
      </w:r>
      <w:r w:rsidR="00FD0C71" w:rsidRPr="006E5269">
        <w:rPr>
          <w:noProof/>
        </w:rPr>
        <w:t xml:space="preserve"> i</w:t>
      </w:r>
      <w:r w:rsidR="00FD0C71">
        <w:rPr>
          <w:noProof/>
        </w:rPr>
        <w:t> </w:t>
      </w:r>
      <w:r w:rsidR="00FD0C71" w:rsidRPr="006E5269">
        <w:rPr>
          <w:noProof/>
        </w:rPr>
        <w:t>Iot</w:t>
      </w:r>
      <w:r w:rsidRPr="006E5269">
        <w:rPr>
          <w:noProof/>
        </w:rPr>
        <w:t>a oraz pandemia COVID-19 naraziły 5,5 mln osób na brak bezpieczeństwa żywnościowego. Sytuację pogorszyły przemoc zorganizowana, przestępczość</w:t>
      </w:r>
      <w:r w:rsidR="00FD0C71" w:rsidRPr="006E5269">
        <w:rPr>
          <w:noProof/>
        </w:rPr>
        <w:t xml:space="preserve"> i</w:t>
      </w:r>
      <w:r w:rsidR="00FD0C71">
        <w:rPr>
          <w:noProof/>
        </w:rPr>
        <w:t> </w:t>
      </w:r>
      <w:r w:rsidR="00FD0C71" w:rsidRPr="006E5269">
        <w:rPr>
          <w:noProof/>
        </w:rPr>
        <w:t>kry</w:t>
      </w:r>
      <w:r w:rsidRPr="006E5269">
        <w:rPr>
          <w:noProof/>
        </w:rPr>
        <w:t>zys migracyjny. Pomoc UE obejmowała kwotę 2,85 mln EUR uruchomioną</w:t>
      </w:r>
      <w:r w:rsidR="00FD0C71" w:rsidRPr="006E5269">
        <w:rPr>
          <w:noProof/>
        </w:rPr>
        <w:t xml:space="preserve"> w</w:t>
      </w:r>
      <w:r w:rsidR="00FD0C71">
        <w:rPr>
          <w:noProof/>
        </w:rPr>
        <w:t> </w:t>
      </w:r>
      <w:r w:rsidR="00FD0C71" w:rsidRPr="006E5269">
        <w:rPr>
          <w:noProof/>
        </w:rPr>
        <w:t>ram</w:t>
      </w:r>
      <w:r w:rsidRPr="006E5269">
        <w:rPr>
          <w:noProof/>
        </w:rPr>
        <w:t>ach reagowania kryzysowego na huragany Eta</w:t>
      </w:r>
      <w:r w:rsidR="00FD0C71" w:rsidRPr="006E5269">
        <w:rPr>
          <w:noProof/>
        </w:rPr>
        <w:t xml:space="preserve"> i</w:t>
      </w:r>
      <w:r w:rsidR="00FD0C71">
        <w:rPr>
          <w:noProof/>
        </w:rPr>
        <w:t> </w:t>
      </w:r>
      <w:r w:rsidR="00FD0C71" w:rsidRPr="006E5269">
        <w:rPr>
          <w:noProof/>
        </w:rPr>
        <w:t>Iot</w:t>
      </w:r>
      <w:r w:rsidRPr="006E5269">
        <w:rPr>
          <w:noProof/>
        </w:rPr>
        <w:t>a.</w:t>
      </w:r>
    </w:p>
    <w:p w:rsidR="00A06A1B" w:rsidRPr="006E5269" w:rsidRDefault="00A06A1B" w:rsidP="00853048">
      <w:pPr>
        <w:spacing w:before="240" w:after="120"/>
        <w:jc w:val="both"/>
        <w:rPr>
          <w:rFonts w:cstheme="minorHAnsi"/>
          <w:noProof/>
        </w:rPr>
      </w:pPr>
      <w:r w:rsidRPr="006E5269">
        <w:rPr>
          <w:i/>
          <w:noProof/>
        </w:rPr>
        <w:t xml:space="preserve">Unijna pomoc humanitarna ogółem – </w:t>
      </w:r>
      <w:r w:rsidRPr="006E5269">
        <w:rPr>
          <w:b/>
          <w:i/>
          <w:noProof/>
        </w:rPr>
        <w:t>17,15 mln EUR</w:t>
      </w:r>
      <w:r w:rsidRPr="006E5269">
        <w:rPr>
          <w:i/>
          <w:noProof/>
        </w:rPr>
        <w:t>.</w:t>
      </w:r>
    </w:p>
    <w:p w:rsidR="000C2E1E" w:rsidRPr="006E5269" w:rsidRDefault="00490BBF" w:rsidP="003057BC">
      <w:pPr>
        <w:spacing w:before="240"/>
        <w:jc w:val="both"/>
        <w:rPr>
          <w:noProof/>
          <w:color w:val="0070C0"/>
        </w:rPr>
      </w:pPr>
      <w:r w:rsidRPr="006E5269">
        <w:rPr>
          <w:b/>
          <w:noProof/>
          <w:color w:val="0070C0"/>
        </w:rPr>
        <w:t xml:space="preserve">Karaiby </w:t>
      </w:r>
    </w:p>
    <w:p w:rsidR="000C2E1E" w:rsidRPr="006E5269" w:rsidRDefault="0016013D" w:rsidP="003057BC">
      <w:pPr>
        <w:autoSpaceDE w:val="0"/>
        <w:autoSpaceDN w:val="0"/>
        <w:adjustRightInd w:val="0"/>
        <w:spacing w:before="240" w:after="120"/>
        <w:jc w:val="both"/>
        <w:rPr>
          <w:rFonts w:cstheme="minorHAnsi"/>
          <w:noProof/>
        </w:rPr>
      </w:pPr>
      <w:r w:rsidRPr="006E5269">
        <w:rPr>
          <w:noProof/>
        </w:rPr>
        <w:t>Kryzys związany z COVID-19 spowodował wzrost ubóstwa</w:t>
      </w:r>
      <w:r w:rsidR="00FD0C71" w:rsidRPr="006E5269">
        <w:rPr>
          <w:noProof/>
        </w:rPr>
        <w:t xml:space="preserve"> i</w:t>
      </w:r>
      <w:r w:rsidR="00FD0C71">
        <w:rPr>
          <w:noProof/>
        </w:rPr>
        <w:t> </w:t>
      </w:r>
      <w:r w:rsidR="00FD0C71" w:rsidRPr="006E5269">
        <w:rPr>
          <w:noProof/>
        </w:rPr>
        <w:t>spr</w:t>
      </w:r>
      <w:r w:rsidRPr="006E5269">
        <w:rPr>
          <w:noProof/>
        </w:rPr>
        <w:t>awił, że migranci</w:t>
      </w:r>
      <w:r w:rsidR="00FD0C71" w:rsidRPr="006E5269">
        <w:rPr>
          <w:noProof/>
        </w:rPr>
        <w:t xml:space="preserve"> i</w:t>
      </w:r>
      <w:r w:rsidR="00FD0C71">
        <w:rPr>
          <w:noProof/>
        </w:rPr>
        <w:t> </w:t>
      </w:r>
      <w:r w:rsidR="00FD0C71" w:rsidRPr="006E5269">
        <w:rPr>
          <w:noProof/>
        </w:rPr>
        <w:t>oso</w:t>
      </w:r>
      <w:r w:rsidRPr="006E5269">
        <w:rPr>
          <w:noProof/>
        </w:rPr>
        <w:t>by ubiegające się</w:t>
      </w:r>
      <w:r w:rsidR="00FD0C71" w:rsidRPr="006E5269">
        <w:rPr>
          <w:noProof/>
        </w:rPr>
        <w:t xml:space="preserve"> o</w:t>
      </w:r>
      <w:r w:rsidR="00FD0C71">
        <w:rPr>
          <w:noProof/>
        </w:rPr>
        <w:t> </w:t>
      </w:r>
      <w:r w:rsidR="00FD0C71" w:rsidRPr="006E5269">
        <w:rPr>
          <w:noProof/>
        </w:rPr>
        <w:t>azy</w:t>
      </w:r>
      <w:r w:rsidRPr="006E5269">
        <w:rPr>
          <w:noProof/>
        </w:rPr>
        <w:t>l stały się bardziej podatne na zagrożenia. Sezon huraganów miał negatywny wpływ na źródła utrzymania</w:t>
      </w:r>
      <w:r w:rsidR="00FD0C71" w:rsidRPr="006E5269">
        <w:rPr>
          <w:noProof/>
        </w:rPr>
        <w:t xml:space="preserve"> i</w:t>
      </w:r>
      <w:r w:rsidR="00FD0C71">
        <w:rPr>
          <w:noProof/>
        </w:rPr>
        <w:t> </w:t>
      </w:r>
      <w:r w:rsidR="00FD0C71" w:rsidRPr="006E5269">
        <w:rPr>
          <w:noProof/>
        </w:rPr>
        <w:t>inf</w:t>
      </w:r>
      <w:r w:rsidRPr="006E5269">
        <w:rPr>
          <w:noProof/>
        </w:rPr>
        <w:t>rastrukturę</w:t>
      </w:r>
      <w:r w:rsidR="00FD0C71" w:rsidRPr="006E5269">
        <w:rPr>
          <w:noProof/>
        </w:rPr>
        <w:t>. W</w:t>
      </w:r>
      <w:r w:rsidR="00FD0C71">
        <w:rPr>
          <w:noProof/>
        </w:rPr>
        <w:t> </w:t>
      </w:r>
      <w:r w:rsidR="00FD0C71" w:rsidRPr="006E5269">
        <w:rPr>
          <w:noProof/>
        </w:rPr>
        <w:t>reg</w:t>
      </w:r>
      <w:r w:rsidRPr="006E5269">
        <w:rPr>
          <w:noProof/>
        </w:rPr>
        <w:t>ionie tym około 10 mln osób było narażonych na brak bezpieczeństwa żywnościowego.</w:t>
      </w:r>
    </w:p>
    <w:p w:rsidR="000C2E1E" w:rsidRPr="006E5269" w:rsidRDefault="0008054A" w:rsidP="003057BC">
      <w:pPr>
        <w:spacing w:before="240" w:after="120"/>
        <w:jc w:val="both"/>
        <w:rPr>
          <w:rFonts w:cstheme="minorHAnsi"/>
          <w:b/>
          <w:noProof/>
          <w:color w:val="4B7CA7"/>
          <w:u w:val="single"/>
        </w:rPr>
      </w:pPr>
      <w:r w:rsidRPr="006E5269">
        <w:rPr>
          <w:i/>
          <w:noProof/>
        </w:rPr>
        <w:t xml:space="preserve">Unijna pomoc humanitarna ogółem – </w:t>
      </w:r>
      <w:r w:rsidRPr="006E5269">
        <w:rPr>
          <w:b/>
          <w:i/>
          <w:noProof/>
        </w:rPr>
        <w:t>3,76 mln EUR</w:t>
      </w:r>
      <w:r w:rsidRPr="006E5269">
        <w:rPr>
          <w:noProof/>
        </w:rPr>
        <w:t>.</w:t>
      </w:r>
    </w:p>
    <w:p w:rsidR="000C2E1E" w:rsidRPr="006E5269" w:rsidRDefault="000C2E1E" w:rsidP="003057BC">
      <w:pPr>
        <w:spacing w:before="240"/>
        <w:jc w:val="both"/>
        <w:rPr>
          <w:rFonts w:cstheme="majorBidi"/>
          <w:b/>
          <w:noProof/>
          <w:color w:val="0070C0"/>
        </w:rPr>
      </w:pPr>
      <w:r w:rsidRPr="006E5269">
        <w:rPr>
          <w:b/>
          <w:noProof/>
          <w:color w:val="0070C0"/>
        </w:rPr>
        <w:t>Haiti</w:t>
      </w:r>
    </w:p>
    <w:p w:rsidR="000C2E1E" w:rsidRPr="006E5269" w:rsidRDefault="003B6479" w:rsidP="003057BC">
      <w:pPr>
        <w:autoSpaceDE w:val="0"/>
        <w:autoSpaceDN w:val="0"/>
        <w:adjustRightInd w:val="0"/>
        <w:spacing w:before="240" w:after="120"/>
        <w:jc w:val="both"/>
        <w:rPr>
          <w:rFonts w:cstheme="minorHAnsi"/>
          <w:noProof/>
        </w:rPr>
      </w:pPr>
      <w:r w:rsidRPr="006E5269">
        <w:rPr>
          <w:noProof/>
        </w:rPr>
        <w:t>Pandemia COVID-19, przemoc</w:t>
      </w:r>
      <w:r w:rsidR="00FD0C71" w:rsidRPr="006E5269">
        <w:rPr>
          <w:noProof/>
        </w:rPr>
        <w:t xml:space="preserve"> i</w:t>
      </w:r>
      <w:r w:rsidR="00FD0C71">
        <w:rPr>
          <w:noProof/>
        </w:rPr>
        <w:t> </w:t>
      </w:r>
      <w:r w:rsidR="00FD0C71" w:rsidRPr="006E5269">
        <w:rPr>
          <w:noProof/>
        </w:rPr>
        <w:t>prz</w:t>
      </w:r>
      <w:r w:rsidRPr="006E5269">
        <w:rPr>
          <w:noProof/>
        </w:rPr>
        <w:t>estępczość pogłębiły kryzys społeczno-polityczny. Pandemia COVID-19 negatywnie wpłynęła również na źródła utrzymania oraz brak bezpieczeństwa żywnościowego,</w:t>
      </w:r>
      <w:r w:rsidR="00FD0C71" w:rsidRPr="006E5269">
        <w:rPr>
          <w:noProof/>
        </w:rPr>
        <w:t xml:space="preserve"> w</w:t>
      </w:r>
      <w:r w:rsidR="00FD0C71">
        <w:rPr>
          <w:noProof/>
        </w:rPr>
        <w:t> </w:t>
      </w:r>
      <w:r w:rsidR="00FD0C71" w:rsidRPr="006E5269">
        <w:rPr>
          <w:noProof/>
        </w:rPr>
        <w:t>zwi</w:t>
      </w:r>
      <w:r w:rsidRPr="006E5269">
        <w:rPr>
          <w:noProof/>
        </w:rPr>
        <w:t>ązku</w:t>
      </w:r>
      <w:r w:rsidR="00FD0C71" w:rsidRPr="006E5269">
        <w:rPr>
          <w:noProof/>
        </w:rPr>
        <w:t xml:space="preserve"> z</w:t>
      </w:r>
      <w:r w:rsidR="00FD0C71">
        <w:rPr>
          <w:noProof/>
        </w:rPr>
        <w:t> </w:t>
      </w:r>
      <w:r w:rsidR="00FD0C71" w:rsidRPr="006E5269">
        <w:rPr>
          <w:noProof/>
        </w:rPr>
        <w:t>czy</w:t>
      </w:r>
      <w:r w:rsidRPr="006E5269">
        <w:rPr>
          <w:noProof/>
        </w:rPr>
        <w:t xml:space="preserve">m pomocy potrzebowało ponad 4 mln osób. </w:t>
      </w:r>
    </w:p>
    <w:p w:rsidR="000C2E1E" w:rsidRPr="006E5269" w:rsidRDefault="003D203D" w:rsidP="0047298D">
      <w:pPr>
        <w:autoSpaceDE w:val="0"/>
        <w:autoSpaceDN w:val="0"/>
        <w:adjustRightInd w:val="0"/>
        <w:spacing w:before="240" w:after="120"/>
        <w:jc w:val="both"/>
        <w:rPr>
          <w:rFonts w:cstheme="minorHAnsi"/>
          <w:noProof/>
        </w:rPr>
      </w:pPr>
      <w:r w:rsidRPr="006E5269">
        <w:rPr>
          <w:noProof/>
        </w:rPr>
        <w:t>Pomoc UE dotyczyła kryzysu żywnościowego, pandemii COVID-19</w:t>
      </w:r>
      <w:r w:rsidR="00FD0C71" w:rsidRPr="006E5269">
        <w:rPr>
          <w:noProof/>
        </w:rPr>
        <w:t xml:space="preserve"> i</w:t>
      </w:r>
      <w:r w:rsidR="00FD0C71">
        <w:rPr>
          <w:noProof/>
        </w:rPr>
        <w:t> </w:t>
      </w:r>
      <w:r w:rsidR="00FD0C71" w:rsidRPr="006E5269">
        <w:rPr>
          <w:noProof/>
        </w:rPr>
        <w:t>got</w:t>
      </w:r>
      <w:r w:rsidRPr="006E5269">
        <w:rPr>
          <w:noProof/>
        </w:rPr>
        <w:t>owości na wypadek klęsk żywiołowych.</w:t>
      </w:r>
    </w:p>
    <w:p w:rsidR="0008054A" w:rsidRPr="006E5269" w:rsidRDefault="0008054A" w:rsidP="0047298D">
      <w:pPr>
        <w:autoSpaceDE w:val="0"/>
        <w:autoSpaceDN w:val="0"/>
        <w:adjustRightInd w:val="0"/>
        <w:spacing w:before="240" w:after="120"/>
        <w:jc w:val="both"/>
        <w:rPr>
          <w:rFonts w:cstheme="minorHAnsi"/>
          <w:noProof/>
        </w:rPr>
      </w:pPr>
      <w:r w:rsidRPr="006E5269">
        <w:rPr>
          <w:i/>
          <w:noProof/>
        </w:rPr>
        <w:t xml:space="preserve">Unijna pomoc humanitarna ogółem – </w:t>
      </w:r>
      <w:r w:rsidRPr="006E5269">
        <w:rPr>
          <w:b/>
          <w:i/>
          <w:noProof/>
        </w:rPr>
        <w:t>21 mln EUR</w:t>
      </w:r>
      <w:r w:rsidRPr="006E5269">
        <w:rPr>
          <w:i/>
          <w:noProof/>
        </w:rPr>
        <w:t>.</w:t>
      </w:r>
    </w:p>
    <w:p w:rsidR="00416917" w:rsidRPr="006E5269" w:rsidRDefault="00416917">
      <w:pPr>
        <w:rPr>
          <w:rFonts w:cstheme="majorBidi"/>
          <w:b/>
          <w:noProof/>
          <w:color w:val="0070C0"/>
        </w:rPr>
      </w:pPr>
      <w:r w:rsidRPr="006E5269">
        <w:rPr>
          <w:noProof/>
        </w:rPr>
        <w:br w:type="page"/>
      </w:r>
    </w:p>
    <w:p w:rsidR="00F63CB9" w:rsidRPr="006E5269" w:rsidRDefault="00335FA7" w:rsidP="0047298D">
      <w:pPr>
        <w:autoSpaceDE w:val="0"/>
        <w:autoSpaceDN w:val="0"/>
        <w:adjustRightInd w:val="0"/>
        <w:spacing w:before="240" w:after="120"/>
        <w:jc w:val="both"/>
        <w:rPr>
          <w:rFonts w:ascii="Verdana" w:hAnsi="Verdana"/>
          <w:b/>
          <w:noProof/>
          <w:sz w:val="20"/>
          <w:szCs w:val="20"/>
          <w:u w:val="single"/>
        </w:rPr>
      </w:pPr>
      <w:r w:rsidRPr="006E5269">
        <w:rPr>
          <w:b/>
          <w:noProof/>
          <w:color w:val="0070C0"/>
          <w:u w:val="single"/>
        </w:rPr>
        <w:t>Azja Południowa</w:t>
      </w:r>
      <w:r w:rsidR="00FD0C71" w:rsidRPr="006E5269">
        <w:rPr>
          <w:b/>
          <w:noProof/>
          <w:color w:val="0070C0"/>
          <w:u w:val="single"/>
        </w:rPr>
        <w:t xml:space="preserve"> i</w:t>
      </w:r>
      <w:r w:rsidR="00FD0C71">
        <w:rPr>
          <w:b/>
          <w:noProof/>
          <w:color w:val="0070C0"/>
          <w:u w:val="single"/>
        </w:rPr>
        <w:t> </w:t>
      </w:r>
      <w:r w:rsidR="00FD0C71" w:rsidRPr="006E5269">
        <w:rPr>
          <w:b/>
          <w:noProof/>
          <w:color w:val="0070C0"/>
          <w:u w:val="single"/>
        </w:rPr>
        <w:t>Pac</w:t>
      </w:r>
      <w:r w:rsidRPr="006E5269">
        <w:rPr>
          <w:b/>
          <w:noProof/>
          <w:color w:val="0070C0"/>
          <w:u w:val="single"/>
        </w:rPr>
        <w:t>yfik</w:t>
      </w:r>
    </w:p>
    <w:p w:rsidR="000C2E1E" w:rsidRPr="006E5269" w:rsidRDefault="000C2E1E" w:rsidP="003057BC">
      <w:pPr>
        <w:spacing w:before="240"/>
        <w:jc w:val="both"/>
        <w:rPr>
          <w:rFonts w:cstheme="majorBidi"/>
          <w:b/>
          <w:noProof/>
          <w:color w:val="0070C0"/>
        </w:rPr>
      </w:pPr>
      <w:r w:rsidRPr="006E5269">
        <w:rPr>
          <w:b/>
          <w:noProof/>
          <w:color w:val="0070C0"/>
        </w:rPr>
        <w:t>Afganistan, Pakistan</w:t>
      </w:r>
      <w:r w:rsidR="00FD0C71" w:rsidRPr="006E5269">
        <w:rPr>
          <w:b/>
          <w:noProof/>
          <w:color w:val="0070C0"/>
        </w:rPr>
        <w:t xml:space="preserve"> i</w:t>
      </w:r>
      <w:r w:rsidR="00FD0C71">
        <w:rPr>
          <w:b/>
          <w:noProof/>
          <w:color w:val="0070C0"/>
        </w:rPr>
        <w:t> </w:t>
      </w:r>
      <w:r w:rsidR="00FD0C71" w:rsidRPr="006E5269">
        <w:rPr>
          <w:b/>
          <w:noProof/>
          <w:color w:val="0070C0"/>
        </w:rPr>
        <w:t>Ira</w:t>
      </w:r>
      <w:r w:rsidRPr="006E5269">
        <w:rPr>
          <w:b/>
          <w:noProof/>
          <w:color w:val="0070C0"/>
        </w:rPr>
        <w:t>n</w:t>
      </w:r>
    </w:p>
    <w:p w:rsidR="005300CE" w:rsidRPr="006E5269" w:rsidRDefault="00C4225B" w:rsidP="003057BC">
      <w:pPr>
        <w:autoSpaceDE w:val="0"/>
        <w:autoSpaceDN w:val="0"/>
        <w:adjustRightInd w:val="0"/>
        <w:spacing w:before="240" w:after="120"/>
        <w:jc w:val="both"/>
        <w:rPr>
          <w:rFonts w:cstheme="minorHAnsi"/>
          <w:noProof/>
        </w:rPr>
      </w:pPr>
      <w:r w:rsidRPr="006E5269">
        <w:rPr>
          <w:noProof/>
        </w:rPr>
        <w:t>W Afganistanie mieszkało 3,4 mln osób wewnętrznie przesiedlonych,</w:t>
      </w:r>
      <w:r w:rsidR="00FD0C71" w:rsidRPr="006E5269">
        <w:rPr>
          <w:noProof/>
        </w:rPr>
        <w:t xml:space="preserve"> a</w:t>
      </w:r>
      <w:r w:rsidR="00FD0C71">
        <w:rPr>
          <w:noProof/>
        </w:rPr>
        <w:t> </w:t>
      </w:r>
      <w:r w:rsidR="00FD0C71" w:rsidRPr="006E5269">
        <w:rPr>
          <w:noProof/>
        </w:rPr>
        <w:t>w</w:t>
      </w:r>
      <w:r w:rsidR="00FD0C71">
        <w:rPr>
          <w:noProof/>
        </w:rPr>
        <w:t> </w:t>
      </w:r>
      <w:r w:rsidR="00FD0C71" w:rsidRPr="006E5269">
        <w:rPr>
          <w:noProof/>
        </w:rPr>
        <w:t>Ira</w:t>
      </w:r>
      <w:r w:rsidRPr="006E5269">
        <w:rPr>
          <w:noProof/>
        </w:rPr>
        <w:t>nie</w:t>
      </w:r>
      <w:r w:rsidR="00FD0C71" w:rsidRPr="006E5269">
        <w:rPr>
          <w:noProof/>
        </w:rPr>
        <w:t xml:space="preserve"> i</w:t>
      </w:r>
      <w:r w:rsidR="00FD0C71">
        <w:rPr>
          <w:noProof/>
        </w:rPr>
        <w:t> </w:t>
      </w:r>
      <w:r w:rsidR="00FD0C71" w:rsidRPr="006E5269">
        <w:rPr>
          <w:noProof/>
        </w:rPr>
        <w:t>Pak</w:t>
      </w:r>
      <w:r w:rsidRPr="006E5269">
        <w:rPr>
          <w:noProof/>
        </w:rPr>
        <w:t>istanie – 6,5 mln afgańskich uchodźców. W Iranie presja wynikająca</w:t>
      </w:r>
      <w:r w:rsidR="00FD0C71" w:rsidRPr="006E5269">
        <w:rPr>
          <w:noProof/>
        </w:rPr>
        <w:t xml:space="preserve"> z</w:t>
      </w:r>
      <w:r w:rsidR="00FD0C71">
        <w:rPr>
          <w:noProof/>
        </w:rPr>
        <w:t> </w:t>
      </w:r>
      <w:r w:rsidR="00FD0C71" w:rsidRPr="006E5269">
        <w:rPr>
          <w:noProof/>
        </w:rPr>
        <w:t>san</w:t>
      </w:r>
      <w:r w:rsidRPr="006E5269">
        <w:rPr>
          <w:noProof/>
        </w:rPr>
        <w:t>kcji nałożonych przez Stany Zjednoczone skutkowała ograniczeniem dostępu do podstawowych usług, natomiast</w:t>
      </w:r>
      <w:r w:rsidR="00FD0C71" w:rsidRPr="006E5269">
        <w:rPr>
          <w:noProof/>
        </w:rPr>
        <w:t xml:space="preserve"> w</w:t>
      </w:r>
      <w:r w:rsidR="00FD0C71">
        <w:rPr>
          <w:noProof/>
        </w:rPr>
        <w:t> </w:t>
      </w:r>
      <w:r w:rsidR="00FD0C71" w:rsidRPr="006E5269">
        <w:rPr>
          <w:noProof/>
        </w:rPr>
        <w:t>Pak</w:t>
      </w:r>
      <w:r w:rsidRPr="006E5269">
        <w:rPr>
          <w:noProof/>
        </w:rPr>
        <w:t>istanie doszło do wzmożenia kryzysu żywnościowy</w:t>
      </w:r>
      <w:r w:rsidR="00FD0C71" w:rsidRPr="006E5269">
        <w:rPr>
          <w:noProof/>
        </w:rPr>
        <w:t xml:space="preserve"> w</w:t>
      </w:r>
      <w:r w:rsidR="00FD0C71">
        <w:rPr>
          <w:noProof/>
        </w:rPr>
        <w:t> </w:t>
      </w:r>
      <w:r w:rsidR="00FD0C71" w:rsidRPr="006E5269">
        <w:rPr>
          <w:noProof/>
        </w:rPr>
        <w:t>zwi</w:t>
      </w:r>
      <w:r w:rsidRPr="006E5269">
        <w:rPr>
          <w:noProof/>
        </w:rPr>
        <w:t>ązku</w:t>
      </w:r>
      <w:r w:rsidR="00FD0C71" w:rsidRPr="006E5269">
        <w:rPr>
          <w:noProof/>
        </w:rPr>
        <w:t xml:space="preserve"> z</w:t>
      </w:r>
      <w:r w:rsidR="00FD0C71">
        <w:rPr>
          <w:noProof/>
        </w:rPr>
        <w:t> </w:t>
      </w:r>
      <w:r w:rsidR="00FD0C71" w:rsidRPr="006E5269">
        <w:rPr>
          <w:noProof/>
        </w:rPr>
        <w:t>pan</w:t>
      </w:r>
      <w:r w:rsidRPr="006E5269">
        <w:rPr>
          <w:noProof/>
        </w:rPr>
        <w:t>demią COVID-19. Wszystkie trzy kraje ucierpiały</w:t>
      </w:r>
      <w:r w:rsidR="00FD0C71" w:rsidRPr="006E5269">
        <w:rPr>
          <w:noProof/>
        </w:rPr>
        <w:t xml:space="preserve"> w</w:t>
      </w:r>
      <w:r w:rsidR="00FD0C71">
        <w:rPr>
          <w:noProof/>
        </w:rPr>
        <w:t> </w:t>
      </w:r>
      <w:r w:rsidR="00FD0C71" w:rsidRPr="006E5269">
        <w:rPr>
          <w:noProof/>
        </w:rPr>
        <w:t>wyn</w:t>
      </w:r>
      <w:r w:rsidRPr="006E5269">
        <w:rPr>
          <w:noProof/>
        </w:rPr>
        <w:t xml:space="preserve">iku klęsk żywiołowych. </w:t>
      </w:r>
    </w:p>
    <w:p w:rsidR="00187FA5" w:rsidRPr="006E5269" w:rsidRDefault="00E400E6" w:rsidP="003057BC">
      <w:pPr>
        <w:autoSpaceDE w:val="0"/>
        <w:autoSpaceDN w:val="0"/>
        <w:adjustRightInd w:val="0"/>
        <w:spacing w:before="240" w:after="120"/>
        <w:jc w:val="both"/>
        <w:rPr>
          <w:rFonts w:cstheme="minorHAnsi"/>
          <w:noProof/>
        </w:rPr>
      </w:pPr>
      <w:r w:rsidRPr="006E5269">
        <w:rPr>
          <w:noProof/>
        </w:rPr>
        <w:t>UE przeznaczyła pomoc humanitarną</w:t>
      </w:r>
      <w:r w:rsidR="00FD0C71" w:rsidRPr="006E5269">
        <w:rPr>
          <w:noProof/>
        </w:rPr>
        <w:t xml:space="preserve"> w</w:t>
      </w:r>
      <w:r w:rsidR="00FD0C71">
        <w:rPr>
          <w:noProof/>
        </w:rPr>
        <w:t> </w:t>
      </w:r>
      <w:r w:rsidR="00FD0C71" w:rsidRPr="006E5269">
        <w:rPr>
          <w:noProof/>
        </w:rPr>
        <w:t>kwo</w:t>
      </w:r>
      <w:r w:rsidRPr="006E5269">
        <w:rPr>
          <w:noProof/>
        </w:rPr>
        <w:t>cie 69 mln EUR dla Afganistanu,</w:t>
      </w:r>
      <w:r w:rsidR="00FD0C71" w:rsidRPr="006E5269">
        <w:rPr>
          <w:noProof/>
        </w:rPr>
        <w:t xml:space="preserve"> w</w:t>
      </w:r>
      <w:r w:rsidR="00FD0C71">
        <w:rPr>
          <w:noProof/>
        </w:rPr>
        <w:t> </w:t>
      </w:r>
      <w:r w:rsidR="00FD0C71" w:rsidRPr="006E5269">
        <w:rPr>
          <w:noProof/>
        </w:rPr>
        <w:t>tym</w:t>
      </w:r>
      <w:r w:rsidRPr="006E5269">
        <w:rPr>
          <w:noProof/>
        </w:rPr>
        <w:t xml:space="preserve"> na reagowanie kryzysowe</w:t>
      </w:r>
      <w:r w:rsidR="00FD0C71" w:rsidRPr="006E5269">
        <w:rPr>
          <w:noProof/>
        </w:rPr>
        <w:t xml:space="preserve"> i</w:t>
      </w:r>
      <w:r w:rsidR="00FD0C71">
        <w:rPr>
          <w:noProof/>
        </w:rPr>
        <w:t> </w:t>
      </w:r>
      <w:r w:rsidR="00FD0C71" w:rsidRPr="006E5269">
        <w:rPr>
          <w:noProof/>
        </w:rPr>
        <w:t>opi</w:t>
      </w:r>
      <w:r w:rsidRPr="006E5269">
        <w:rPr>
          <w:noProof/>
        </w:rPr>
        <w:t>ekę pourazową. Dla Iranu</w:t>
      </w:r>
      <w:r w:rsidR="00FD0C71" w:rsidRPr="006E5269">
        <w:rPr>
          <w:noProof/>
        </w:rPr>
        <w:t xml:space="preserve"> i</w:t>
      </w:r>
      <w:r w:rsidR="00FD0C71">
        <w:rPr>
          <w:noProof/>
        </w:rPr>
        <w:t> </w:t>
      </w:r>
      <w:r w:rsidR="00FD0C71" w:rsidRPr="006E5269">
        <w:rPr>
          <w:noProof/>
        </w:rPr>
        <w:t>Pak</w:t>
      </w:r>
      <w:r w:rsidRPr="006E5269">
        <w:rPr>
          <w:noProof/>
        </w:rPr>
        <w:t>istanu UE przeznaczyła 61 mln EUR na pomoc dla afgańskich uchodźców</w:t>
      </w:r>
      <w:r w:rsidR="00FD0C71" w:rsidRPr="006E5269">
        <w:rPr>
          <w:noProof/>
        </w:rPr>
        <w:t xml:space="preserve"> i</w:t>
      </w:r>
      <w:r w:rsidR="00FD0C71">
        <w:rPr>
          <w:noProof/>
        </w:rPr>
        <w:t> </w:t>
      </w:r>
      <w:r w:rsidR="00FD0C71" w:rsidRPr="006E5269">
        <w:rPr>
          <w:noProof/>
        </w:rPr>
        <w:t>osó</w:t>
      </w:r>
      <w:r w:rsidRPr="006E5269">
        <w:rPr>
          <w:noProof/>
        </w:rPr>
        <w:t xml:space="preserve">b narażonych. </w:t>
      </w:r>
    </w:p>
    <w:p w:rsidR="000C2E1E" w:rsidRPr="006E5269" w:rsidRDefault="000C2E1E" w:rsidP="003057BC">
      <w:pPr>
        <w:autoSpaceDE w:val="0"/>
        <w:autoSpaceDN w:val="0"/>
        <w:adjustRightInd w:val="0"/>
        <w:spacing w:before="240" w:after="120"/>
        <w:jc w:val="both"/>
        <w:rPr>
          <w:rFonts w:cstheme="minorHAnsi"/>
          <w:noProof/>
        </w:rPr>
      </w:pPr>
      <w:r w:rsidRPr="006E5269">
        <w:rPr>
          <w:noProof/>
        </w:rPr>
        <w:t>W listopadzie 20</w:t>
      </w:r>
      <w:r w:rsidRPr="00FD0C71">
        <w:rPr>
          <w:noProof/>
        </w:rPr>
        <w:t>20</w:t>
      </w:r>
      <w:r w:rsidR="00FD0C71" w:rsidRPr="00FD0C71">
        <w:rPr>
          <w:noProof/>
        </w:rPr>
        <w:t> </w:t>
      </w:r>
      <w:r w:rsidRPr="00FD0C71">
        <w:rPr>
          <w:noProof/>
        </w:rPr>
        <w:t>r.</w:t>
      </w:r>
      <w:r w:rsidRPr="006E5269">
        <w:rPr>
          <w:noProof/>
        </w:rPr>
        <w:t xml:space="preserve"> podczas międzynarodowej konferencji dotyczącej Afganistanu</w:t>
      </w:r>
      <w:r w:rsidRPr="006E5269">
        <w:rPr>
          <w:rStyle w:val="FootnoteReference"/>
          <w:rFonts w:cstheme="minorHAnsi"/>
          <w:noProof/>
        </w:rPr>
        <w:footnoteReference w:id="7"/>
      </w:r>
      <w:r w:rsidRPr="006E5269">
        <w:rPr>
          <w:noProof/>
        </w:rPr>
        <w:t xml:space="preserve"> Komisja współorganizowała dodatkowe wydarzenie pt. „Pomoc humanitarna, międzynarodowe prawo humanitarne</w:t>
      </w:r>
      <w:r w:rsidR="00FD0C71" w:rsidRPr="006E5269">
        <w:rPr>
          <w:noProof/>
        </w:rPr>
        <w:t xml:space="preserve"> i</w:t>
      </w:r>
      <w:r w:rsidR="00FD0C71">
        <w:rPr>
          <w:noProof/>
        </w:rPr>
        <w:t> </w:t>
      </w:r>
      <w:r w:rsidR="00FD0C71" w:rsidRPr="006E5269">
        <w:rPr>
          <w:noProof/>
        </w:rPr>
        <w:t>och</w:t>
      </w:r>
      <w:r w:rsidRPr="006E5269">
        <w:rPr>
          <w:noProof/>
        </w:rPr>
        <w:t>rona ludności cywilnej”</w:t>
      </w:r>
      <w:r w:rsidRPr="006E5269">
        <w:rPr>
          <w:rStyle w:val="FootnoteReference"/>
          <w:rFonts w:cstheme="minorHAnsi"/>
          <w:noProof/>
        </w:rPr>
        <w:footnoteReference w:id="8"/>
      </w:r>
      <w:r w:rsidRPr="006E5269">
        <w:rPr>
          <w:noProof/>
        </w:rPr>
        <w:t>.</w:t>
      </w:r>
    </w:p>
    <w:p w:rsidR="00DC535E" w:rsidRPr="006E5269" w:rsidRDefault="00DC535E" w:rsidP="003057BC">
      <w:pPr>
        <w:autoSpaceDE w:val="0"/>
        <w:autoSpaceDN w:val="0"/>
        <w:adjustRightInd w:val="0"/>
        <w:spacing w:before="240" w:after="120"/>
        <w:jc w:val="both"/>
        <w:rPr>
          <w:rFonts w:cstheme="minorHAnsi"/>
          <w:noProof/>
        </w:rPr>
      </w:pPr>
      <w:r w:rsidRPr="006E5269">
        <w:rPr>
          <w:i/>
          <w:noProof/>
        </w:rPr>
        <w:t xml:space="preserve">Unijna pomoc humanitarna ogółem – </w:t>
      </w:r>
      <w:r w:rsidRPr="006E5269">
        <w:rPr>
          <w:b/>
          <w:i/>
          <w:noProof/>
        </w:rPr>
        <w:t>130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Mjanma/Birma</w:t>
      </w:r>
      <w:r w:rsidR="00FD0C71" w:rsidRPr="006E5269">
        <w:rPr>
          <w:b/>
          <w:noProof/>
          <w:color w:val="0070C0"/>
        </w:rPr>
        <w:t xml:space="preserve"> i</w:t>
      </w:r>
      <w:r w:rsidR="00FD0C71">
        <w:rPr>
          <w:b/>
          <w:noProof/>
          <w:color w:val="0070C0"/>
        </w:rPr>
        <w:t> </w:t>
      </w:r>
      <w:r w:rsidR="00FD0C71" w:rsidRPr="006E5269">
        <w:rPr>
          <w:b/>
          <w:noProof/>
          <w:color w:val="0070C0"/>
        </w:rPr>
        <w:t>Ban</w:t>
      </w:r>
      <w:r w:rsidRPr="006E5269">
        <w:rPr>
          <w:b/>
          <w:noProof/>
          <w:color w:val="0070C0"/>
        </w:rPr>
        <w:t>gladesz</w:t>
      </w:r>
    </w:p>
    <w:p w:rsidR="0047058C" w:rsidRPr="006E5269" w:rsidRDefault="008A333C" w:rsidP="003057BC">
      <w:pPr>
        <w:spacing w:before="240" w:after="120"/>
        <w:jc w:val="both"/>
        <w:rPr>
          <w:rFonts w:cstheme="minorHAnsi"/>
          <w:noProof/>
        </w:rPr>
      </w:pPr>
      <w:r w:rsidRPr="006E5269">
        <w:rPr>
          <w:noProof/>
        </w:rPr>
        <w:t>W Koks Badźar</w:t>
      </w:r>
      <w:r w:rsidR="00FD0C71" w:rsidRPr="006E5269">
        <w:rPr>
          <w:noProof/>
        </w:rPr>
        <w:t xml:space="preserve"> w</w:t>
      </w:r>
      <w:r w:rsidR="00FD0C71">
        <w:rPr>
          <w:noProof/>
        </w:rPr>
        <w:t> </w:t>
      </w:r>
      <w:r w:rsidR="00FD0C71" w:rsidRPr="006E5269">
        <w:rPr>
          <w:noProof/>
        </w:rPr>
        <w:t>Ban</w:t>
      </w:r>
      <w:r w:rsidRPr="006E5269">
        <w:rPr>
          <w:noProof/>
        </w:rPr>
        <w:t>gladeszu przebywa około 900 000 bezpaństwowych uchodźców</w:t>
      </w:r>
      <w:r w:rsidR="00FD0C71" w:rsidRPr="006E5269">
        <w:rPr>
          <w:noProof/>
        </w:rPr>
        <w:t xml:space="preserve"> w</w:t>
      </w:r>
      <w:r w:rsidR="00FD0C71">
        <w:rPr>
          <w:noProof/>
        </w:rPr>
        <w:t> </w:t>
      </w:r>
      <w:r w:rsidR="00FD0C71" w:rsidRPr="006E5269">
        <w:rPr>
          <w:noProof/>
        </w:rPr>
        <w:t>peł</w:t>
      </w:r>
      <w:r w:rsidRPr="006E5269">
        <w:rPr>
          <w:noProof/>
        </w:rPr>
        <w:t>ni uzależnionych od pomocy humanitarnej, bez prawa do swobodnego przemieszczania się</w:t>
      </w:r>
      <w:r w:rsidR="00FD0C71" w:rsidRPr="006E5269">
        <w:rPr>
          <w:noProof/>
        </w:rPr>
        <w:t xml:space="preserve"> i</w:t>
      </w:r>
      <w:r w:rsidR="00FD0C71">
        <w:rPr>
          <w:noProof/>
        </w:rPr>
        <w:t> </w:t>
      </w:r>
      <w:r w:rsidR="00FD0C71" w:rsidRPr="006E5269">
        <w:rPr>
          <w:noProof/>
        </w:rPr>
        <w:t>moż</w:t>
      </w:r>
      <w:r w:rsidRPr="006E5269">
        <w:rPr>
          <w:noProof/>
        </w:rPr>
        <w:t xml:space="preserve">liwości zarabiania na życie. </w:t>
      </w:r>
    </w:p>
    <w:p w:rsidR="000C2E1E" w:rsidRPr="006E5269" w:rsidRDefault="00F63CB9" w:rsidP="003057BC">
      <w:pPr>
        <w:spacing w:before="240" w:after="120"/>
        <w:jc w:val="both"/>
        <w:rPr>
          <w:rFonts w:cstheme="minorHAnsi"/>
          <w:noProof/>
        </w:rPr>
      </w:pPr>
      <w:r w:rsidRPr="006E5269">
        <w:rPr>
          <w:noProof/>
        </w:rPr>
        <w:t>UE współorganizowała konferencję darczyńców wspierających ludność Rohingja</w:t>
      </w:r>
      <w:r w:rsidRPr="006E5269">
        <w:rPr>
          <w:rStyle w:val="FootnoteReference"/>
          <w:rFonts w:cstheme="minorHAnsi"/>
          <w:noProof/>
        </w:rPr>
        <w:footnoteReference w:id="9"/>
      </w:r>
      <w:r w:rsidR="00FD0C71" w:rsidRPr="006E5269">
        <w:rPr>
          <w:noProof/>
        </w:rPr>
        <w:t xml:space="preserve"> w</w:t>
      </w:r>
      <w:r w:rsidR="00FD0C71">
        <w:rPr>
          <w:noProof/>
        </w:rPr>
        <w:t> </w:t>
      </w:r>
      <w:r w:rsidR="00FD0C71" w:rsidRPr="006E5269">
        <w:rPr>
          <w:noProof/>
        </w:rPr>
        <w:t>paź</w:t>
      </w:r>
      <w:r w:rsidRPr="006E5269">
        <w:rPr>
          <w:noProof/>
        </w:rPr>
        <w:t>dzierniku 20</w:t>
      </w:r>
      <w:r w:rsidRPr="00FD0C71">
        <w:rPr>
          <w:noProof/>
        </w:rPr>
        <w:t>20</w:t>
      </w:r>
      <w:r w:rsidR="00FD0C71" w:rsidRPr="00FD0C71">
        <w:rPr>
          <w:noProof/>
        </w:rPr>
        <w:t> </w:t>
      </w:r>
      <w:r w:rsidRPr="00FD0C71">
        <w:rPr>
          <w:noProof/>
        </w:rPr>
        <w:t>r.</w:t>
      </w:r>
      <w:r w:rsidR="00FD0C71" w:rsidRPr="006E5269">
        <w:rPr>
          <w:noProof/>
        </w:rPr>
        <w:t xml:space="preserve"> i</w:t>
      </w:r>
      <w:r w:rsidR="00FD0C71">
        <w:rPr>
          <w:noProof/>
        </w:rPr>
        <w:t> </w:t>
      </w:r>
      <w:r w:rsidR="00FD0C71" w:rsidRPr="006E5269">
        <w:rPr>
          <w:noProof/>
        </w:rPr>
        <w:t>udz</w:t>
      </w:r>
      <w:r w:rsidRPr="006E5269">
        <w:rPr>
          <w:noProof/>
        </w:rPr>
        <w:t>ieliła pomocy</w:t>
      </w:r>
      <w:r w:rsidR="00FD0C71" w:rsidRPr="006E5269">
        <w:rPr>
          <w:noProof/>
        </w:rPr>
        <w:t xml:space="preserve"> w</w:t>
      </w:r>
      <w:r w:rsidR="00FD0C71">
        <w:rPr>
          <w:noProof/>
        </w:rPr>
        <w:t> </w:t>
      </w:r>
      <w:r w:rsidR="00FD0C71" w:rsidRPr="006E5269">
        <w:rPr>
          <w:noProof/>
        </w:rPr>
        <w:t>cel</w:t>
      </w:r>
      <w:r w:rsidRPr="006E5269">
        <w:rPr>
          <w:noProof/>
        </w:rPr>
        <w:t>u zapewnienia podstawowych usług</w:t>
      </w:r>
      <w:r w:rsidR="00FD0C71" w:rsidRPr="006E5269">
        <w:rPr>
          <w:noProof/>
        </w:rPr>
        <w:t xml:space="preserve"> i</w:t>
      </w:r>
      <w:r w:rsidR="00FD0C71">
        <w:rPr>
          <w:noProof/>
        </w:rPr>
        <w:t> </w:t>
      </w:r>
      <w:r w:rsidR="00FD0C71" w:rsidRPr="006E5269">
        <w:rPr>
          <w:noProof/>
        </w:rPr>
        <w:t>zmn</w:t>
      </w:r>
      <w:r w:rsidRPr="006E5269">
        <w:rPr>
          <w:noProof/>
        </w:rPr>
        <w:t>iejszenia ryzyka związanego</w:t>
      </w:r>
      <w:r w:rsidR="00FD0C71" w:rsidRPr="006E5269">
        <w:rPr>
          <w:noProof/>
        </w:rPr>
        <w:t xml:space="preserve"> z</w:t>
      </w:r>
      <w:r w:rsidR="00FD0C71">
        <w:rPr>
          <w:noProof/>
        </w:rPr>
        <w:t> </w:t>
      </w:r>
      <w:r w:rsidR="00FD0C71" w:rsidRPr="006E5269">
        <w:rPr>
          <w:noProof/>
        </w:rPr>
        <w:t>klę</w:t>
      </w:r>
      <w:r w:rsidRPr="006E5269">
        <w:rPr>
          <w:noProof/>
        </w:rPr>
        <w:t>skami żywiołowymi. UE wspierała ludność narażoną również na innych obszarach Mjanma/Birma dotkniętych konfliktem,</w:t>
      </w:r>
      <w:r w:rsidR="00FD0C71" w:rsidRPr="006E5269">
        <w:rPr>
          <w:noProof/>
        </w:rPr>
        <w:t xml:space="preserve"> a</w:t>
      </w:r>
      <w:r w:rsidR="00FD0C71">
        <w:rPr>
          <w:noProof/>
        </w:rPr>
        <w:t> </w:t>
      </w:r>
      <w:r w:rsidR="00FD0C71" w:rsidRPr="006E5269">
        <w:rPr>
          <w:noProof/>
        </w:rPr>
        <w:t>tak</w:t>
      </w:r>
      <w:r w:rsidRPr="006E5269">
        <w:rPr>
          <w:noProof/>
        </w:rPr>
        <w:t>że uchodźców</w:t>
      </w:r>
      <w:r w:rsidR="00FD0C71" w:rsidRPr="006E5269">
        <w:rPr>
          <w:noProof/>
        </w:rPr>
        <w:t xml:space="preserve"> w</w:t>
      </w:r>
      <w:r w:rsidR="00FD0C71">
        <w:rPr>
          <w:noProof/>
        </w:rPr>
        <w:t> </w:t>
      </w:r>
      <w:r w:rsidR="00FD0C71" w:rsidRPr="006E5269">
        <w:rPr>
          <w:noProof/>
        </w:rPr>
        <w:t>Taj</w:t>
      </w:r>
      <w:r w:rsidRPr="006E5269">
        <w:rPr>
          <w:noProof/>
        </w:rPr>
        <w:t>landii, Indonezji</w:t>
      </w:r>
      <w:r w:rsidR="00FD0C71" w:rsidRPr="006E5269">
        <w:rPr>
          <w:noProof/>
        </w:rPr>
        <w:t xml:space="preserve"> i</w:t>
      </w:r>
      <w:r w:rsidR="00FD0C71">
        <w:rPr>
          <w:noProof/>
        </w:rPr>
        <w:t> </w:t>
      </w:r>
      <w:r w:rsidR="00FD0C71" w:rsidRPr="006E5269">
        <w:rPr>
          <w:noProof/>
        </w:rPr>
        <w:t>Mal</w:t>
      </w:r>
      <w:r w:rsidRPr="006E5269">
        <w:rPr>
          <w:noProof/>
        </w:rPr>
        <w:t>ezji.</w:t>
      </w:r>
    </w:p>
    <w:p w:rsidR="00DC535E" w:rsidRPr="006E5269" w:rsidRDefault="00DC535E" w:rsidP="003057BC">
      <w:pPr>
        <w:spacing w:before="240" w:after="120"/>
        <w:jc w:val="both"/>
        <w:rPr>
          <w:rFonts w:cstheme="minorHAnsi"/>
          <w:noProof/>
        </w:rPr>
      </w:pPr>
      <w:r w:rsidRPr="006E5269">
        <w:rPr>
          <w:i/>
          <w:noProof/>
        </w:rPr>
        <w:t xml:space="preserve">Unijna pomoc humanitarna ogółem – </w:t>
      </w:r>
      <w:r w:rsidRPr="006E5269">
        <w:rPr>
          <w:b/>
          <w:i/>
          <w:noProof/>
        </w:rPr>
        <w:t>60,9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Filipiny</w:t>
      </w:r>
    </w:p>
    <w:p w:rsidR="005D2459" w:rsidRPr="006E5269" w:rsidRDefault="00FF647B" w:rsidP="003057BC">
      <w:pPr>
        <w:spacing w:before="240" w:after="120"/>
        <w:jc w:val="both"/>
        <w:rPr>
          <w:rFonts w:cstheme="minorHAnsi"/>
          <w:noProof/>
        </w:rPr>
      </w:pPr>
      <w:r w:rsidRPr="006E5269">
        <w:rPr>
          <w:noProof/>
        </w:rPr>
        <w:t>Ze względu na długotrwałe konflikty wewnętrzne na wyspie Mindanao pomocy humanitarnej potrzebowało około 300 000 osób (wśród których znajdowali się uchodźcy</w:t>
      </w:r>
      <w:r w:rsidR="00FD0C71" w:rsidRPr="006E5269">
        <w:rPr>
          <w:noProof/>
        </w:rPr>
        <w:t xml:space="preserve"> i</w:t>
      </w:r>
      <w:r w:rsidR="00FD0C71">
        <w:rPr>
          <w:noProof/>
        </w:rPr>
        <w:t> </w:t>
      </w:r>
      <w:r w:rsidR="00FD0C71" w:rsidRPr="006E5269">
        <w:rPr>
          <w:noProof/>
        </w:rPr>
        <w:t>oso</w:t>
      </w:r>
      <w:r w:rsidRPr="006E5269">
        <w:rPr>
          <w:noProof/>
        </w:rPr>
        <w:t xml:space="preserve">by wewnętrznie przesiedlone). Ponadto Filipiny należą do grupy krajów najbardziej na świecie podatnych na klęski żywiołowe. </w:t>
      </w:r>
    </w:p>
    <w:p w:rsidR="00F20501" w:rsidRPr="006E5269" w:rsidRDefault="00EC32DE" w:rsidP="003057BC">
      <w:pPr>
        <w:spacing w:before="240" w:after="120"/>
        <w:jc w:val="both"/>
        <w:rPr>
          <w:rFonts w:cstheme="minorHAnsi"/>
          <w:noProof/>
        </w:rPr>
      </w:pPr>
      <w:r w:rsidRPr="006E5269">
        <w:rPr>
          <w:noProof/>
        </w:rPr>
        <w:t>Najbardziej narażonym osobom, które ucierpiały na skutek konfliktu wewnętrznego na wyspie Mindanao</w:t>
      </w:r>
      <w:r w:rsidR="00FD0C71" w:rsidRPr="006E5269">
        <w:rPr>
          <w:noProof/>
        </w:rPr>
        <w:t xml:space="preserve"> i</w:t>
      </w:r>
      <w:r w:rsidR="00FD0C71">
        <w:rPr>
          <w:noProof/>
        </w:rPr>
        <w:t> </w:t>
      </w:r>
      <w:r w:rsidR="00FD0C71" w:rsidRPr="006E5269">
        <w:rPr>
          <w:noProof/>
        </w:rPr>
        <w:t>klę</w:t>
      </w:r>
      <w:r w:rsidRPr="006E5269">
        <w:rPr>
          <w:noProof/>
        </w:rPr>
        <w:t>sk żywiołowych, udzielono pomocy nadzwyczajnej. Pomoc UE dotyczyła obszarów, takich jak tymczasowe schronienia, woda, urządzenia sanitarne</w:t>
      </w:r>
      <w:r w:rsidR="00FD0C71" w:rsidRPr="006E5269">
        <w:rPr>
          <w:noProof/>
        </w:rPr>
        <w:t xml:space="preserve"> i</w:t>
      </w:r>
      <w:r w:rsidR="00FD0C71">
        <w:rPr>
          <w:noProof/>
        </w:rPr>
        <w:t> </w:t>
      </w:r>
      <w:r w:rsidR="00FD0C71" w:rsidRPr="006E5269">
        <w:rPr>
          <w:noProof/>
        </w:rPr>
        <w:t>hig</w:t>
      </w:r>
      <w:r w:rsidRPr="006E5269">
        <w:rPr>
          <w:noProof/>
        </w:rPr>
        <w:t>iena, zdrowie, żywność</w:t>
      </w:r>
      <w:r w:rsidR="00FD0C71" w:rsidRPr="006E5269">
        <w:rPr>
          <w:noProof/>
        </w:rPr>
        <w:t xml:space="preserve"> i</w:t>
      </w:r>
      <w:r w:rsidR="00FD0C71">
        <w:rPr>
          <w:noProof/>
        </w:rPr>
        <w:t> </w:t>
      </w:r>
      <w:r w:rsidR="00FD0C71" w:rsidRPr="006E5269">
        <w:rPr>
          <w:noProof/>
        </w:rPr>
        <w:t>art</w:t>
      </w:r>
      <w:r w:rsidRPr="006E5269">
        <w:rPr>
          <w:noProof/>
        </w:rPr>
        <w:t>ykuły niespożywcze oraz edukacja</w:t>
      </w:r>
      <w:r w:rsidR="00FD0C71" w:rsidRPr="006E5269">
        <w:rPr>
          <w:noProof/>
        </w:rPr>
        <w:t xml:space="preserve"> w</w:t>
      </w:r>
      <w:r w:rsidR="00FD0C71">
        <w:rPr>
          <w:noProof/>
        </w:rPr>
        <w:t> </w:t>
      </w:r>
      <w:r w:rsidR="00FD0C71" w:rsidRPr="006E5269">
        <w:rPr>
          <w:noProof/>
        </w:rPr>
        <w:t>syt</w:t>
      </w:r>
      <w:r w:rsidRPr="006E5269">
        <w:rPr>
          <w:noProof/>
        </w:rPr>
        <w:t xml:space="preserve">uacjach nadzwyczajnych. </w:t>
      </w:r>
    </w:p>
    <w:p w:rsidR="00B065FF" w:rsidRPr="006E5269" w:rsidRDefault="00B065FF" w:rsidP="003057BC">
      <w:pPr>
        <w:spacing w:before="240" w:after="120"/>
        <w:jc w:val="both"/>
        <w:rPr>
          <w:rFonts w:cstheme="minorHAnsi"/>
          <w:noProof/>
        </w:rPr>
      </w:pPr>
      <w:r w:rsidRPr="006E5269">
        <w:rPr>
          <w:i/>
          <w:noProof/>
        </w:rPr>
        <w:t xml:space="preserve">Unijna pomoc humanitarna ogółem – </w:t>
      </w:r>
      <w:r w:rsidRPr="006E5269">
        <w:rPr>
          <w:b/>
          <w:i/>
          <w:noProof/>
        </w:rPr>
        <w:t>5,6 mln EUR</w:t>
      </w:r>
      <w:r w:rsidRPr="006E5269">
        <w:rPr>
          <w:i/>
          <w:noProof/>
        </w:rPr>
        <w:t>.</w:t>
      </w:r>
    </w:p>
    <w:p w:rsidR="00B25E5E" w:rsidRDefault="00B25E5E" w:rsidP="003057BC">
      <w:pPr>
        <w:spacing w:before="240"/>
        <w:jc w:val="both"/>
        <w:rPr>
          <w:b/>
          <w:noProof/>
          <w:color w:val="0070C0"/>
          <w:u w:val="single"/>
        </w:rPr>
      </w:pPr>
    </w:p>
    <w:p w:rsidR="00F63CB9" w:rsidRPr="006E5269" w:rsidRDefault="00F63CB9" w:rsidP="003057BC">
      <w:pPr>
        <w:spacing w:before="240"/>
        <w:jc w:val="both"/>
        <w:rPr>
          <w:rFonts w:cstheme="majorBidi"/>
          <w:b/>
          <w:noProof/>
          <w:color w:val="0070C0"/>
          <w:u w:val="single"/>
        </w:rPr>
      </w:pPr>
      <w:r w:rsidRPr="006E5269">
        <w:rPr>
          <w:b/>
          <w:noProof/>
          <w:color w:val="0070C0"/>
          <w:u w:val="single"/>
        </w:rPr>
        <w:t>Bliski Wschód</w:t>
      </w:r>
      <w:r w:rsidR="00FD0C71" w:rsidRPr="006E5269">
        <w:rPr>
          <w:b/>
          <w:noProof/>
          <w:color w:val="0070C0"/>
          <w:u w:val="single"/>
        </w:rPr>
        <w:t xml:space="preserve"> i</w:t>
      </w:r>
      <w:r w:rsidR="00FD0C71">
        <w:rPr>
          <w:b/>
          <w:noProof/>
          <w:color w:val="0070C0"/>
          <w:u w:val="single"/>
        </w:rPr>
        <w:t> </w:t>
      </w:r>
      <w:r w:rsidR="00FD0C71" w:rsidRPr="006E5269">
        <w:rPr>
          <w:b/>
          <w:noProof/>
          <w:color w:val="0070C0"/>
          <w:u w:val="single"/>
        </w:rPr>
        <w:t>sąs</w:t>
      </w:r>
      <w:r w:rsidRPr="006E5269">
        <w:rPr>
          <w:b/>
          <w:noProof/>
          <w:color w:val="0070C0"/>
          <w:u w:val="single"/>
        </w:rPr>
        <w:t>iedztwo</w:t>
      </w:r>
    </w:p>
    <w:p w:rsidR="000C2E1E" w:rsidRPr="006E5269" w:rsidRDefault="000C2E1E" w:rsidP="003057BC">
      <w:pPr>
        <w:spacing w:before="240"/>
        <w:jc w:val="both"/>
        <w:rPr>
          <w:rFonts w:cstheme="majorBidi"/>
          <w:b/>
          <w:noProof/>
          <w:color w:val="0070C0"/>
        </w:rPr>
      </w:pPr>
      <w:r w:rsidRPr="006E5269">
        <w:rPr>
          <w:b/>
          <w:noProof/>
          <w:color w:val="0070C0"/>
        </w:rPr>
        <w:t>Syria</w:t>
      </w:r>
    </w:p>
    <w:p w:rsidR="009B4C69" w:rsidRPr="006E5269" w:rsidRDefault="00B065FF" w:rsidP="003057BC">
      <w:pPr>
        <w:spacing w:before="240"/>
        <w:jc w:val="both"/>
        <w:rPr>
          <w:noProof/>
        </w:rPr>
      </w:pPr>
      <w:r w:rsidRPr="006E5269">
        <w:rPr>
          <w:noProof/>
        </w:rPr>
        <w:t>Ponad 11 mln ludzi</w:t>
      </w:r>
      <w:r w:rsidR="00FD0C71" w:rsidRPr="006E5269">
        <w:rPr>
          <w:noProof/>
        </w:rPr>
        <w:t xml:space="preserve"> w</w:t>
      </w:r>
      <w:r w:rsidR="00FD0C71">
        <w:rPr>
          <w:noProof/>
        </w:rPr>
        <w:t> </w:t>
      </w:r>
      <w:r w:rsidR="00FD0C71" w:rsidRPr="006E5269">
        <w:rPr>
          <w:noProof/>
        </w:rPr>
        <w:t>Syr</w:t>
      </w:r>
      <w:r w:rsidRPr="006E5269">
        <w:rPr>
          <w:noProof/>
        </w:rPr>
        <w:t>ii potrzebowało pomocy humanitarnej. Pomoc UE była przeznaczona dla osób narażonych</w:t>
      </w:r>
      <w:r w:rsidR="00FD0C71" w:rsidRPr="006E5269">
        <w:rPr>
          <w:noProof/>
        </w:rPr>
        <w:t xml:space="preserve"> i</w:t>
      </w:r>
      <w:r w:rsidR="00FD0C71">
        <w:rPr>
          <w:noProof/>
        </w:rPr>
        <w:t> </w:t>
      </w:r>
      <w:r w:rsidR="00FD0C71" w:rsidRPr="006E5269">
        <w:rPr>
          <w:noProof/>
        </w:rPr>
        <w:t>pol</w:t>
      </w:r>
      <w:r w:rsidRPr="006E5269">
        <w:rPr>
          <w:noProof/>
        </w:rPr>
        <w:t>egała na zapewnieniu żywności, leków, wody</w:t>
      </w:r>
      <w:r w:rsidR="00FD0C71" w:rsidRPr="006E5269">
        <w:rPr>
          <w:noProof/>
        </w:rPr>
        <w:t xml:space="preserve"> i</w:t>
      </w:r>
      <w:r w:rsidR="00FD0C71">
        <w:rPr>
          <w:noProof/>
        </w:rPr>
        <w:t> </w:t>
      </w:r>
      <w:r w:rsidR="00FD0C71" w:rsidRPr="006E5269">
        <w:rPr>
          <w:noProof/>
        </w:rPr>
        <w:t>sch</w:t>
      </w:r>
      <w:r w:rsidRPr="006E5269">
        <w:rPr>
          <w:noProof/>
        </w:rPr>
        <w:t>ronienia,</w:t>
      </w:r>
      <w:r w:rsidR="00FD0C71" w:rsidRPr="006E5269">
        <w:rPr>
          <w:noProof/>
        </w:rPr>
        <w:t xml:space="preserve"> a</w:t>
      </w:r>
      <w:r w:rsidR="00FD0C71">
        <w:rPr>
          <w:noProof/>
        </w:rPr>
        <w:t> </w:t>
      </w:r>
      <w:r w:rsidR="00FD0C71" w:rsidRPr="006E5269">
        <w:rPr>
          <w:noProof/>
        </w:rPr>
        <w:t>tak</w:t>
      </w:r>
      <w:r w:rsidRPr="006E5269">
        <w:rPr>
          <w:noProof/>
        </w:rPr>
        <w:t>że na poprawie warunków życia –</w:t>
      </w:r>
      <w:r w:rsidR="00FD0C71" w:rsidRPr="006E5269">
        <w:rPr>
          <w:noProof/>
        </w:rPr>
        <w:t xml:space="preserve"> w</w:t>
      </w:r>
      <w:r w:rsidR="00FD0C71">
        <w:rPr>
          <w:noProof/>
        </w:rPr>
        <w:t> </w:t>
      </w:r>
      <w:r w:rsidR="00FD0C71" w:rsidRPr="006E5269">
        <w:rPr>
          <w:noProof/>
        </w:rPr>
        <w:t>tym w</w:t>
      </w:r>
      <w:r w:rsidR="00FD0C71">
        <w:rPr>
          <w:noProof/>
        </w:rPr>
        <w:t> </w:t>
      </w:r>
      <w:r w:rsidR="00FD0C71" w:rsidRPr="006E5269">
        <w:rPr>
          <w:noProof/>
        </w:rPr>
        <w:t>zak</w:t>
      </w:r>
      <w:r w:rsidRPr="006E5269">
        <w:rPr>
          <w:noProof/>
        </w:rPr>
        <w:t>resie zdrowia, ochrony</w:t>
      </w:r>
      <w:r w:rsidR="00FD0C71" w:rsidRPr="006E5269">
        <w:rPr>
          <w:noProof/>
        </w:rPr>
        <w:t xml:space="preserve"> i</w:t>
      </w:r>
      <w:r w:rsidR="00FD0C71">
        <w:rPr>
          <w:noProof/>
        </w:rPr>
        <w:t> </w:t>
      </w:r>
      <w:r w:rsidR="00FD0C71" w:rsidRPr="006E5269">
        <w:rPr>
          <w:noProof/>
        </w:rPr>
        <w:t>edu</w:t>
      </w:r>
      <w:r w:rsidRPr="006E5269">
        <w:rPr>
          <w:noProof/>
        </w:rPr>
        <w:t>kacji</w:t>
      </w:r>
      <w:r w:rsidR="00FD0C71" w:rsidRPr="006E5269">
        <w:rPr>
          <w:noProof/>
        </w:rPr>
        <w:t xml:space="preserve"> w</w:t>
      </w:r>
      <w:r w:rsidR="00FD0C71">
        <w:rPr>
          <w:noProof/>
        </w:rPr>
        <w:t> </w:t>
      </w:r>
      <w:r w:rsidR="00FD0C71" w:rsidRPr="006E5269">
        <w:rPr>
          <w:noProof/>
        </w:rPr>
        <w:t>syt</w:t>
      </w:r>
      <w:r w:rsidRPr="006E5269">
        <w:rPr>
          <w:noProof/>
        </w:rPr>
        <w:t>uacjach nadzwyczajnych oraz</w:t>
      </w:r>
      <w:r w:rsidR="00FD0C71" w:rsidRPr="006E5269">
        <w:rPr>
          <w:noProof/>
        </w:rPr>
        <w:t xml:space="preserve"> w</w:t>
      </w:r>
      <w:r w:rsidR="00FD0C71">
        <w:rPr>
          <w:noProof/>
        </w:rPr>
        <w:t> </w:t>
      </w:r>
      <w:r w:rsidR="00FD0C71" w:rsidRPr="006E5269">
        <w:rPr>
          <w:noProof/>
        </w:rPr>
        <w:t>ram</w:t>
      </w:r>
      <w:r w:rsidRPr="006E5269">
        <w:rPr>
          <w:noProof/>
        </w:rPr>
        <w:t xml:space="preserve">ach pomocy pieniężnej. </w:t>
      </w:r>
    </w:p>
    <w:p w:rsidR="000C2E1E" w:rsidRPr="006E5269" w:rsidRDefault="002D322C" w:rsidP="003057BC">
      <w:pPr>
        <w:spacing w:before="240"/>
        <w:jc w:val="both"/>
        <w:rPr>
          <w:noProof/>
        </w:rPr>
      </w:pPr>
      <w:r w:rsidRPr="006E5269">
        <w:rPr>
          <w:noProof/>
        </w:rPr>
        <w:t>Komisja zorganizowała</w:t>
      </w:r>
      <w:r w:rsidR="00FD0C71" w:rsidRPr="006E5269">
        <w:rPr>
          <w:noProof/>
        </w:rPr>
        <w:t xml:space="preserve"> i</w:t>
      </w:r>
      <w:r w:rsidR="00FD0C71">
        <w:rPr>
          <w:noProof/>
        </w:rPr>
        <w:t> </w:t>
      </w:r>
      <w:r w:rsidR="00FD0C71" w:rsidRPr="006E5269">
        <w:rPr>
          <w:noProof/>
        </w:rPr>
        <w:t>wsp</w:t>
      </w:r>
      <w:r w:rsidRPr="006E5269">
        <w:rPr>
          <w:noProof/>
        </w:rPr>
        <w:t>ółprowadziła konferencję „Wspieranie przyszłości Syrii</w:t>
      </w:r>
      <w:r w:rsidR="00FD0C71" w:rsidRPr="006E5269">
        <w:rPr>
          <w:noProof/>
        </w:rPr>
        <w:t xml:space="preserve"> i</w:t>
      </w:r>
      <w:r w:rsidR="00FD0C71">
        <w:rPr>
          <w:noProof/>
        </w:rPr>
        <w:t> </w:t>
      </w:r>
      <w:r w:rsidR="00FD0C71" w:rsidRPr="006E5269">
        <w:rPr>
          <w:noProof/>
        </w:rPr>
        <w:t>reg</w:t>
      </w:r>
      <w:r w:rsidRPr="006E5269">
        <w:rPr>
          <w:noProof/>
        </w:rPr>
        <w:t>ionu</w:t>
      </w:r>
      <w:r w:rsidRPr="006E5269">
        <w:rPr>
          <w:rStyle w:val="FootnoteReference"/>
          <w:noProof/>
        </w:rPr>
        <w:footnoteReference w:id="10"/>
      </w:r>
      <w:r w:rsidRPr="006E5269">
        <w:rPr>
          <w:noProof/>
        </w:rPr>
        <w:t>”</w:t>
      </w:r>
      <w:r w:rsidR="00FD0C71" w:rsidRPr="006E5269">
        <w:rPr>
          <w:noProof/>
        </w:rPr>
        <w:t xml:space="preserve"> i</w:t>
      </w:r>
      <w:r w:rsidR="00FD0C71">
        <w:rPr>
          <w:noProof/>
        </w:rPr>
        <w:t> </w:t>
      </w:r>
      <w:r w:rsidR="00FD0C71" w:rsidRPr="006E5269">
        <w:rPr>
          <w:noProof/>
        </w:rPr>
        <w:t>ucz</w:t>
      </w:r>
      <w:r w:rsidRPr="006E5269">
        <w:rPr>
          <w:noProof/>
        </w:rPr>
        <w:t>estniczyła</w:t>
      </w:r>
      <w:r w:rsidR="00FD0C71" w:rsidRPr="006E5269">
        <w:rPr>
          <w:noProof/>
        </w:rPr>
        <w:t xml:space="preserve"> w</w:t>
      </w:r>
      <w:r w:rsidR="00FD0C71">
        <w:rPr>
          <w:noProof/>
        </w:rPr>
        <w:t> </w:t>
      </w:r>
      <w:r w:rsidR="00FD0C71" w:rsidRPr="006E5269">
        <w:rPr>
          <w:noProof/>
        </w:rPr>
        <w:t>spo</w:t>
      </w:r>
      <w:r w:rsidRPr="006E5269">
        <w:rPr>
          <w:noProof/>
        </w:rPr>
        <w:t>tkaniu grupy zadaniowej ds. pomocy humanitarnej</w:t>
      </w:r>
      <w:r w:rsidRPr="006E5269">
        <w:rPr>
          <w:rStyle w:val="FootnoteReference"/>
          <w:noProof/>
        </w:rPr>
        <w:footnoteReference w:id="11"/>
      </w:r>
      <w:r w:rsidR="00FD0C71" w:rsidRPr="006E5269">
        <w:rPr>
          <w:noProof/>
        </w:rPr>
        <w:t xml:space="preserve"> w</w:t>
      </w:r>
      <w:r w:rsidR="00FD0C71">
        <w:rPr>
          <w:noProof/>
        </w:rPr>
        <w:t> </w:t>
      </w:r>
      <w:r w:rsidR="00FD0C71" w:rsidRPr="006E5269">
        <w:rPr>
          <w:noProof/>
        </w:rPr>
        <w:t>ram</w:t>
      </w:r>
      <w:r w:rsidRPr="006E5269">
        <w:rPr>
          <w:noProof/>
        </w:rPr>
        <w:t>ach Międzynarodowej Grupy Wsparcia Syrii, które odbyło się</w:t>
      </w:r>
      <w:r w:rsidR="00FD0C71" w:rsidRPr="006E5269">
        <w:rPr>
          <w:noProof/>
        </w:rPr>
        <w:t xml:space="preserve"> w</w:t>
      </w:r>
      <w:r w:rsidR="00FD0C71">
        <w:rPr>
          <w:noProof/>
        </w:rPr>
        <w:t> </w:t>
      </w:r>
      <w:r w:rsidR="00FD0C71" w:rsidRPr="006E5269">
        <w:rPr>
          <w:noProof/>
        </w:rPr>
        <w:t>Gen</w:t>
      </w:r>
      <w:r w:rsidRPr="006E5269">
        <w:rPr>
          <w:noProof/>
        </w:rPr>
        <w:t xml:space="preserve">ewie. </w:t>
      </w:r>
    </w:p>
    <w:p w:rsidR="00B065FF" w:rsidRPr="006E5269" w:rsidRDefault="00B065FF" w:rsidP="003057BC">
      <w:pPr>
        <w:spacing w:before="240"/>
        <w:jc w:val="both"/>
        <w:rPr>
          <w:noProof/>
        </w:rPr>
      </w:pPr>
      <w:r w:rsidRPr="006E5269">
        <w:rPr>
          <w:i/>
          <w:noProof/>
        </w:rPr>
        <w:t xml:space="preserve">Unijna pomoc humanitarna ogółem – </w:t>
      </w:r>
      <w:r w:rsidRPr="006E5269">
        <w:rPr>
          <w:b/>
          <w:i/>
          <w:noProof/>
        </w:rPr>
        <w:t>197 mln EUR</w:t>
      </w:r>
      <w:r w:rsidRPr="006E5269">
        <w:rPr>
          <w:i/>
          <w:noProof/>
        </w:rPr>
        <w:t>.</w:t>
      </w:r>
    </w:p>
    <w:p w:rsidR="00365923" w:rsidRPr="006E5269" w:rsidRDefault="00365923" w:rsidP="003057BC">
      <w:pPr>
        <w:spacing w:before="240"/>
        <w:jc w:val="both"/>
        <w:rPr>
          <w:rFonts w:cstheme="majorBidi"/>
          <w:b/>
          <w:noProof/>
          <w:color w:val="0070C0"/>
        </w:rPr>
      </w:pPr>
      <w:r w:rsidRPr="006E5269">
        <w:rPr>
          <w:b/>
          <w:noProof/>
          <w:color w:val="0070C0"/>
        </w:rPr>
        <w:t>Liban</w:t>
      </w:r>
      <w:r w:rsidR="00FD0C71" w:rsidRPr="006E5269">
        <w:rPr>
          <w:b/>
          <w:noProof/>
          <w:color w:val="0070C0"/>
        </w:rPr>
        <w:t xml:space="preserve"> i</w:t>
      </w:r>
      <w:r w:rsidR="00FD0C71">
        <w:rPr>
          <w:b/>
          <w:noProof/>
          <w:color w:val="0070C0"/>
        </w:rPr>
        <w:t> </w:t>
      </w:r>
      <w:r w:rsidR="00FD0C71" w:rsidRPr="006E5269">
        <w:rPr>
          <w:b/>
          <w:noProof/>
          <w:color w:val="0070C0"/>
        </w:rPr>
        <w:t>Jor</w:t>
      </w:r>
      <w:r w:rsidRPr="006E5269">
        <w:rPr>
          <w:b/>
          <w:noProof/>
          <w:color w:val="0070C0"/>
        </w:rPr>
        <w:t>dania</w:t>
      </w:r>
    </w:p>
    <w:p w:rsidR="00365923" w:rsidRPr="006E5269" w:rsidRDefault="00AC62B3" w:rsidP="003057BC">
      <w:pPr>
        <w:spacing w:before="240"/>
        <w:jc w:val="both"/>
        <w:rPr>
          <w:noProof/>
        </w:rPr>
      </w:pPr>
      <w:r w:rsidRPr="006E5269">
        <w:rPr>
          <w:noProof/>
        </w:rPr>
        <w:t>UE udzieliła pomocy syryjskim uchodźcom</w:t>
      </w:r>
      <w:r w:rsidR="00FD0C71" w:rsidRPr="006E5269">
        <w:rPr>
          <w:noProof/>
        </w:rPr>
        <w:t xml:space="preserve"> i</w:t>
      </w:r>
      <w:r w:rsidR="00FD0C71">
        <w:rPr>
          <w:noProof/>
        </w:rPr>
        <w:t> </w:t>
      </w:r>
      <w:r w:rsidR="00FD0C71" w:rsidRPr="006E5269">
        <w:rPr>
          <w:noProof/>
        </w:rPr>
        <w:t>mie</w:t>
      </w:r>
      <w:r w:rsidRPr="006E5269">
        <w:rPr>
          <w:noProof/>
        </w:rPr>
        <w:t>jscowej narażonej ludności</w:t>
      </w:r>
      <w:r w:rsidR="00FD0C71" w:rsidRPr="006E5269">
        <w:rPr>
          <w:noProof/>
        </w:rPr>
        <w:t xml:space="preserve"> w</w:t>
      </w:r>
      <w:r w:rsidR="00FD0C71">
        <w:rPr>
          <w:noProof/>
        </w:rPr>
        <w:t> </w:t>
      </w:r>
      <w:r w:rsidR="00FD0C71" w:rsidRPr="006E5269">
        <w:rPr>
          <w:noProof/>
        </w:rPr>
        <w:t>Lib</w:t>
      </w:r>
      <w:r w:rsidRPr="006E5269">
        <w:rPr>
          <w:noProof/>
        </w:rPr>
        <w:t>anie</w:t>
      </w:r>
      <w:r w:rsidR="00FD0C71" w:rsidRPr="006E5269">
        <w:rPr>
          <w:noProof/>
        </w:rPr>
        <w:t xml:space="preserve"> i</w:t>
      </w:r>
      <w:r w:rsidR="00FD0C71">
        <w:rPr>
          <w:noProof/>
        </w:rPr>
        <w:t> </w:t>
      </w:r>
      <w:r w:rsidR="00FD0C71" w:rsidRPr="006E5269">
        <w:rPr>
          <w:noProof/>
        </w:rPr>
        <w:t>Jor</w:t>
      </w:r>
      <w:r w:rsidRPr="006E5269">
        <w:rPr>
          <w:noProof/>
        </w:rPr>
        <w:t>danii</w:t>
      </w:r>
      <w:r w:rsidR="00FD0C71" w:rsidRPr="006E5269">
        <w:rPr>
          <w:noProof/>
        </w:rPr>
        <w:t>. W</w:t>
      </w:r>
      <w:r w:rsidR="00FD0C71">
        <w:rPr>
          <w:noProof/>
        </w:rPr>
        <w:t> </w:t>
      </w:r>
      <w:r w:rsidR="00FD0C71" w:rsidRPr="006E5269">
        <w:rPr>
          <w:noProof/>
        </w:rPr>
        <w:t>odp</w:t>
      </w:r>
      <w:r w:rsidRPr="006E5269">
        <w:rPr>
          <w:noProof/>
        </w:rPr>
        <w:t>owiedzi na niszczycielskie wybuchy</w:t>
      </w:r>
      <w:r w:rsidR="00FD0C71" w:rsidRPr="006E5269">
        <w:rPr>
          <w:noProof/>
        </w:rPr>
        <w:t xml:space="preserve"> w</w:t>
      </w:r>
      <w:r w:rsidR="00FD0C71">
        <w:rPr>
          <w:noProof/>
        </w:rPr>
        <w:t> </w:t>
      </w:r>
      <w:r w:rsidR="00FD0C71" w:rsidRPr="006E5269">
        <w:rPr>
          <w:noProof/>
        </w:rPr>
        <w:t>por</w:t>
      </w:r>
      <w:r w:rsidRPr="006E5269">
        <w:rPr>
          <w:noProof/>
        </w:rPr>
        <w:t>cie</w:t>
      </w:r>
      <w:r w:rsidR="00FD0C71" w:rsidRPr="006E5269">
        <w:rPr>
          <w:noProof/>
        </w:rPr>
        <w:t xml:space="preserve"> w</w:t>
      </w:r>
      <w:r w:rsidR="00FD0C71">
        <w:rPr>
          <w:noProof/>
        </w:rPr>
        <w:t> </w:t>
      </w:r>
      <w:r w:rsidR="00FD0C71" w:rsidRPr="006E5269">
        <w:rPr>
          <w:noProof/>
        </w:rPr>
        <w:t>Bej</w:t>
      </w:r>
      <w:r w:rsidRPr="006E5269">
        <w:rPr>
          <w:noProof/>
        </w:rPr>
        <w:t>rucie</w:t>
      </w:r>
      <w:r w:rsidR="00FD0C71" w:rsidRPr="006E5269">
        <w:rPr>
          <w:noProof/>
        </w:rPr>
        <w:t xml:space="preserve"> w</w:t>
      </w:r>
      <w:r w:rsidR="00FD0C71">
        <w:rPr>
          <w:noProof/>
        </w:rPr>
        <w:t> </w:t>
      </w:r>
      <w:r w:rsidR="00FD0C71" w:rsidRPr="006E5269">
        <w:rPr>
          <w:noProof/>
        </w:rPr>
        <w:t>sie</w:t>
      </w:r>
      <w:r w:rsidRPr="006E5269">
        <w:rPr>
          <w:noProof/>
        </w:rPr>
        <w:t>rpniu 20</w:t>
      </w:r>
      <w:r w:rsidRPr="00FD0C71">
        <w:rPr>
          <w:noProof/>
        </w:rPr>
        <w:t>20</w:t>
      </w:r>
      <w:r w:rsidR="00FD0C71" w:rsidRPr="00FD0C71">
        <w:rPr>
          <w:noProof/>
        </w:rPr>
        <w:t> </w:t>
      </w:r>
      <w:r w:rsidRPr="00FD0C71">
        <w:rPr>
          <w:noProof/>
        </w:rPr>
        <w:t>r.</w:t>
      </w:r>
      <w:r w:rsidRPr="006E5269">
        <w:rPr>
          <w:noProof/>
        </w:rPr>
        <w:t xml:space="preserve"> zapewniono natychmiastową pomoc</w:t>
      </w:r>
      <w:r w:rsidR="00FD0C71" w:rsidRPr="006E5269">
        <w:rPr>
          <w:noProof/>
        </w:rPr>
        <w:t xml:space="preserve"> w</w:t>
      </w:r>
      <w:r w:rsidR="00FD0C71">
        <w:rPr>
          <w:noProof/>
        </w:rPr>
        <w:t> </w:t>
      </w:r>
      <w:r w:rsidR="00FD0C71" w:rsidRPr="006E5269">
        <w:rPr>
          <w:noProof/>
        </w:rPr>
        <w:t>kwo</w:t>
      </w:r>
      <w:r w:rsidRPr="006E5269">
        <w:rPr>
          <w:noProof/>
        </w:rPr>
        <w:t>cie 30 mln EUR.</w:t>
      </w:r>
    </w:p>
    <w:p w:rsidR="00131BDE" w:rsidRPr="006E5269" w:rsidRDefault="00131BDE" w:rsidP="003057BC">
      <w:pPr>
        <w:spacing w:before="240"/>
        <w:jc w:val="both"/>
        <w:rPr>
          <w:rFonts w:cstheme="majorBidi"/>
          <w:b/>
          <w:noProof/>
          <w:color w:val="0070C0"/>
        </w:rPr>
      </w:pPr>
      <w:r w:rsidRPr="006E5269">
        <w:rPr>
          <w:i/>
          <w:noProof/>
        </w:rPr>
        <w:t xml:space="preserve">Unijna pomoc humanitarna ogółem – </w:t>
      </w:r>
      <w:r w:rsidRPr="006E5269">
        <w:rPr>
          <w:b/>
          <w:i/>
          <w:noProof/>
        </w:rPr>
        <w:t>96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Palestyna</w:t>
      </w:r>
      <w:r w:rsidRPr="006E5269">
        <w:rPr>
          <w:rStyle w:val="FootnoteReference"/>
          <w:rFonts w:cstheme="majorBidi"/>
          <w:b/>
          <w:noProof/>
          <w:color w:val="0070C0"/>
        </w:rPr>
        <w:footnoteReference w:id="12"/>
      </w:r>
    </w:p>
    <w:p w:rsidR="00131BDE" w:rsidRPr="006E5269" w:rsidRDefault="002D322C" w:rsidP="003057BC">
      <w:pPr>
        <w:spacing w:before="240"/>
        <w:jc w:val="both"/>
        <w:rPr>
          <w:noProof/>
        </w:rPr>
      </w:pPr>
      <w:r w:rsidRPr="006E5269">
        <w:rPr>
          <w:noProof/>
        </w:rPr>
        <w:t>Pomocy UE udzielono narażonej ludności cywilnej</w:t>
      </w:r>
      <w:r w:rsidR="00FD0C71" w:rsidRPr="006E5269">
        <w:rPr>
          <w:noProof/>
        </w:rPr>
        <w:t xml:space="preserve"> w</w:t>
      </w:r>
      <w:r w:rsidR="00FD0C71">
        <w:rPr>
          <w:noProof/>
        </w:rPr>
        <w:t> </w:t>
      </w:r>
      <w:r w:rsidR="00FD0C71" w:rsidRPr="006E5269">
        <w:rPr>
          <w:noProof/>
        </w:rPr>
        <w:t>Str</w:t>
      </w:r>
      <w:r w:rsidRPr="006E5269">
        <w:rPr>
          <w:noProof/>
        </w:rPr>
        <w:t>efie Gazy odczuwającej skutki konfliktu</w:t>
      </w:r>
      <w:r w:rsidR="00FD0C71" w:rsidRPr="006E5269">
        <w:rPr>
          <w:noProof/>
        </w:rPr>
        <w:t xml:space="preserve"> w</w:t>
      </w:r>
      <w:r w:rsidR="00FD0C71">
        <w:rPr>
          <w:noProof/>
        </w:rPr>
        <w:t> </w:t>
      </w:r>
      <w:r w:rsidR="00FD0C71" w:rsidRPr="006E5269">
        <w:rPr>
          <w:noProof/>
        </w:rPr>
        <w:t>pog</w:t>
      </w:r>
      <w:r w:rsidRPr="006E5269">
        <w:rPr>
          <w:noProof/>
        </w:rPr>
        <w:t>arszających się warunkach społeczno-gospodarczych,</w:t>
      </w:r>
      <w:r w:rsidR="00FD0C71" w:rsidRPr="006E5269">
        <w:rPr>
          <w:noProof/>
        </w:rPr>
        <w:t xml:space="preserve"> a</w:t>
      </w:r>
      <w:r w:rsidR="00FD0C71">
        <w:rPr>
          <w:noProof/>
        </w:rPr>
        <w:t> </w:t>
      </w:r>
      <w:r w:rsidR="00FD0C71" w:rsidRPr="006E5269">
        <w:rPr>
          <w:noProof/>
        </w:rPr>
        <w:t>tak</w:t>
      </w:r>
      <w:r w:rsidRPr="006E5269">
        <w:rPr>
          <w:noProof/>
        </w:rPr>
        <w:t xml:space="preserve">że społecznościom zagrożonym przymusowym wysiedleniem, które nie miały dostępu do podstawowych usług na Zachodnim Brzegu. </w:t>
      </w:r>
    </w:p>
    <w:p w:rsidR="000C2E1E" w:rsidRPr="006E5269" w:rsidRDefault="002D322C" w:rsidP="003057BC">
      <w:pPr>
        <w:spacing w:before="240"/>
        <w:jc w:val="both"/>
        <w:rPr>
          <w:noProof/>
        </w:rPr>
      </w:pPr>
      <w:r w:rsidRPr="006E5269">
        <w:rPr>
          <w:noProof/>
        </w:rPr>
        <w:t>Komisja</w:t>
      </w:r>
      <w:r w:rsidR="00FD0C71" w:rsidRPr="006E5269">
        <w:rPr>
          <w:noProof/>
        </w:rPr>
        <w:t xml:space="preserve"> w</w:t>
      </w:r>
      <w:r w:rsidR="00FD0C71">
        <w:rPr>
          <w:noProof/>
        </w:rPr>
        <w:t> </w:t>
      </w:r>
      <w:r w:rsidR="00FD0C71" w:rsidRPr="006E5269">
        <w:rPr>
          <w:noProof/>
        </w:rPr>
        <w:t>dal</w:t>
      </w:r>
      <w:r w:rsidRPr="006E5269">
        <w:rPr>
          <w:noProof/>
        </w:rPr>
        <w:t>szym ciągu nawoływała do przestrzegania międzynarodowego prawa humanitarnego</w:t>
      </w:r>
      <w:r w:rsidR="00FD0C71" w:rsidRPr="006E5269">
        <w:rPr>
          <w:noProof/>
        </w:rPr>
        <w:t xml:space="preserve"> w</w:t>
      </w:r>
      <w:r w:rsidR="00FD0C71">
        <w:rPr>
          <w:noProof/>
        </w:rPr>
        <w:t> </w:t>
      </w:r>
      <w:r w:rsidR="00FD0C71" w:rsidRPr="006E5269">
        <w:rPr>
          <w:noProof/>
        </w:rPr>
        <w:t>Str</w:t>
      </w:r>
      <w:r w:rsidRPr="006E5269">
        <w:rPr>
          <w:noProof/>
        </w:rPr>
        <w:t xml:space="preserve">efie Gazy, Wschodniej Jerozolimie i na Zachodnim Brzegu. </w:t>
      </w:r>
    </w:p>
    <w:p w:rsidR="00131BDE" w:rsidRPr="006E5269" w:rsidRDefault="00131BDE" w:rsidP="003057BC">
      <w:pPr>
        <w:spacing w:before="240"/>
        <w:jc w:val="both"/>
        <w:rPr>
          <w:noProof/>
        </w:rPr>
      </w:pPr>
      <w:r w:rsidRPr="006E5269">
        <w:rPr>
          <w:i/>
          <w:noProof/>
        </w:rPr>
        <w:t xml:space="preserve">Unijna pomoc humanitarna ogółem – </w:t>
      </w:r>
      <w:r w:rsidRPr="006E5269">
        <w:rPr>
          <w:b/>
          <w:i/>
          <w:noProof/>
        </w:rPr>
        <w:t>22,7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Irak</w:t>
      </w:r>
    </w:p>
    <w:p w:rsidR="000C2E1E" w:rsidRPr="006E5269" w:rsidRDefault="003B6479" w:rsidP="003057BC">
      <w:pPr>
        <w:pStyle w:val="Text1"/>
        <w:spacing w:before="240" w:after="120"/>
        <w:ind w:left="0"/>
        <w:rPr>
          <w:noProof/>
          <w:color w:val="000000"/>
          <w:szCs w:val="24"/>
        </w:rPr>
      </w:pPr>
      <w:r w:rsidRPr="006E5269">
        <w:rPr>
          <w:noProof/>
          <w:color w:val="000000"/>
          <w:szCs w:val="24"/>
        </w:rPr>
        <w:t>Pandemia COVID-19 pogłębiła kryzys polityczny, kryzys bezpieczeństwa</w:t>
      </w:r>
      <w:r w:rsidR="00FD0C71" w:rsidRPr="006E5269">
        <w:rPr>
          <w:noProof/>
          <w:color w:val="000000"/>
          <w:szCs w:val="24"/>
        </w:rPr>
        <w:t xml:space="preserve"> i</w:t>
      </w:r>
      <w:r w:rsidR="00FD0C71">
        <w:rPr>
          <w:noProof/>
          <w:color w:val="000000"/>
          <w:szCs w:val="24"/>
        </w:rPr>
        <w:t> </w:t>
      </w:r>
      <w:r w:rsidR="00FD0C71" w:rsidRPr="006E5269">
        <w:rPr>
          <w:noProof/>
          <w:color w:val="000000"/>
          <w:szCs w:val="24"/>
        </w:rPr>
        <w:t>kry</w:t>
      </w:r>
      <w:r w:rsidRPr="006E5269">
        <w:rPr>
          <w:noProof/>
          <w:color w:val="000000"/>
          <w:szCs w:val="24"/>
        </w:rPr>
        <w:t>zys społeczno-gospodarczy,</w:t>
      </w:r>
      <w:r w:rsidR="00FD0C71" w:rsidRPr="006E5269">
        <w:rPr>
          <w:noProof/>
          <w:color w:val="000000"/>
          <w:szCs w:val="24"/>
        </w:rPr>
        <w:t xml:space="preserve"> w</w:t>
      </w:r>
      <w:r w:rsidR="00FD0C71">
        <w:rPr>
          <w:noProof/>
          <w:color w:val="000000"/>
          <w:szCs w:val="24"/>
        </w:rPr>
        <w:t> </w:t>
      </w:r>
      <w:r w:rsidR="00FD0C71" w:rsidRPr="006E5269">
        <w:rPr>
          <w:noProof/>
          <w:color w:val="000000"/>
          <w:szCs w:val="24"/>
        </w:rPr>
        <w:t>wyn</w:t>
      </w:r>
      <w:r w:rsidRPr="006E5269">
        <w:rPr>
          <w:noProof/>
          <w:color w:val="000000"/>
          <w:szCs w:val="24"/>
        </w:rPr>
        <w:t>iku czego pomocy humanitarnej pilnie potrzebowało niemal 1,8 mln osób</w:t>
      </w:r>
      <w:r w:rsidR="00FD0C71" w:rsidRPr="006E5269">
        <w:rPr>
          <w:noProof/>
          <w:color w:val="000000"/>
          <w:szCs w:val="24"/>
        </w:rPr>
        <w:t>. W</w:t>
      </w:r>
      <w:r w:rsidR="00FD0C71">
        <w:rPr>
          <w:noProof/>
          <w:color w:val="000000"/>
          <w:szCs w:val="24"/>
        </w:rPr>
        <w:t> </w:t>
      </w:r>
      <w:r w:rsidR="00FD0C71" w:rsidRPr="006E5269">
        <w:rPr>
          <w:noProof/>
          <w:color w:val="000000"/>
          <w:szCs w:val="24"/>
        </w:rPr>
        <w:t>wyn</w:t>
      </w:r>
      <w:r w:rsidRPr="006E5269">
        <w:rPr>
          <w:noProof/>
          <w:color w:val="000000"/>
          <w:szCs w:val="24"/>
        </w:rPr>
        <w:t>iku prowadzonej kampanii rządowej</w:t>
      </w:r>
      <w:r w:rsidR="00FD0C71" w:rsidRPr="006E5269">
        <w:rPr>
          <w:noProof/>
          <w:color w:val="000000"/>
          <w:szCs w:val="24"/>
        </w:rPr>
        <w:t xml:space="preserve"> w</w:t>
      </w:r>
      <w:r w:rsidR="00FD0C71">
        <w:rPr>
          <w:noProof/>
          <w:color w:val="000000"/>
          <w:szCs w:val="24"/>
        </w:rPr>
        <w:t> </w:t>
      </w:r>
      <w:r w:rsidR="00FD0C71" w:rsidRPr="006E5269">
        <w:rPr>
          <w:noProof/>
          <w:color w:val="000000"/>
          <w:szCs w:val="24"/>
        </w:rPr>
        <w:t>cel</w:t>
      </w:r>
      <w:r w:rsidRPr="006E5269">
        <w:rPr>
          <w:noProof/>
          <w:color w:val="000000"/>
          <w:szCs w:val="24"/>
        </w:rPr>
        <w:t>u zamykania</w:t>
      </w:r>
      <w:r w:rsidR="00FD0C71" w:rsidRPr="006E5269">
        <w:rPr>
          <w:noProof/>
          <w:color w:val="000000"/>
          <w:szCs w:val="24"/>
        </w:rPr>
        <w:t xml:space="preserve"> i</w:t>
      </w:r>
      <w:r w:rsidR="00FD0C71">
        <w:rPr>
          <w:noProof/>
          <w:color w:val="000000"/>
          <w:szCs w:val="24"/>
        </w:rPr>
        <w:t> </w:t>
      </w:r>
      <w:r w:rsidR="00FD0C71" w:rsidRPr="006E5269">
        <w:rPr>
          <w:noProof/>
          <w:color w:val="000000"/>
          <w:szCs w:val="24"/>
        </w:rPr>
        <w:t>łąc</w:t>
      </w:r>
      <w:r w:rsidRPr="006E5269">
        <w:rPr>
          <w:noProof/>
          <w:color w:val="000000"/>
          <w:szCs w:val="24"/>
        </w:rPr>
        <w:t xml:space="preserve">zenia obozów dla osób wewnętrznie przesiedlonych doszło do znaczącego wtórnego przymusowego wysiedlenia do nieformalnych lokalizacji. </w:t>
      </w:r>
    </w:p>
    <w:p w:rsidR="000C2E1E" w:rsidRPr="006E5269" w:rsidRDefault="008A333C" w:rsidP="003057BC">
      <w:pPr>
        <w:spacing w:before="240" w:after="120"/>
        <w:jc w:val="both"/>
        <w:rPr>
          <w:noProof/>
        </w:rPr>
      </w:pPr>
      <w:r w:rsidRPr="006E5269">
        <w:rPr>
          <w:noProof/>
        </w:rPr>
        <w:t>Pomoc UE udzielono</w:t>
      </w:r>
      <w:r w:rsidR="00FD0C71" w:rsidRPr="006E5269">
        <w:rPr>
          <w:noProof/>
        </w:rPr>
        <w:t xml:space="preserve"> w</w:t>
      </w:r>
      <w:r w:rsidR="00FD0C71">
        <w:rPr>
          <w:noProof/>
        </w:rPr>
        <w:t> </w:t>
      </w:r>
      <w:r w:rsidR="00FD0C71" w:rsidRPr="006E5269">
        <w:rPr>
          <w:noProof/>
        </w:rPr>
        <w:t>for</w:t>
      </w:r>
      <w:r w:rsidRPr="006E5269">
        <w:rPr>
          <w:noProof/>
        </w:rPr>
        <w:t>mie pomocy pieniężnej</w:t>
      </w:r>
      <w:r w:rsidR="00FD0C71" w:rsidRPr="006E5269">
        <w:rPr>
          <w:noProof/>
        </w:rPr>
        <w:t xml:space="preserve"> i</w:t>
      </w:r>
      <w:r w:rsidR="00FD0C71">
        <w:rPr>
          <w:noProof/>
        </w:rPr>
        <w:t> </w:t>
      </w:r>
      <w:r w:rsidR="00FD0C71" w:rsidRPr="006E5269">
        <w:rPr>
          <w:noProof/>
        </w:rPr>
        <w:t>wsp</w:t>
      </w:r>
      <w:r w:rsidRPr="006E5269">
        <w:rPr>
          <w:noProof/>
        </w:rPr>
        <w:t>arcia</w:t>
      </w:r>
      <w:r w:rsidR="00FD0C71" w:rsidRPr="006E5269">
        <w:rPr>
          <w:noProof/>
        </w:rPr>
        <w:t xml:space="preserve"> w</w:t>
      </w:r>
      <w:r w:rsidR="00FD0C71">
        <w:rPr>
          <w:noProof/>
        </w:rPr>
        <w:t> </w:t>
      </w:r>
      <w:r w:rsidR="00FD0C71" w:rsidRPr="006E5269">
        <w:rPr>
          <w:noProof/>
        </w:rPr>
        <w:t>zak</w:t>
      </w:r>
      <w:r w:rsidRPr="006E5269">
        <w:rPr>
          <w:noProof/>
        </w:rPr>
        <w:t>resie wody, higieny</w:t>
      </w:r>
      <w:r w:rsidR="00FD0C71" w:rsidRPr="006E5269">
        <w:rPr>
          <w:noProof/>
        </w:rPr>
        <w:t xml:space="preserve"> i</w:t>
      </w:r>
      <w:r w:rsidR="00FD0C71">
        <w:rPr>
          <w:noProof/>
        </w:rPr>
        <w:t> </w:t>
      </w:r>
      <w:r w:rsidR="00FD0C71" w:rsidRPr="006E5269">
        <w:rPr>
          <w:noProof/>
        </w:rPr>
        <w:t>zdr</w:t>
      </w:r>
      <w:r w:rsidRPr="006E5269">
        <w:rPr>
          <w:noProof/>
        </w:rPr>
        <w:t>owia, ochrony</w:t>
      </w:r>
      <w:r w:rsidR="00FD0C71" w:rsidRPr="006E5269">
        <w:rPr>
          <w:noProof/>
        </w:rPr>
        <w:t xml:space="preserve"> i</w:t>
      </w:r>
      <w:r w:rsidR="00FD0C71">
        <w:rPr>
          <w:noProof/>
        </w:rPr>
        <w:t> </w:t>
      </w:r>
      <w:r w:rsidR="00FD0C71" w:rsidRPr="006E5269">
        <w:rPr>
          <w:noProof/>
        </w:rPr>
        <w:t>pom</w:t>
      </w:r>
      <w:r w:rsidRPr="006E5269">
        <w:rPr>
          <w:noProof/>
        </w:rPr>
        <w:t>ocy prawnej dla osób wewnętrznie przesiedlonych,</w:t>
      </w:r>
      <w:r w:rsidR="00FD0C71" w:rsidRPr="006E5269">
        <w:rPr>
          <w:noProof/>
        </w:rPr>
        <w:t xml:space="preserve"> a</w:t>
      </w:r>
      <w:r w:rsidR="00FD0C71">
        <w:rPr>
          <w:noProof/>
        </w:rPr>
        <w:t> </w:t>
      </w:r>
      <w:r w:rsidR="00FD0C71" w:rsidRPr="006E5269">
        <w:rPr>
          <w:noProof/>
        </w:rPr>
        <w:t>tak</w:t>
      </w:r>
      <w:r w:rsidRPr="006E5269">
        <w:rPr>
          <w:noProof/>
        </w:rPr>
        <w:t>że</w:t>
      </w:r>
      <w:r w:rsidR="00FD0C71" w:rsidRPr="006E5269">
        <w:rPr>
          <w:noProof/>
        </w:rPr>
        <w:t xml:space="preserve"> w</w:t>
      </w:r>
      <w:r w:rsidR="00FD0C71">
        <w:rPr>
          <w:noProof/>
        </w:rPr>
        <w:t> </w:t>
      </w:r>
      <w:r w:rsidR="00FD0C71" w:rsidRPr="006E5269">
        <w:rPr>
          <w:noProof/>
        </w:rPr>
        <w:t>for</w:t>
      </w:r>
      <w:r w:rsidRPr="006E5269">
        <w:rPr>
          <w:noProof/>
        </w:rPr>
        <w:t>mie reagowania kryzysowego</w:t>
      </w:r>
      <w:r w:rsidR="00FD0C71" w:rsidRPr="006E5269">
        <w:rPr>
          <w:noProof/>
        </w:rPr>
        <w:t xml:space="preserve"> w</w:t>
      </w:r>
      <w:r w:rsidR="00FD0C71">
        <w:rPr>
          <w:noProof/>
        </w:rPr>
        <w:t> </w:t>
      </w:r>
      <w:r w:rsidR="00FD0C71" w:rsidRPr="006E5269">
        <w:rPr>
          <w:noProof/>
        </w:rPr>
        <w:t>zwi</w:t>
      </w:r>
      <w:r w:rsidRPr="006E5269">
        <w:rPr>
          <w:noProof/>
        </w:rPr>
        <w:t>ązku</w:t>
      </w:r>
      <w:r w:rsidR="00FD0C71" w:rsidRPr="006E5269">
        <w:rPr>
          <w:noProof/>
        </w:rPr>
        <w:t xml:space="preserve"> z</w:t>
      </w:r>
      <w:r w:rsidR="00FD0C71">
        <w:rPr>
          <w:noProof/>
        </w:rPr>
        <w:t> </w:t>
      </w:r>
      <w:r w:rsidR="00FD0C71" w:rsidRPr="006E5269">
        <w:rPr>
          <w:noProof/>
        </w:rPr>
        <w:t>pan</w:t>
      </w:r>
      <w:r w:rsidRPr="006E5269">
        <w:rPr>
          <w:noProof/>
        </w:rPr>
        <w:t xml:space="preserve">demią COVID-19. </w:t>
      </w:r>
    </w:p>
    <w:p w:rsidR="00901F60" w:rsidRPr="006E5269" w:rsidRDefault="00901F60" w:rsidP="003057BC">
      <w:pPr>
        <w:spacing w:before="240" w:after="120"/>
        <w:jc w:val="both"/>
        <w:rPr>
          <w:noProof/>
        </w:rPr>
      </w:pPr>
      <w:r w:rsidRPr="006E5269">
        <w:rPr>
          <w:i/>
          <w:noProof/>
        </w:rPr>
        <w:t xml:space="preserve">Unijna pomoc humanitarna ogółem – </w:t>
      </w:r>
      <w:r w:rsidRPr="006E5269">
        <w:rPr>
          <w:b/>
          <w:i/>
          <w:noProof/>
        </w:rPr>
        <w:t>35 mln EUR</w:t>
      </w:r>
      <w:r w:rsidRPr="006E5269">
        <w:rPr>
          <w:i/>
          <w:noProof/>
        </w:rPr>
        <w:t>.</w:t>
      </w:r>
    </w:p>
    <w:p w:rsidR="00B25E5E" w:rsidRDefault="00B25E5E" w:rsidP="003057BC">
      <w:pPr>
        <w:spacing w:before="240"/>
        <w:jc w:val="both"/>
        <w:rPr>
          <w:b/>
          <w:noProof/>
          <w:color w:val="0070C0"/>
        </w:rPr>
      </w:pPr>
    </w:p>
    <w:p w:rsidR="000C2E1E" w:rsidRPr="006E5269" w:rsidRDefault="000C2E1E" w:rsidP="003057BC">
      <w:pPr>
        <w:spacing w:before="240"/>
        <w:jc w:val="both"/>
        <w:rPr>
          <w:rFonts w:cstheme="majorBidi"/>
          <w:b/>
          <w:noProof/>
          <w:color w:val="0070C0"/>
        </w:rPr>
      </w:pPr>
      <w:r w:rsidRPr="006E5269">
        <w:rPr>
          <w:b/>
          <w:noProof/>
          <w:color w:val="0070C0"/>
        </w:rPr>
        <w:t>Jemen</w:t>
      </w:r>
    </w:p>
    <w:p w:rsidR="0081690F" w:rsidRPr="006E5269" w:rsidRDefault="000C2E1E" w:rsidP="003057BC">
      <w:pPr>
        <w:spacing w:before="240"/>
        <w:jc w:val="both"/>
        <w:rPr>
          <w:noProof/>
        </w:rPr>
      </w:pPr>
      <w:r w:rsidRPr="006E5269">
        <w:rPr>
          <w:noProof/>
        </w:rPr>
        <w:t>Największy kryzys humanitarny na świecie uległ dalszemu pogłębieniu</w:t>
      </w:r>
      <w:r w:rsidR="00FD0C71" w:rsidRPr="006E5269">
        <w:rPr>
          <w:noProof/>
        </w:rPr>
        <w:t xml:space="preserve"> w</w:t>
      </w:r>
      <w:r w:rsidR="00FD0C71">
        <w:rPr>
          <w:noProof/>
        </w:rPr>
        <w:t> </w:t>
      </w:r>
      <w:r w:rsidR="00FD0C71" w:rsidRPr="006E5269">
        <w:rPr>
          <w:noProof/>
        </w:rPr>
        <w:t>wyn</w:t>
      </w:r>
      <w:r w:rsidRPr="006E5269">
        <w:rPr>
          <w:noProof/>
        </w:rPr>
        <w:t>iku eskalacji konfliktu</w:t>
      </w:r>
      <w:r w:rsidR="00FD0C71" w:rsidRPr="006E5269">
        <w:rPr>
          <w:noProof/>
        </w:rPr>
        <w:t xml:space="preserve"> i</w:t>
      </w:r>
      <w:r w:rsidR="00FD0C71">
        <w:rPr>
          <w:noProof/>
        </w:rPr>
        <w:t> </w:t>
      </w:r>
      <w:r w:rsidR="00FD0C71" w:rsidRPr="006E5269">
        <w:rPr>
          <w:noProof/>
        </w:rPr>
        <w:t>prz</w:t>
      </w:r>
      <w:r w:rsidRPr="006E5269">
        <w:rPr>
          <w:noProof/>
        </w:rPr>
        <w:t xml:space="preserve">edłużającego się obowiązywania blokady gospodarczej. Sytuację pogorszyły klęski </w:t>
      </w:r>
      <w:r w:rsidR="00FA3844">
        <w:rPr>
          <w:noProof/>
        </w:rPr>
        <w:t>żywiołowe</w:t>
      </w:r>
      <w:r w:rsidR="00FD0C71">
        <w:rPr>
          <w:noProof/>
        </w:rPr>
        <w:t xml:space="preserve"> i pan</w:t>
      </w:r>
      <w:r w:rsidR="00FA3844">
        <w:rPr>
          <w:noProof/>
        </w:rPr>
        <w:t>demia COVID-19</w:t>
      </w:r>
      <w:r w:rsidR="00FD0C71">
        <w:rPr>
          <w:noProof/>
        </w:rPr>
        <w:t xml:space="preserve">. </w:t>
      </w:r>
      <w:r w:rsidR="00FD0C71" w:rsidRPr="006E5269">
        <w:rPr>
          <w:noProof/>
        </w:rPr>
        <w:t>W</w:t>
      </w:r>
      <w:r w:rsidR="00FD0C71">
        <w:rPr>
          <w:noProof/>
        </w:rPr>
        <w:t> </w:t>
      </w:r>
      <w:r w:rsidR="00FD0C71" w:rsidRPr="006E5269">
        <w:rPr>
          <w:noProof/>
        </w:rPr>
        <w:t>rez</w:t>
      </w:r>
      <w:r w:rsidRPr="006E5269">
        <w:rPr>
          <w:noProof/>
        </w:rPr>
        <w:t>ultacie 24,3 mln ludzi potrzebowało pomocy,</w:t>
      </w:r>
      <w:r w:rsidR="00FD0C71" w:rsidRPr="006E5269">
        <w:rPr>
          <w:noProof/>
        </w:rPr>
        <w:t xml:space="preserve"> a</w:t>
      </w:r>
      <w:r w:rsidR="00FD0C71">
        <w:rPr>
          <w:noProof/>
        </w:rPr>
        <w:t> </w:t>
      </w:r>
      <w:r w:rsidR="00FD0C71" w:rsidRPr="006E5269">
        <w:rPr>
          <w:noProof/>
        </w:rPr>
        <w:t>wśr</w:t>
      </w:r>
      <w:r w:rsidRPr="006E5269">
        <w:rPr>
          <w:noProof/>
        </w:rPr>
        <w:t xml:space="preserve">ód tych osób 14 mln pilnie potrzebowało pomocy. </w:t>
      </w:r>
    </w:p>
    <w:p w:rsidR="002C045D" w:rsidRPr="006E5269" w:rsidRDefault="002C045D" w:rsidP="003057BC">
      <w:pPr>
        <w:spacing w:before="240"/>
        <w:jc w:val="both"/>
        <w:rPr>
          <w:noProof/>
        </w:rPr>
      </w:pPr>
      <w:r w:rsidRPr="006E5269">
        <w:rPr>
          <w:noProof/>
        </w:rPr>
        <w:t>Jemen zmaga się</w:t>
      </w:r>
      <w:r w:rsidR="00FD0C71" w:rsidRPr="006E5269">
        <w:rPr>
          <w:noProof/>
        </w:rPr>
        <w:t xml:space="preserve"> z</w:t>
      </w:r>
      <w:r w:rsidR="00FD0C71">
        <w:rPr>
          <w:noProof/>
        </w:rPr>
        <w:t> </w:t>
      </w:r>
      <w:r w:rsidR="00FD0C71" w:rsidRPr="006E5269">
        <w:rPr>
          <w:noProof/>
        </w:rPr>
        <w:t>jed</w:t>
      </w:r>
      <w:r w:rsidRPr="006E5269">
        <w:rPr>
          <w:noProof/>
        </w:rPr>
        <w:t>nym</w:t>
      </w:r>
      <w:r w:rsidR="00FD0C71" w:rsidRPr="006E5269">
        <w:rPr>
          <w:noProof/>
        </w:rPr>
        <w:t xml:space="preserve"> z</w:t>
      </w:r>
      <w:r w:rsidR="00FD0C71">
        <w:rPr>
          <w:noProof/>
        </w:rPr>
        <w:t> </w:t>
      </w:r>
      <w:r w:rsidR="00FD0C71" w:rsidRPr="006E5269">
        <w:rPr>
          <w:noProof/>
        </w:rPr>
        <w:t>naj</w:t>
      </w:r>
      <w:r w:rsidRPr="006E5269">
        <w:rPr>
          <w:noProof/>
        </w:rPr>
        <w:t>większych na świecie kryzysów</w:t>
      </w:r>
      <w:r w:rsidR="00FD0C71" w:rsidRPr="006E5269">
        <w:rPr>
          <w:noProof/>
        </w:rPr>
        <w:t xml:space="preserve"> w</w:t>
      </w:r>
      <w:r w:rsidR="00FD0C71">
        <w:rPr>
          <w:noProof/>
        </w:rPr>
        <w:t> </w:t>
      </w:r>
      <w:r w:rsidR="00FD0C71" w:rsidRPr="006E5269">
        <w:rPr>
          <w:noProof/>
        </w:rPr>
        <w:t>zak</w:t>
      </w:r>
      <w:r w:rsidRPr="006E5269">
        <w:rPr>
          <w:noProof/>
        </w:rPr>
        <w:t>resie bezpieczeństwa żywnościowego – 4</w:t>
      </w:r>
      <w:r w:rsidRPr="00FD0C71">
        <w:rPr>
          <w:noProof/>
        </w:rPr>
        <w:t>5</w:t>
      </w:r>
      <w:r w:rsidR="00FD0C71" w:rsidRPr="00FD0C71">
        <w:rPr>
          <w:noProof/>
        </w:rPr>
        <w:t> </w:t>
      </w:r>
      <w:r w:rsidRPr="00FD0C71">
        <w:rPr>
          <w:noProof/>
        </w:rPr>
        <w:t>%</w:t>
      </w:r>
      <w:r w:rsidRPr="006E5269">
        <w:rPr>
          <w:noProof/>
        </w:rPr>
        <w:t xml:space="preserve"> populacji kraju odczuwa poważny brak bezpieczeństwa żywnościowego,</w:t>
      </w:r>
      <w:r w:rsidR="00FD0C71" w:rsidRPr="006E5269">
        <w:rPr>
          <w:noProof/>
        </w:rPr>
        <w:t xml:space="preserve"> a</w:t>
      </w:r>
      <w:r w:rsidR="00FD0C71">
        <w:rPr>
          <w:noProof/>
        </w:rPr>
        <w:t> </w:t>
      </w:r>
      <w:r w:rsidR="00FD0C71" w:rsidRPr="006E5269">
        <w:rPr>
          <w:noProof/>
        </w:rPr>
        <w:t>w</w:t>
      </w:r>
      <w:r w:rsidR="00FD0C71">
        <w:rPr>
          <w:noProof/>
        </w:rPr>
        <w:t> </w:t>
      </w:r>
      <w:r w:rsidR="00FD0C71" w:rsidRPr="00FD0C71">
        <w:rPr>
          <w:noProof/>
        </w:rPr>
        <w:t>tym </w:t>
      </w:r>
      <w:r w:rsidRPr="00FD0C71">
        <w:rPr>
          <w:noProof/>
        </w:rPr>
        <w:t>1</w:t>
      </w:r>
      <w:r w:rsidRPr="006E5269">
        <w:rPr>
          <w:noProof/>
        </w:rPr>
        <w:t>6 500 osób znajduje się</w:t>
      </w:r>
      <w:r w:rsidR="00FD0C71" w:rsidRPr="006E5269">
        <w:rPr>
          <w:noProof/>
        </w:rPr>
        <w:t xml:space="preserve"> w</w:t>
      </w:r>
      <w:r w:rsidR="00FD0C71">
        <w:rPr>
          <w:noProof/>
        </w:rPr>
        <w:t> </w:t>
      </w:r>
      <w:r w:rsidR="00FD0C71" w:rsidRPr="006E5269">
        <w:rPr>
          <w:noProof/>
        </w:rPr>
        <w:t>syt</w:t>
      </w:r>
      <w:r w:rsidRPr="006E5269">
        <w:rPr>
          <w:noProof/>
        </w:rPr>
        <w:t xml:space="preserve">uacji głodu. Ponadto wewnętrznie przesiedlono ponad 4 mln osób. </w:t>
      </w:r>
    </w:p>
    <w:p w:rsidR="000C2E1E" w:rsidRPr="006E5269" w:rsidRDefault="003247A5" w:rsidP="003057BC">
      <w:pPr>
        <w:spacing w:before="240"/>
        <w:jc w:val="both"/>
        <w:rPr>
          <w:noProof/>
        </w:rPr>
      </w:pPr>
      <w:r w:rsidRPr="006E5269">
        <w:rPr>
          <w:noProof/>
        </w:rPr>
        <w:t>Pomoc UE obejmowała potrzeby osób, które odczuwają bezpośrednie skutki konfliktu,</w:t>
      </w:r>
      <w:r w:rsidR="00FD0C71" w:rsidRPr="006E5269">
        <w:rPr>
          <w:noProof/>
        </w:rPr>
        <w:t xml:space="preserve"> a</w:t>
      </w:r>
      <w:r w:rsidR="00FD0C71">
        <w:rPr>
          <w:noProof/>
        </w:rPr>
        <w:t> </w:t>
      </w:r>
      <w:r w:rsidR="00FD0C71" w:rsidRPr="006E5269">
        <w:rPr>
          <w:noProof/>
        </w:rPr>
        <w:t>tak</w:t>
      </w:r>
      <w:r w:rsidRPr="006E5269">
        <w:rPr>
          <w:noProof/>
        </w:rPr>
        <w:t>że cierpią</w:t>
      </w:r>
      <w:r w:rsidR="00FD0C71" w:rsidRPr="006E5269">
        <w:rPr>
          <w:noProof/>
        </w:rPr>
        <w:t xml:space="preserve"> z</w:t>
      </w:r>
      <w:r w:rsidR="00FD0C71">
        <w:rPr>
          <w:noProof/>
        </w:rPr>
        <w:t> </w:t>
      </w:r>
      <w:r w:rsidR="00FD0C71" w:rsidRPr="006E5269">
        <w:rPr>
          <w:noProof/>
        </w:rPr>
        <w:t>pow</w:t>
      </w:r>
      <w:r w:rsidRPr="006E5269">
        <w:rPr>
          <w:noProof/>
        </w:rPr>
        <w:t>odu braku bezpieczeństwa żywnościowego, niedożywienia</w:t>
      </w:r>
      <w:r w:rsidR="00FD0C71" w:rsidRPr="006E5269">
        <w:rPr>
          <w:noProof/>
        </w:rPr>
        <w:t xml:space="preserve"> i</w:t>
      </w:r>
      <w:r w:rsidR="00FD0C71">
        <w:rPr>
          <w:noProof/>
        </w:rPr>
        <w:t> </w:t>
      </w:r>
      <w:r w:rsidR="00FD0C71" w:rsidRPr="006E5269">
        <w:rPr>
          <w:noProof/>
        </w:rPr>
        <w:t>kry</w:t>
      </w:r>
      <w:r w:rsidRPr="006E5269">
        <w:rPr>
          <w:noProof/>
        </w:rPr>
        <w:t>zysu zdrowotnego. Komisja odegrała czynną rolę</w:t>
      </w:r>
      <w:r w:rsidR="00FD0C71" w:rsidRPr="006E5269">
        <w:rPr>
          <w:noProof/>
        </w:rPr>
        <w:t xml:space="preserve"> w</w:t>
      </w:r>
      <w:r w:rsidR="00FD0C71">
        <w:rPr>
          <w:noProof/>
        </w:rPr>
        <w:t> </w:t>
      </w:r>
      <w:r w:rsidR="00FD0C71" w:rsidRPr="006E5269">
        <w:rPr>
          <w:noProof/>
        </w:rPr>
        <w:t>śro</w:t>
      </w:r>
      <w:r w:rsidRPr="006E5269">
        <w:rPr>
          <w:noProof/>
        </w:rPr>
        <w:t>dowisku darczyńców, jeżeli chodzi</w:t>
      </w:r>
      <w:r w:rsidR="00FD0C71" w:rsidRPr="006E5269">
        <w:rPr>
          <w:noProof/>
        </w:rPr>
        <w:t xml:space="preserve"> o</w:t>
      </w:r>
      <w:r w:rsidR="00FD0C71">
        <w:rPr>
          <w:noProof/>
        </w:rPr>
        <w:t> </w:t>
      </w:r>
      <w:r w:rsidR="00FD0C71" w:rsidRPr="006E5269">
        <w:rPr>
          <w:noProof/>
        </w:rPr>
        <w:t>mob</w:t>
      </w:r>
      <w:r w:rsidRPr="006E5269">
        <w:rPr>
          <w:noProof/>
        </w:rPr>
        <w:t>ilizację międzynarodowej pomocy humanitarnej dla Jemenu</w:t>
      </w:r>
      <w:r w:rsidR="00FD0C71" w:rsidRPr="006E5269">
        <w:rPr>
          <w:noProof/>
        </w:rPr>
        <w:t xml:space="preserve"> i</w:t>
      </w:r>
      <w:r w:rsidR="00FD0C71">
        <w:rPr>
          <w:noProof/>
        </w:rPr>
        <w:t> </w:t>
      </w:r>
      <w:r w:rsidR="00FD0C71" w:rsidRPr="006E5269">
        <w:rPr>
          <w:noProof/>
        </w:rPr>
        <w:t>naw</w:t>
      </w:r>
      <w:r w:rsidRPr="006E5269">
        <w:rPr>
          <w:noProof/>
        </w:rPr>
        <w:t>oływanie do zwiększenia dostępu do finansowania</w:t>
      </w:r>
      <w:r w:rsidR="00FD0C71" w:rsidRPr="006E5269">
        <w:rPr>
          <w:noProof/>
        </w:rPr>
        <w:t xml:space="preserve"> i</w:t>
      </w:r>
      <w:r w:rsidR="00FD0C71">
        <w:rPr>
          <w:noProof/>
        </w:rPr>
        <w:t> </w:t>
      </w:r>
      <w:r w:rsidR="00FD0C71" w:rsidRPr="006E5269">
        <w:rPr>
          <w:noProof/>
        </w:rPr>
        <w:t>pom</w:t>
      </w:r>
      <w:r w:rsidRPr="006E5269">
        <w:rPr>
          <w:noProof/>
        </w:rPr>
        <w:t xml:space="preserve">ocy humanitarnej. </w:t>
      </w:r>
    </w:p>
    <w:p w:rsidR="0081690F" w:rsidRPr="006E5269" w:rsidRDefault="0081690F" w:rsidP="003057BC">
      <w:pPr>
        <w:spacing w:before="240"/>
        <w:jc w:val="both"/>
        <w:rPr>
          <w:noProof/>
        </w:rPr>
      </w:pPr>
      <w:r w:rsidRPr="006E5269">
        <w:rPr>
          <w:i/>
          <w:noProof/>
        </w:rPr>
        <w:t xml:space="preserve">Unijna pomoc humanitarna ogółem – </w:t>
      </w:r>
      <w:r w:rsidRPr="006E5269">
        <w:rPr>
          <w:b/>
          <w:i/>
          <w:noProof/>
        </w:rPr>
        <w:t>119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Turcja</w:t>
      </w:r>
    </w:p>
    <w:p w:rsidR="00090A83" w:rsidRPr="006E5269" w:rsidRDefault="00B251C8" w:rsidP="003057BC">
      <w:pPr>
        <w:spacing w:before="240"/>
        <w:jc w:val="both"/>
        <w:rPr>
          <w:noProof/>
        </w:rPr>
      </w:pPr>
      <w:r w:rsidRPr="006E5269">
        <w:rPr>
          <w:noProof/>
        </w:rPr>
        <w:t>W 20</w:t>
      </w:r>
      <w:r w:rsidRPr="00FD0C71">
        <w:rPr>
          <w:noProof/>
        </w:rPr>
        <w:t>20</w:t>
      </w:r>
      <w:r w:rsidR="00FD0C71" w:rsidRPr="00FD0C71">
        <w:rPr>
          <w:noProof/>
        </w:rPr>
        <w:t> </w:t>
      </w:r>
      <w:r w:rsidRPr="00FD0C71">
        <w:rPr>
          <w:noProof/>
        </w:rPr>
        <w:t>r.</w:t>
      </w:r>
      <w:r w:rsidR="00FD0C71" w:rsidRPr="006E5269">
        <w:rPr>
          <w:noProof/>
        </w:rPr>
        <w:t xml:space="preserve"> w</w:t>
      </w:r>
      <w:r w:rsidR="00FD0C71">
        <w:rPr>
          <w:noProof/>
        </w:rPr>
        <w:t> </w:t>
      </w:r>
      <w:r w:rsidR="00FD0C71" w:rsidRPr="006E5269">
        <w:rPr>
          <w:noProof/>
        </w:rPr>
        <w:t>Tur</w:t>
      </w:r>
      <w:r w:rsidRPr="006E5269">
        <w:rPr>
          <w:noProof/>
        </w:rPr>
        <w:t>cji przebywało 4 mln uchodźców,</w:t>
      </w:r>
      <w:r w:rsidR="00FD0C71" w:rsidRPr="006E5269">
        <w:rPr>
          <w:noProof/>
        </w:rPr>
        <w:t xml:space="preserve"> w</w:t>
      </w:r>
      <w:r w:rsidR="00FD0C71">
        <w:rPr>
          <w:noProof/>
        </w:rPr>
        <w:t> </w:t>
      </w:r>
      <w:r w:rsidR="00FD0C71" w:rsidRPr="00FD0C71">
        <w:rPr>
          <w:noProof/>
        </w:rPr>
        <w:t>tym </w:t>
      </w:r>
      <w:r w:rsidRPr="00FD0C71">
        <w:rPr>
          <w:noProof/>
        </w:rPr>
        <w:t>3</w:t>
      </w:r>
      <w:r w:rsidRPr="006E5269">
        <w:rPr>
          <w:noProof/>
        </w:rPr>
        <w:t>,6 mln Syryjczyków, którzy uciekli</w:t>
      </w:r>
      <w:r w:rsidR="00FD0C71" w:rsidRPr="006E5269">
        <w:rPr>
          <w:noProof/>
        </w:rPr>
        <w:t xml:space="preserve"> z</w:t>
      </w:r>
      <w:r w:rsidR="00FD0C71">
        <w:rPr>
          <w:noProof/>
        </w:rPr>
        <w:t> </w:t>
      </w:r>
      <w:r w:rsidR="00FD0C71" w:rsidRPr="006E5269">
        <w:rPr>
          <w:noProof/>
        </w:rPr>
        <w:t>obs</w:t>
      </w:r>
      <w:r w:rsidRPr="006E5269">
        <w:rPr>
          <w:noProof/>
        </w:rPr>
        <w:t>zarów objętych konfliktem. Istniejący stopień narażenia wzrósł</w:t>
      </w:r>
      <w:r w:rsidR="00FD0C71" w:rsidRPr="006E5269">
        <w:rPr>
          <w:noProof/>
        </w:rPr>
        <w:t xml:space="preserve"> w</w:t>
      </w:r>
      <w:r w:rsidR="00FD0C71">
        <w:rPr>
          <w:noProof/>
        </w:rPr>
        <w:t> </w:t>
      </w:r>
      <w:r w:rsidR="00FD0C71" w:rsidRPr="006E5269">
        <w:rPr>
          <w:noProof/>
        </w:rPr>
        <w:t>zwi</w:t>
      </w:r>
      <w:r w:rsidRPr="006E5269">
        <w:rPr>
          <w:noProof/>
        </w:rPr>
        <w:t>ązku</w:t>
      </w:r>
      <w:r w:rsidR="00FD0C71" w:rsidRPr="006E5269">
        <w:rPr>
          <w:noProof/>
        </w:rPr>
        <w:t xml:space="preserve"> z</w:t>
      </w:r>
      <w:r w:rsidR="00FD0C71">
        <w:rPr>
          <w:noProof/>
        </w:rPr>
        <w:t> </w:t>
      </w:r>
      <w:r w:rsidR="00FD0C71" w:rsidRPr="006E5269">
        <w:rPr>
          <w:noProof/>
        </w:rPr>
        <w:t>pan</w:t>
      </w:r>
      <w:r w:rsidRPr="006E5269">
        <w:rPr>
          <w:noProof/>
        </w:rPr>
        <w:t>demią COVID-19,</w:t>
      </w:r>
      <w:r w:rsidR="00FD0C71" w:rsidRPr="006E5269">
        <w:rPr>
          <w:noProof/>
        </w:rPr>
        <w:t xml:space="preserve"> w</w:t>
      </w:r>
      <w:r w:rsidR="00FD0C71">
        <w:rPr>
          <w:noProof/>
        </w:rPr>
        <w:t> </w:t>
      </w:r>
      <w:r w:rsidR="00FD0C71" w:rsidRPr="006E5269">
        <w:rPr>
          <w:noProof/>
        </w:rPr>
        <w:t>wyn</w:t>
      </w:r>
      <w:r w:rsidRPr="006E5269">
        <w:rPr>
          <w:noProof/>
        </w:rPr>
        <w:t>iku której doszło do zwiększenia potrzeb uchodźców. Od 20</w:t>
      </w:r>
      <w:r w:rsidRPr="00FD0C71">
        <w:rPr>
          <w:noProof/>
        </w:rPr>
        <w:t>15</w:t>
      </w:r>
      <w:r w:rsidR="00FD0C71" w:rsidRPr="00FD0C71">
        <w:rPr>
          <w:noProof/>
        </w:rPr>
        <w:t> </w:t>
      </w:r>
      <w:r w:rsidRPr="00FD0C71">
        <w:rPr>
          <w:noProof/>
        </w:rPr>
        <w:t>r.</w:t>
      </w:r>
      <w:r w:rsidRPr="006E5269">
        <w:rPr>
          <w:noProof/>
        </w:rPr>
        <w:t xml:space="preserve"> UE wsparła ponad 80 projektów humanitarnych za pośrednictwem ponad 22 organizacji partnerskich. </w:t>
      </w:r>
    </w:p>
    <w:p w:rsidR="009B6D86" w:rsidRPr="006E5269" w:rsidRDefault="000C2E1E" w:rsidP="003057BC">
      <w:pPr>
        <w:spacing w:before="240"/>
        <w:jc w:val="both"/>
        <w:rPr>
          <w:noProof/>
        </w:rPr>
      </w:pPr>
      <w:r w:rsidRPr="006E5269">
        <w:rPr>
          <w:noProof/>
        </w:rPr>
        <w:t>W ramach unijnego Instrumentu Pomocy dla Uchodźców</w:t>
      </w:r>
      <w:r w:rsidR="00FD0C71" w:rsidRPr="006E5269">
        <w:rPr>
          <w:noProof/>
        </w:rPr>
        <w:t xml:space="preserve"> w</w:t>
      </w:r>
      <w:r w:rsidR="00FD0C71">
        <w:rPr>
          <w:noProof/>
        </w:rPr>
        <w:t> </w:t>
      </w:r>
      <w:r w:rsidR="00FD0C71" w:rsidRPr="006E5269">
        <w:rPr>
          <w:noProof/>
        </w:rPr>
        <w:t>Tur</w:t>
      </w:r>
      <w:r w:rsidRPr="006E5269">
        <w:rPr>
          <w:noProof/>
        </w:rPr>
        <w:t>cji</w:t>
      </w:r>
      <w:r w:rsidRPr="006E5269">
        <w:rPr>
          <w:rStyle w:val="FootnoteReference"/>
          <w:noProof/>
        </w:rPr>
        <w:footnoteReference w:id="13"/>
      </w:r>
      <w:r w:rsidR="00FD0C71" w:rsidRPr="006E5269">
        <w:rPr>
          <w:noProof/>
        </w:rPr>
        <w:t xml:space="preserve"> z</w:t>
      </w:r>
      <w:r w:rsidR="00FD0C71">
        <w:rPr>
          <w:noProof/>
        </w:rPr>
        <w:t> </w:t>
      </w:r>
      <w:r w:rsidR="00FD0C71" w:rsidRPr="006E5269">
        <w:rPr>
          <w:noProof/>
        </w:rPr>
        <w:t>bud</w:t>
      </w:r>
      <w:r w:rsidRPr="006E5269">
        <w:rPr>
          <w:noProof/>
        </w:rPr>
        <w:t>żetu UE</w:t>
      </w:r>
      <w:r w:rsidR="00FD0C71" w:rsidRPr="006E5269">
        <w:rPr>
          <w:noProof/>
        </w:rPr>
        <w:t xml:space="preserve"> i</w:t>
      </w:r>
      <w:r w:rsidR="00FD0C71">
        <w:rPr>
          <w:noProof/>
        </w:rPr>
        <w:t> </w:t>
      </w:r>
      <w:r w:rsidR="00FD0C71" w:rsidRPr="006E5269">
        <w:rPr>
          <w:noProof/>
        </w:rPr>
        <w:t>dod</w:t>
      </w:r>
      <w:r w:rsidRPr="006E5269">
        <w:rPr>
          <w:noProof/>
        </w:rPr>
        <w:t>atkowych wkładów ze strony państw członkowskich UE na projekty humanitarne przekazano już 2,4 mld EUR. W 20</w:t>
      </w:r>
      <w:r w:rsidRPr="00FD0C71">
        <w:rPr>
          <w:noProof/>
        </w:rPr>
        <w:t>20</w:t>
      </w:r>
      <w:r w:rsidR="00FD0C71" w:rsidRPr="00FD0C71">
        <w:rPr>
          <w:noProof/>
        </w:rPr>
        <w:t> </w:t>
      </w:r>
      <w:r w:rsidRPr="00FD0C71">
        <w:rPr>
          <w:noProof/>
        </w:rPr>
        <w:t>r.</w:t>
      </w:r>
      <w:r w:rsidRPr="006E5269">
        <w:rPr>
          <w:noProof/>
        </w:rPr>
        <w:t xml:space="preserve"> przeznaczono dodatkową kwotę</w:t>
      </w:r>
      <w:r w:rsidR="00FD0C71" w:rsidRPr="006E5269">
        <w:rPr>
          <w:noProof/>
        </w:rPr>
        <w:t xml:space="preserve"> w</w:t>
      </w:r>
      <w:r w:rsidR="00FD0C71">
        <w:rPr>
          <w:noProof/>
        </w:rPr>
        <w:t> </w:t>
      </w:r>
      <w:r w:rsidR="00FD0C71" w:rsidRPr="006E5269">
        <w:rPr>
          <w:noProof/>
        </w:rPr>
        <w:t>wys</w:t>
      </w:r>
      <w:r w:rsidRPr="006E5269">
        <w:rPr>
          <w:noProof/>
        </w:rPr>
        <w:t xml:space="preserve">okości 531,7 mln EUR. </w:t>
      </w:r>
    </w:p>
    <w:p w:rsidR="009B6D86" w:rsidRPr="006E5269" w:rsidRDefault="009B6D86" w:rsidP="003057BC">
      <w:pPr>
        <w:spacing w:before="240"/>
        <w:jc w:val="both"/>
        <w:rPr>
          <w:noProof/>
        </w:rPr>
      </w:pPr>
      <w:r w:rsidRPr="006E5269">
        <w:rPr>
          <w:noProof/>
        </w:rPr>
        <w:t xml:space="preserve">W ramach tej kwoty 485 mln EUR przeznaczono na dwa programy przewodnie: </w:t>
      </w:r>
    </w:p>
    <w:p w:rsidR="009B6D86" w:rsidRPr="006E5269" w:rsidRDefault="000C2E1E" w:rsidP="00C05FCC">
      <w:pPr>
        <w:pStyle w:val="ListParagraph"/>
        <w:numPr>
          <w:ilvl w:val="0"/>
          <w:numId w:val="10"/>
        </w:numPr>
        <w:spacing w:before="240"/>
        <w:jc w:val="both"/>
        <w:rPr>
          <w:b w:val="0"/>
          <w:i w:val="0"/>
          <w:noProof/>
        </w:rPr>
      </w:pPr>
      <w:r w:rsidRPr="006E5269">
        <w:rPr>
          <w:rFonts w:ascii="Times New Roman" w:hAnsi="Times New Roman"/>
          <w:b w:val="0"/>
          <w:noProof/>
          <w:sz w:val="24"/>
          <w:szCs w:val="24"/>
        </w:rPr>
        <w:t>Siatki bezpieczeństwa socjalnego</w:t>
      </w:r>
      <w:r w:rsidR="00FD0C71" w:rsidRPr="006E5269">
        <w:rPr>
          <w:rFonts w:ascii="Times New Roman" w:hAnsi="Times New Roman"/>
          <w:b w:val="0"/>
          <w:noProof/>
          <w:sz w:val="24"/>
          <w:szCs w:val="24"/>
        </w:rPr>
        <w:t xml:space="preserve"> w</w:t>
      </w:r>
      <w:r w:rsidR="00FD0C71">
        <w:rPr>
          <w:rFonts w:ascii="Times New Roman" w:hAnsi="Times New Roman"/>
          <w:b w:val="0"/>
          <w:noProof/>
          <w:sz w:val="24"/>
          <w:szCs w:val="24"/>
        </w:rPr>
        <w:t> </w:t>
      </w:r>
      <w:r w:rsidR="00FD0C71" w:rsidRPr="006E5269">
        <w:rPr>
          <w:rFonts w:ascii="Times New Roman" w:hAnsi="Times New Roman"/>
          <w:b w:val="0"/>
          <w:noProof/>
          <w:sz w:val="24"/>
          <w:szCs w:val="24"/>
        </w:rPr>
        <w:t>syt</w:t>
      </w:r>
      <w:r w:rsidRPr="006E5269">
        <w:rPr>
          <w:rFonts w:ascii="Times New Roman" w:hAnsi="Times New Roman"/>
          <w:b w:val="0"/>
          <w:noProof/>
          <w:sz w:val="24"/>
          <w:szCs w:val="24"/>
        </w:rPr>
        <w:t>uacjach nadzwyczajnych</w:t>
      </w:r>
      <w:r w:rsidRPr="006E5269">
        <w:rPr>
          <w:rStyle w:val="FootnoteReference"/>
          <w:rFonts w:ascii="Times New Roman" w:hAnsi="Times New Roman" w:cs="Times New Roman"/>
          <w:b w:val="0"/>
          <w:noProof/>
          <w:sz w:val="24"/>
          <w:szCs w:val="24"/>
        </w:rPr>
        <w:footnoteReference w:id="14"/>
      </w:r>
      <w:r w:rsidRPr="006E5269">
        <w:rPr>
          <w:rFonts w:ascii="Times New Roman" w:hAnsi="Times New Roman"/>
          <w:b w:val="0"/>
          <w:i w:val="0"/>
          <w:noProof/>
          <w:sz w:val="24"/>
          <w:szCs w:val="24"/>
        </w:rPr>
        <w:t xml:space="preserve"> –</w:t>
      </w:r>
      <w:r w:rsidR="00FD0C71" w:rsidRPr="006E5269">
        <w:rPr>
          <w:rFonts w:ascii="Times New Roman" w:hAnsi="Times New Roman"/>
          <w:b w:val="0"/>
          <w:i w:val="0"/>
          <w:noProof/>
          <w:sz w:val="24"/>
          <w:szCs w:val="24"/>
        </w:rPr>
        <w:t xml:space="preserve"> w</w:t>
      </w:r>
      <w:r w:rsidR="00FD0C71">
        <w:rPr>
          <w:rFonts w:ascii="Times New Roman" w:hAnsi="Times New Roman"/>
          <w:b w:val="0"/>
          <w:i w:val="0"/>
          <w:noProof/>
          <w:sz w:val="24"/>
          <w:szCs w:val="24"/>
        </w:rPr>
        <w:t> </w:t>
      </w:r>
      <w:r w:rsidR="00FD0C71" w:rsidRPr="006E5269">
        <w:rPr>
          <w:rFonts w:ascii="Times New Roman" w:hAnsi="Times New Roman"/>
          <w:b w:val="0"/>
          <w:i w:val="0"/>
          <w:noProof/>
          <w:sz w:val="24"/>
          <w:szCs w:val="24"/>
        </w:rPr>
        <w:t>ram</w:t>
      </w:r>
      <w:r w:rsidRPr="006E5269">
        <w:rPr>
          <w:rFonts w:ascii="Times New Roman" w:hAnsi="Times New Roman"/>
          <w:b w:val="0"/>
          <w:i w:val="0"/>
          <w:noProof/>
          <w:sz w:val="24"/>
          <w:szCs w:val="24"/>
        </w:rPr>
        <w:t xml:space="preserve">ach tego programu 1,8 mln uchodźców otrzymało comiesięczne płatności pieniężne za pośrednictwem kart debetowych, aby mogli zaspokoić swoje podstawowe potrzeby; </w:t>
      </w:r>
    </w:p>
    <w:p w:rsidR="009B6D86" w:rsidRPr="006E5269" w:rsidRDefault="009B6D86" w:rsidP="00C05FCC">
      <w:pPr>
        <w:pStyle w:val="ListParagraph"/>
        <w:numPr>
          <w:ilvl w:val="0"/>
          <w:numId w:val="10"/>
        </w:numPr>
        <w:spacing w:before="240"/>
        <w:jc w:val="both"/>
        <w:rPr>
          <w:b w:val="0"/>
          <w:i w:val="0"/>
          <w:noProof/>
        </w:rPr>
      </w:pPr>
      <w:r w:rsidRPr="006E5269">
        <w:rPr>
          <w:rFonts w:ascii="Times New Roman" w:hAnsi="Times New Roman"/>
          <w:b w:val="0"/>
          <w:noProof/>
          <w:sz w:val="24"/>
          <w:szCs w:val="24"/>
        </w:rPr>
        <w:t>program warunkowych transferów pieniężnych na rzecz edukacji</w:t>
      </w:r>
      <w:r w:rsidRPr="006E5269">
        <w:rPr>
          <w:rStyle w:val="FootnoteReference"/>
          <w:rFonts w:ascii="Times New Roman" w:hAnsi="Times New Roman" w:cs="Times New Roman"/>
          <w:b w:val="0"/>
          <w:noProof/>
          <w:sz w:val="24"/>
          <w:szCs w:val="24"/>
        </w:rPr>
        <w:footnoteReference w:id="15"/>
      </w:r>
      <w:r w:rsidRPr="006E5269">
        <w:rPr>
          <w:rFonts w:ascii="Times New Roman" w:hAnsi="Times New Roman"/>
          <w:b w:val="0"/>
          <w:i w:val="0"/>
          <w:noProof/>
          <w:sz w:val="24"/>
          <w:szCs w:val="24"/>
        </w:rPr>
        <w:t xml:space="preserve"> – największy unijny program edukacji</w:t>
      </w:r>
      <w:r w:rsidR="00FD0C71" w:rsidRPr="006E5269">
        <w:rPr>
          <w:rFonts w:ascii="Times New Roman" w:hAnsi="Times New Roman"/>
          <w:b w:val="0"/>
          <w:i w:val="0"/>
          <w:noProof/>
          <w:sz w:val="24"/>
          <w:szCs w:val="24"/>
        </w:rPr>
        <w:t xml:space="preserve"> w</w:t>
      </w:r>
      <w:r w:rsidR="00FD0C71">
        <w:rPr>
          <w:rFonts w:ascii="Times New Roman" w:hAnsi="Times New Roman"/>
          <w:b w:val="0"/>
          <w:i w:val="0"/>
          <w:noProof/>
          <w:sz w:val="24"/>
          <w:szCs w:val="24"/>
        </w:rPr>
        <w:t> </w:t>
      </w:r>
      <w:r w:rsidR="00FD0C71" w:rsidRPr="006E5269">
        <w:rPr>
          <w:rFonts w:ascii="Times New Roman" w:hAnsi="Times New Roman"/>
          <w:b w:val="0"/>
          <w:i w:val="0"/>
          <w:noProof/>
          <w:sz w:val="24"/>
          <w:szCs w:val="24"/>
        </w:rPr>
        <w:t>syt</w:t>
      </w:r>
      <w:r w:rsidRPr="006E5269">
        <w:rPr>
          <w:rFonts w:ascii="Times New Roman" w:hAnsi="Times New Roman"/>
          <w:b w:val="0"/>
          <w:i w:val="0"/>
          <w:noProof/>
          <w:sz w:val="24"/>
          <w:szCs w:val="24"/>
        </w:rPr>
        <w:t>uacjach nadzwyczajnych. Programem objęto 670 000 dzieci</w:t>
      </w:r>
      <w:r w:rsidR="00FD0C71" w:rsidRPr="006E5269">
        <w:rPr>
          <w:rFonts w:ascii="Times New Roman" w:hAnsi="Times New Roman"/>
          <w:b w:val="0"/>
          <w:i w:val="0"/>
          <w:noProof/>
          <w:sz w:val="24"/>
          <w:szCs w:val="24"/>
        </w:rPr>
        <w:t xml:space="preserve"> i</w:t>
      </w:r>
      <w:r w:rsidR="00FD0C71">
        <w:rPr>
          <w:rFonts w:ascii="Times New Roman" w:hAnsi="Times New Roman"/>
          <w:b w:val="0"/>
          <w:i w:val="0"/>
          <w:noProof/>
          <w:sz w:val="24"/>
          <w:szCs w:val="24"/>
        </w:rPr>
        <w:t> </w:t>
      </w:r>
      <w:r w:rsidR="00FD0C71" w:rsidRPr="006E5269">
        <w:rPr>
          <w:rFonts w:ascii="Times New Roman" w:hAnsi="Times New Roman"/>
          <w:b w:val="0"/>
          <w:i w:val="0"/>
          <w:noProof/>
          <w:sz w:val="24"/>
          <w:szCs w:val="24"/>
        </w:rPr>
        <w:t>w</w:t>
      </w:r>
      <w:r w:rsidR="00FD0C71">
        <w:rPr>
          <w:rFonts w:ascii="Times New Roman" w:hAnsi="Times New Roman"/>
          <w:b w:val="0"/>
          <w:i w:val="0"/>
          <w:noProof/>
          <w:sz w:val="24"/>
          <w:szCs w:val="24"/>
        </w:rPr>
        <w:t> </w:t>
      </w:r>
      <w:r w:rsidR="00FD0C71" w:rsidRPr="006E5269">
        <w:rPr>
          <w:rFonts w:ascii="Times New Roman" w:hAnsi="Times New Roman"/>
          <w:b w:val="0"/>
          <w:i w:val="0"/>
          <w:noProof/>
          <w:sz w:val="24"/>
          <w:szCs w:val="24"/>
        </w:rPr>
        <w:t>jeg</w:t>
      </w:r>
      <w:r w:rsidRPr="006E5269">
        <w:rPr>
          <w:rFonts w:ascii="Times New Roman" w:hAnsi="Times New Roman"/>
          <w:b w:val="0"/>
          <w:i w:val="0"/>
          <w:noProof/>
          <w:sz w:val="24"/>
          <w:szCs w:val="24"/>
        </w:rPr>
        <w:t>o ramach rodziny znajdujące się</w:t>
      </w:r>
      <w:r w:rsidR="00FD0C71" w:rsidRPr="006E5269">
        <w:rPr>
          <w:rFonts w:ascii="Times New Roman" w:hAnsi="Times New Roman"/>
          <w:b w:val="0"/>
          <w:i w:val="0"/>
          <w:noProof/>
          <w:sz w:val="24"/>
          <w:szCs w:val="24"/>
        </w:rPr>
        <w:t xml:space="preserve"> w</w:t>
      </w:r>
      <w:r w:rsidR="00FD0C71">
        <w:rPr>
          <w:rFonts w:ascii="Times New Roman" w:hAnsi="Times New Roman"/>
          <w:b w:val="0"/>
          <w:i w:val="0"/>
          <w:noProof/>
          <w:sz w:val="24"/>
          <w:szCs w:val="24"/>
        </w:rPr>
        <w:t> </w:t>
      </w:r>
      <w:r w:rsidR="00FD0C71" w:rsidRPr="006E5269">
        <w:rPr>
          <w:rFonts w:ascii="Times New Roman" w:hAnsi="Times New Roman"/>
          <w:b w:val="0"/>
          <w:i w:val="0"/>
          <w:noProof/>
          <w:sz w:val="24"/>
          <w:szCs w:val="24"/>
        </w:rPr>
        <w:t>tru</w:t>
      </w:r>
      <w:r w:rsidRPr="006E5269">
        <w:rPr>
          <w:rFonts w:ascii="Times New Roman" w:hAnsi="Times New Roman"/>
          <w:b w:val="0"/>
          <w:i w:val="0"/>
          <w:noProof/>
          <w:sz w:val="24"/>
          <w:szCs w:val="24"/>
        </w:rPr>
        <w:t>dnej sytuacji otrzymują transfery środków pieniężnych mających na celu promowanie zapisów do szkół</w:t>
      </w:r>
      <w:r w:rsidR="00FD0C71" w:rsidRPr="006E5269">
        <w:rPr>
          <w:rFonts w:ascii="Times New Roman" w:hAnsi="Times New Roman"/>
          <w:b w:val="0"/>
          <w:i w:val="0"/>
          <w:noProof/>
          <w:sz w:val="24"/>
          <w:szCs w:val="24"/>
        </w:rPr>
        <w:t xml:space="preserve"> i</w:t>
      </w:r>
      <w:r w:rsidR="00FD0C71">
        <w:rPr>
          <w:rFonts w:ascii="Times New Roman" w:hAnsi="Times New Roman"/>
          <w:b w:val="0"/>
          <w:i w:val="0"/>
          <w:noProof/>
          <w:sz w:val="24"/>
          <w:szCs w:val="24"/>
        </w:rPr>
        <w:t> </w:t>
      </w:r>
      <w:r w:rsidR="00FD0C71" w:rsidRPr="006E5269">
        <w:rPr>
          <w:rFonts w:ascii="Times New Roman" w:hAnsi="Times New Roman"/>
          <w:b w:val="0"/>
          <w:i w:val="0"/>
          <w:noProof/>
          <w:sz w:val="24"/>
          <w:szCs w:val="24"/>
        </w:rPr>
        <w:t>reg</w:t>
      </w:r>
      <w:r w:rsidRPr="006E5269">
        <w:rPr>
          <w:rFonts w:ascii="Times New Roman" w:hAnsi="Times New Roman"/>
          <w:b w:val="0"/>
          <w:i w:val="0"/>
          <w:noProof/>
          <w:sz w:val="24"/>
          <w:szCs w:val="24"/>
        </w:rPr>
        <w:t xml:space="preserve">ularnego uczęszczania na lekcje. </w:t>
      </w:r>
    </w:p>
    <w:p w:rsidR="000C2E1E" w:rsidRPr="006E5269" w:rsidRDefault="00B87AF2">
      <w:pPr>
        <w:spacing w:before="240"/>
        <w:jc w:val="both"/>
        <w:rPr>
          <w:noProof/>
        </w:rPr>
      </w:pPr>
      <w:r w:rsidRPr="006E5269">
        <w:rPr>
          <w:noProof/>
        </w:rPr>
        <w:t>UE wsparła również kluczowe projekty humanitarne</w:t>
      </w:r>
      <w:r w:rsidR="00FD0C71" w:rsidRPr="006E5269">
        <w:rPr>
          <w:noProof/>
        </w:rPr>
        <w:t xml:space="preserve"> w</w:t>
      </w:r>
      <w:r w:rsidR="00FD0C71">
        <w:rPr>
          <w:noProof/>
        </w:rPr>
        <w:t> </w:t>
      </w:r>
      <w:r w:rsidR="00FD0C71" w:rsidRPr="006E5269">
        <w:rPr>
          <w:noProof/>
        </w:rPr>
        <w:t>zak</w:t>
      </w:r>
      <w:r w:rsidRPr="006E5269">
        <w:rPr>
          <w:noProof/>
        </w:rPr>
        <w:t>resie zdrowia</w:t>
      </w:r>
      <w:r w:rsidR="00FD0C71" w:rsidRPr="006E5269">
        <w:rPr>
          <w:noProof/>
        </w:rPr>
        <w:t xml:space="preserve"> i</w:t>
      </w:r>
      <w:r w:rsidR="00FD0C71">
        <w:rPr>
          <w:noProof/>
        </w:rPr>
        <w:t> </w:t>
      </w:r>
      <w:r w:rsidR="00FD0C71" w:rsidRPr="006E5269">
        <w:rPr>
          <w:noProof/>
        </w:rPr>
        <w:t>och</w:t>
      </w:r>
      <w:r w:rsidRPr="006E5269">
        <w:rPr>
          <w:noProof/>
        </w:rPr>
        <w:t>rony.</w:t>
      </w:r>
    </w:p>
    <w:p w:rsidR="009B6D86" w:rsidRPr="006E5269" w:rsidRDefault="009B6D86" w:rsidP="003057BC">
      <w:pPr>
        <w:spacing w:before="240"/>
        <w:jc w:val="both"/>
        <w:rPr>
          <w:noProof/>
        </w:rPr>
      </w:pPr>
      <w:r w:rsidRPr="006E5269">
        <w:rPr>
          <w:i/>
          <w:noProof/>
        </w:rPr>
        <w:t xml:space="preserve">Unijna pomoc humanitarna ogółem – </w:t>
      </w:r>
      <w:r w:rsidRPr="006E5269">
        <w:rPr>
          <w:b/>
          <w:i/>
          <w:noProof/>
        </w:rPr>
        <w:t>531,7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Bałkany Zachodnie</w:t>
      </w:r>
    </w:p>
    <w:p w:rsidR="006B1784" w:rsidRPr="006E5269" w:rsidRDefault="008C5742" w:rsidP="003057BC">
      <w:pPr>
        <w:spacing w:before="240"/>
        <w:jc w:val="both"/>
        <w:rPr>
          <w:noProof/>
        </w:rPr>
      </w:pPr>
      <w:r w:rsidRPr="006E5269">
        <w:rPr>
          <w:noProof/>
        </w:rPr>
        <w:t>W 20</w:t>
      </w:r>
      <w:r w:rsidRPr="00FD0C71">
        <w:rPr>
          <w:noProof/>
        </w:rPr>
        <w:t>20</w:t>
      </w:r>
      <w:r w:rsidR="00FD0C71" w:rsidRPr="00FD0C71">
        <w:rPr>
          <w:noProof/>
        </w:rPr>
        <w:t> </w:t>
      </w:r>
      <w:r w:rsidRPr="00FD0C71">
        <w:rPr>
          <w:noProof/>
        </w:rPr>
        <w:t>r.</w:t>
      </w:r>
      <w:r w:rsidRPr="006E5269">
        <w:rPr>
          <w:noProof/>
        </w:rPr>
        <w:t xml:space="preserve"> około 8 000 uchodźców</w:t>
      </w:r>
      <w:r w:rsidR="00FD0C71" w:rsidRPr="006E5269">
        <w:rPr>
          <w:noProof/>
        </w:rPr>
        <w:t xml:space="preserve"> i</w:t>
      </w:r>
      <w:r w:rsidR="00FD0C71">
        <w:rPr>
          <w:noProof/>
        </w:rPr>
        <w:t> </w:t>
      </w:r>
      <w:r w:rsidR="00FD0C71" w:rsidRPr="006E5269">
        <w:rPr>
          <w:noProof/>
        </w:rPr>
        <w:t>mig</w:t>
      </w:r>
      <w:r w:rsidRPr="006E5269">
        <w:rPr>
          <w:noProof/>
        </w:rPr>
        <w:t>rantów było pozostawionych własnemu losowi,</w:t>
      </w:r>
      <w:r w:rsidR="00FD0C71" w:rsidRPr="006E5269">
        <w:rPr>
          <w:noProof/>
        </w:rPr>
        <w:t xml:space="preserve"> w</w:t>
      </w:r>
      <w:r w:rsidR="00FD0C71">
        <w:rPr>
          <w:noProof/>
        </w:rPr>
        <w:t> </w:t>
      </w:r>
      <w:r w:rsidR="00FD0C71" w:rsidRPr="00FD0C71">
        <w:rPr>
          <w:noProof/>
        </w:rPr>
        <w:t>tym </w:t>
      </w:r>
      <w:r w:rsidRPr="00FD0C71">
        <w:rPr>
          <w:noProof/>
        </w:rPr>
        <w:t>1</w:t>
      </w:r>
      <w:r w:rsidRPr="006E5269">
        <w:rPr>
          <w:noProof/>
        </w:rPr>
        <w:t xml:space="preserve"> 500–3 000 spało bez dachu nad głowa</w:t>
      </w:r>
      <w:r w:rsidR="00FD0C71" w:rsidRPr="006E5269">
        <w:rPr>
          <w:noProof/>
        </w:rPr>
        <w:t xml:space="preserve"> w</w:t>
      </w:r>
      <w:r w:rsidR="00FD0C71">
        <w:rPr>
          <w:noProof/>
        </w:rPr>
        <w:t> </w:t>
      </w:r>
      <w:r w:rsidR="00FD0C71" w:rsidRPr="006E5269">
        <w:rPr>
          <w:noProof/>
        </w:rPr>
        <w:t>bar</w:t>
      </w:r>
      <w:r w:rsidRPr="006E5269">
        <w:rPr>
          <w:noProof/>
        </w:rPr>
        <w:t>dzo złych warunkach. Pomoc UE obejmowała usługi opieki zdrowotnej, działania podejmowane</w:t>
      </w:r>
      <w:r w:rsidR="00FD0C71" w:rsidRPr="006E5269">
        <w:rPr>
          <w:noProof/>
        </w:rPr>
        <w:t xml:space="preserve"> w</w:t>
      </w:r>
      <w:r w:rsidR="00FD0C71">
        <w:rPr>
          <w:noProof/>
        </w:rPr>
        <w:t> </w:t>
      </w:r>
      <w:r w:rsidR="00FD0C71" w:rsidRPr="006E5269">
        <w:rPr>
          <w:noProof/>
        </w:rPr>
        <w:t>zwi</w:t>
      </w:r>
      <w:r w:rsidRPr="006E5269">
        <w:rPr>
          <w:noProof/>
        </w:rPr>
        <w:t>ązku</w:t>
      </w:r>
      <w:r w:rsidR="00FD0C71" w:rsidRPr="006E5269">
        <w:rPr>
          <w:noProof/>
        </w:rPr>
        <w:t xml:space="preserve"> z</w:t>
      </w:r>
      <w:r w:rsidR="00FD0C71">
        <w:rPr>
          <w:noProof/>
        </w:rPr>
        <w:t> </w:t>
      </w:r>
      <w:r w:rsidR="00FD0C71" w:rsidRPr="006E5269">
        <w:rPr>
          <w:noProof/>
        </w:rPr>
        <w:t>pan</w:t>
      </w:r>
      <w:r w:rsidRPr="006E5269">
        <w:rPr>
          <w:noProof/>
        </w:rPr>
        <w:t>demią COVID-19, ochronę, wsparcie dla małoletnich bez opieki oraz pomoc ratunkową dla osób znajdujących się</w:t>
      </w:r>
      <w:r w:rsidR="00FD0C71" w:rsidRPr="006E5269">
        <w:rPr>
          <w:noProof/>
        </w:rPr>
        <w:t xml:space="preserve"> w</w:t>
      </w:r>
      <w:r w:rsidR="00FD0C71">
        <w:rPr>
          <w:noProof/>
        </w:rPr>
        <w:t> </w:t>
      </w:r>
      <w:r w:rsidR="00FD0C71" w:rsidRPr="006E5269">
        <w:rPr>
          <w:noProof/>
        </w:rPr>
        <w:t>tym</w:t>
      </w:r>
      <w:r w:rsidRPr="006E5269">
        <w:rPr>
          <w:noProof/>
        </w:rPr>
        <w:t>czasowych ośrodkach recepcyjnych</w:t>
      </w:r>
      <w:r w:rsidR="00FD0C71" w:rsidRPr="006E5269">
        <w:rPr>
          <w:noProof/>
        </w:rPr>
        <w:t xml:space="preserve"> i</w:t>
      </w:r>
      <w:r w:rsidR="00FD0C71">
        <w:rPr>
          <w:noProof/>
        </w:rPr>
        <w:t> </w:t>
      </w:r>
      <w:r w:rsidR="00FD0C71" w:rsidRPr="006E5269">
        <w:rPr>
          <w:noProof/>
        </w:rPr>
        <w:t>poz</w:t>
      </w:r>
      <w:r w:rsidRPr="006E5269">
        <w:rPr>
          <w:noProof/>
        </w:rPr>
        <w:t xml:space="preserve">a nimi. </w:t>
      </w:r>
    </w:p>
    <w:p w:rsidR="009B6D86" w:rsidRPr="006E5269" w:rsidRDefault="009B6D86" w:rsidP="003057BC">
      <w:pPr>
        <w:spacing w:before="240"/>
        <w:jc w:val="both"/>
        <w:rPr>
          <w:rFonts w:ascii="Verdana" w:hAnsi="Verdana"/>
          <w:b/>
          <w:noProof/>
          <w:sz w:val="20"/>
          <w:szCs w:val="20"/>
          <w:u w:val="single"/>
        </w:rPr>
      </w:pPr>
      <w:r w:rsidRPr="006E5269">
        <w:rPr>
          <w:i/>
          <w:noProof/>
        </w:rPr>
        <w:t xml:space="preserve">Unijna pomoc humanitarna ogółem – </w:t>
      </w:r>
      <w:r w:rsidRPr="006E5269">
        <w:rPr>
          <w:b/>
          <w:i/>
          <w:noProof/>
        </w:rPr>
        <w:t>5,5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Ukraina</w:t>
      </w:r>
    </w:p>
    <w:p w:rsidR="000C2E1E" w:rsidRPr="006E5269" w:rsidRDefault="000C2E1E" w:rsidP="003057BC">
      <w:pPr>
        <w:spacing w:before="240" w:after="120"/>
        <w:jc w:val="both"/>
        <w:rPr>
          <w:noProof/>
        </w:rPr>
      </w:pPr>
      <w:r w:rsidRPr="006E5269">
        <w:rPr>
          <w:noProof/>
        </w:rPr>
        <w:t>3,4 mln ludzi potrzebowało pomocy</w:t>
      </w:r>
      <w:r w:rsidR="00FD0C71" w:rsidRPr="006E5269">
        <w:rPr>
          <w:noProof/>
        </w:rPr>
        <w:t xml:space="preserve"> w</w:t>
      </w:r>
      <w:r w:rsidR="00FD0C71">
        <w:rPr>
          <w:noProof/>
        </w:rPr>
        <w:t> </w:t>
      </w:r>
      <w:r w:rsidR="00FD0C71" w:rsidRPr="006E5269">
        <w:rPr>
          <w:noProof/>
        </w:rPr>
        <w:t>czę</w:t>
      </w:r>
      <w:r w:rsidRPr="006E5269">
        <w:rPr>
          <w:noProof/>
        </w:rPr>
        <w:t>ściach Ukrainy objętych konfliktem. Sytuacja pogorszyła się na skutek pandemii COVID-19</w:t>
      </w:r>
      <w:r w:rsidR="00FD0C71" w:rsidRPr="006E5269">
        <w:rPr>
          <w:noProof/>
        </w:rPr>
        <w:t xml:space="preserve"> i</w:t>
      </w:r>
      <w:r w:rsidR="00FD0C71">
        <w:rPr>
          <w:noProof/>
        </w:rPr>
        <w:t> </w:t>
      </w:r>
      <w:r w:rsidR="00FD0C71" w:rsidRPr="006E5269">
        <w:rPr>
          <w:noProof/>
        </w:rPr>
        <w:t>bra</w:t>
      </w:r>
      <w:r w:rsidRPr="006E5269">
        <w:rPr>
          <w:noProof/>
        </w:rPr>
        <w:t xml:space="preserve">ku bezpieczeństwa żywnościowego, co miało wpływ na udzielanie pomocy humanitarnej na obszarach kontrolowanych przez rząd. </w:t>
      </w:r>
    </w:p>
    <w:p w:rsidR="003E1B52" w:rsidRPr="006E5269" w:rsidRDefault="000C2E1E" w:rsidP="003057BC">
      <w:pPr>
        <w:spacing w:before="240"/>
        <w:jc w:val="both"/>
        <w:rPr>
          <w:noProof/>
        </w:rPr>
      </w:pPr>
      <w:r w:rsidRPr="006E5269">
        <w:rPr>
          <w:noProof/>
        </w:rPr>
        <w:t>Pomoc UE obejmowała pomoc pieniężną wykorzystywaną do wielu celów, edukację</w:t>
      </w:r>
      <w:r w:rsidR="00FD0C71" w:rsidRPr="006E5269">
        <w:rPr>
          <w:noProof/>
        </w:rPr>
        <w:t xml:space="preserve"> w</w:t>
      </w:r>
      <w:r w:rsidR="00FD0C71">
        <w:rPr>
          <w:noProof/>
        </w:rPr>
        <w:t> </w:t>
      </w:r>
      <w:r w:rsidR="00FD0C71" w:rsidRPr="006E5269">
        <w:rPr>
          <w:noProof/>
        </w:rPr>
        <w:t>syt</w:t>
      </w:r>
      <w:r w:rsidRPr="006E5269">
        <w:rPr>
          <w:noProof/>
        </w:rPr>
        <w:t>uacjach nadzwyczajnych, edukację na temat zagrożenia związanego</w:t>
      </w:r>
      <w:r w:rsidR="00FD0C71" w:rsidRPr="006E5269">
        <w:rPr>
          <w:noProof/>
        </w:rPr>
        <w:t xml:space="preserve"> z</w:t>
      </w:r>
      <w:r w:rsidR="00FD0C71">
        <w:rPr>
          <w:noProof/>
        </w:rPr>
        <w:t> </w:t>
      </w:r>
      <w:r w:rsidR="00FD0C71" w:rsidRPr="006E5269">
        <w:rPr>
          <w:noProof/>
        </w:rPr>
        <w:t>min</w:t>
      </w:r>
      <w:r w:rsidRPr="006E5269">
        <w:rPr>
          <w:noProof/>
        </w:rPr>
        <w:t>ami, środki służące przygotowaniu się na zimę</w:t>
      </w:r>
      <w:r w:rsidR="00FD0C71" w:rsidRPr="006E5269">
        <w:rPr>
          <w:noProof/>
        </w:rPr>
        <w:t xml:space="preserve"> i</w:t>
      </w:r>
      <w:r w:rsidR="00FD0C71">
        <w:rPr>
          <w:noProof/>
        </w:rPr>
        <w:t> </w:t>
      </w:r>
      <w:r w:rsidR="00FD0C71" w:rsidRPr="006E5269">
        <w:rPr>
          <w:noProof/>
        </w:rPr>
        <w:t>dzi</w:t>
      </w:r>
      <w:r w:rsidRPr="006E5269">
        <w:rPr>
          <w:noProof/>
        </w:rPr>
        <w:t>ałania podejmowane</w:t>
      </w:r>
      <w:r w:rsidR="00FD0C71" w:rsidRPr="006E5269">
        <w:rPr>
          <w:noProof/>
        </w:rPr>
        <w:t xml:space="preserve"> w</w:t>
      </w:r>
      <w:r w:rsidR="00FD0C71">
        <w:rPr>
          <w:noProof/>
        </w:rPr>
        <w:t> </w:t>
      </w:r>
      <w:r w:rsidR="00FD0C71" w:rsidRPr="006E5269">
        <w:rPr>
          <w:noProof/>
        </w:rPr>
        <w:t>zwi</w:t>
      </w:r>
      <w:r w:rsidRPr="006E5269">
        <w:rPr>
          <w:noProof/>
        </w:rPr>
        <w:t>ązku</w:t>
      </w:r>
      <w:r w:rsidR="00FD0C71" w:rsidRPr="006E5269">
        <w:rPr>
          <w:noProof/>
        </w:rPr>
        <w:t xml:space="preserve"> z</w:t>
      </w:r>
      <w:r w:rsidR="00FD0C71">
        <w:rPr>
          <w:noProof/>
        </w:rPr>
        <w:t> </w:t>
      </w:r>
      <w:r w:rsidR="00FD0C71" w:rsidRPr="006E5269">
        <w:rPr>
          <w:noProof/>
        </w:rPr>
        <w:t>pan</w:t>
      </w:r>
      <w:r w:rsidRPr="006E5269">
        <w:rPr>
          <w:noProof/>
        </w:rPr>
        <w:t xml:space="preserve">demią COVID-19. </w:t>
      </w:r>
    </w:p>
    <w:p w:rsidR="000F58F1" w:rsidRPr="006E5269" w:rsidRDefault="000F58F1" w:rsidP="003057BC">
      <w:pPr>
        <w:spacing w:before="240"/>
        <w:jc w:val="both"/>
        <w:rPr>
          <w:noProof/>
        </w:rPr>
      </w:pPr>
      <w:r w:rsidRPr="006E5269">
        <w:rPr>
          <w:i/>
          <w:noProof/>
        </w:rPr>
        <w:t xml:space="preserve">Unijna pomoc humanitarna ogółem – </w:t>
      </w:r>
      <w:r w:rsidRPr="006E5269">
        <w:rPr>
          <w:b/>
          <w:i/>
          <w:noProof/>
        </w:rPr>
        <w:t>23 mln EUR</w:t>
      </w:r>
      <w:r w:rsidRPr="006E5269">
        <w:rPr>
          <w:i/>
          <w:noProof/>
        </w:rPr>
        <w:t>.</w:t>
      </w:r>
    </w:p>
    <w:p w:rsidR="000C2E1E" w:rsidRPr="006E5269" w:rsidRDefault="000C2E1E" w:rsidP="003057BC">
      <w:pPr>
        <w:spacing w:before="240"/>
        <w:jc w:val="both"/>
        <w:rPr>
          <w:rFonts w:cstheme="majorBidi"/>
          <w:b/>
          <w:noProof/>
          <w:color w:val="0070C0"/>
        </w:rPr>
      </w:pPr>
      <w:r w:rsidRPr="006E5269">
        <w:rPr>
          <w:b/>
          <w:noProof/>
          <w:color w:val="0070C0"/>
        </w:rPr>
        <w:t>Górski Karabach</w:t>
      </w:r>
    </w:p>
    <w:p w:rsidR="000C2E1E" w:rsidRPr="006E5269" w:rsidRDefault="000E430C" w:rsidP="003057BC">
      <w:pPr>
        <w:spacing w:before="240"/>
        <w:jc w:val="both"/>
        <w:rPr>
          <w:noProof/>
        </w:rPr>
      </w:pPr>
      <w:r w:rsidRPr="006E5269">
        <w:rPr>
          <w:noProof/>
        </w:rPr>
        <w:t>W wyniku działań wojennych prowadzonych między Armenią</w:t>
      </w:r>
      <w:r w:rsidR="00FD0C71" w:rsidRPr="006E5269">
        <w:rPr>
          <w:noProof/>
        </w:rPr>
        <w:t xml:space="preserve"> a</w:t>
      </w:r>
      <w:r w:rsidR="00FD0C71">
        <w:rPr>
          <w:noProof/>
        </w:rPr>
        <w:t> </w:t>
      </w:r>
      <w:r w:rsidR="00FD0C71" w:rsidRPr="006E5269">
        <w:rPr>
          <w:noProof/>
        </w:rPr>
        <w:t>Aze</w:t>
      </w:r>
      <w:r w:rsidRPr="006E5269">
        <w:rPr>
          <w:noProof/>
        </w:rPr>
        <w:t>rbejdżanem ofiarą padły tysiące ludzi,</w:t>
      </w:r>
      <w:r w:rsidR="00FD0C71" w:rsidRPr="006E5269">
        <w:rPr>
          <w:noProof/>
        </w:rPr>
        <w:t xml:space="preserve"> a</w:t>
      </w:r>
      <w:r w:rsidR="00FD0C71">
        <w:rPr>
          <w:noProof/>
        </w:rPr>
        <w:t> </w:t>
      </w:r>
      <w:r w:rsidR="00FD0C71" w:rsidRPr="006E5269">
        <w:rPr>
          <w:noProof/>
        </w:rPr>
        <w:t>set</w:t>
      </w:r>
      <w:r w:rsidRPr="006E5269">
        <w:rPr>
          <w:noProof/>
        </w:rPr>
        <w:t xml:space="preserve">ki tysięcy ludzi musiało opuścić domy. UE przeznaczyła pomoc bezpośrednią na pokrycie podstawowych potrzeb. </w:t>
      </w:r>
    </w:p>
    <w:p w:rsidR="000F58F1" w:rsidRPr="006E5269" w:rsidRDefault="000F58F1" w:rsidP="003057BC">
      <w:pPr>
        <w:spacing w:before="240"/>
        <w:jc w:val="both"/>
        <w:rPr>
          <w:noProof/>
        </w:rPr>
      </w:pPr>
      <w:r w:rsidRPr="006E5269">
        <w:rPr>
          <w:i/>
          <w:noProof/>
        </w:rPr>
        <w:t xml:space="preserve">Unijna pomoc humanitarna ogółem – </w:t>
      </w:r>
      <w:r w:rsidRPr="006E5269">
        <w:rPr>
          <w:b/>
          <w:i/>
          <w:noProof/>
        </w:rPr>
        <w:t>3,9 mln EUR</w:t>
      </w:r>
      <w:r w:rsidRPr="006E5269">
        <w:rPr>
          <w:i/>
          <w:noProof/>
        </w:rPr>
        <w:t>.</w:t>
      </w:r>
    </w:p>
    <w:p w:rsidR="00335FA7" w:rsidRPr="006E5269" w:rsidRDefault="00335FA7">
      <w:pPr>
        <w:rPr>
          <w:rFonts w:cstheme="majorBidi"/>
          <w:b/>
          <w:noProof/>
          <w:color w:val="0070C0"/>
        </w:rPr>
      </w:pPr>
    </w:p>
    <w:p w:rsidR="002F1A0D" w:rsidRPr="006E5269" w:rsidRDefault="002F1A0D" w:rsidP="003057BC">
      <w:pPr>
        <w:pStyle w:val="Heading310"/>
        <w:keepNext/>
        <w:keepLines/>
        <w:shd w:val="clear" w:color="auto" w:fill="auto"/>
        <w:spacing w:before="240" w:after="240" w:line="240" w:lineRule="auto"/>
        <w:ind w:firstLine="0"/>
        <w:jc w:val="both"/>
        <w:rPr>
          <w:noProof/>
          <w:color w:val="1F3864" w:themeColor="accent5" w:themeShade="80"/>
          <w:sz w:val="28"/>
          <w:u w:val="single"/>
        </w:rPr>
      </w:pPr>
      <w:bookmarkStart w:id="8" w:name="_Toc84941896"/>
      <w:r w:rsidRPr="006E5269">
        <w:rPr>
          <w:noProof/>
          <w:color w:val="1F3864" w:themeColor="accent5" w:themeShade="80"/>
          <w:sz w:val="28"/>
          <w:u w:val="single"/>
        </w:rPr>
        <w:t>Priorytety horyzontalne</w:t>
      </w:r>
      <w:bookmarkEnd w:id="8"/>
    </w:p>
    <w:p w:rsidR="002F1A0D" w:rsidRPr="006E5269" w:rsidRDefault="00686404" w:rsidP="003057BC">
      <w:pPr>
        <w:spacing w:before="240"/>
        <w:jc w:val="both"/>
        <w:rPr>
          <w:b/>
          <w:noProof/>
          <w:color w:val="0070C0"/>
        </w:rPr>
      </w:pPr>
      <w:r w:rsidRPr="006E5269">
        <w:rPr>
          <w:b/>
          <w:noProof/>
          <w:color w:val="0070C0"/>
        </w:rPr>
        <w:t>Edukacja</w:t>
      </w:r>
      <w:r w:rsidR="00FD0C71" w:rsidRPr="006E5269">
        <w:rPr>
          <w:b/>
          <w:noProof/>
          <w:color w:val="0070C0"/>
        </w:rPr>
        <w:t xml:space="preserve"> w</w:t>
      </w:r>
      <w:r w:rsidR="00FD0C71">
        <w:rPr>
          <w:b/>
          <w:noProof/>
          <w:color w:val="0070C0"/>
        </w:rPr>
        <w:t> </w:t>
      </w:r>
      <w:r w:rsidR="00FD0C71" w:rsidRPr="006E5269">
        <w:rPr>
          <w:b/>
          <w:noProof/>
          <w:color w:val="0070C0"/>
        </w:rPr>
        <w:t>syt</w:t>
      </w:r>
      <w:r w:rsidRPr="006E5269">
        <w:rPr>
          <w:b/>
          <w:noProof/>
          <w:color w:val="0070C0"/>
        </w:rPr>
        <w:t>uacjach nadzwyczajnych</w:t>
      </w:r>
    </w:p>
    <w:p w:rsidR="003205DD" w:rsidRPr="006E5269" w:rsidRDefault="006D208E" w:rsidP="003057BC">
      <w:pPr>
        <w:spacing w:before="240"/>
        <w:jc w:val="both"/>
        <w:rPr>
          <w:noProof/>
        </w:rPr>
      </w:pPr>
      <w:r w:rsidRPr="006E5269">
        <w:rPr>
          <w:noProof/>
        </w:rPr>
        <w:t>W 20</w:t>
      </w:r>
      <w:r w:rsidRPr="00FD0C71">
        <w:rPr>
          <w:noProof/>
        </w:rPr>
        <w:t>20</w:t>
      </w:r>
      <w:r w:rsidR="00FD0C71" w:rsidRPr="00FD0C71">
        <w:rPr>
          <w:noProof/>
        </w:rPr>
        <w:t> </w:t>
      </w:r>
      <w:r w:rsidRPr="00FD0C71">
        <w:rPr>
          <w:noProof/>
        </w:rPr>
        <w:t>r.</w:t>
      </w:r>
      <w:r w:rsidRPr="006E5269">
        <w:rPr>
          <w:noProof/>
        </w:rPr>
        <w:t xml:space="preserve"> ponad 1 mld dzieci było zagrożonych zaległościami</w:t>
      </w:r>
      <w:r w:rsidR="00FD0C71" w:rsidRPr="006E5269">
        <w:rPr>
          <w:noProof/>
        </w:rPr>
        <w:t xml:space="preserve"> w</w:t>
      </w:r>
      <w:r w:rsidR="00FD0C71">
        <w:rPr>
          <w:noProof/>
        </w:rPr>
        <w:t> </w:t>
      </w:r>
      <w:r w:rsidR="00FD0C71" w:rsidRPr="006E5269">
        <w:rPr>
          <w:noProof/>
        </w:rPr>
        <w:t>nau</w:t>
      </w:r>
      <w:r w:rsidRPr="006E5269">
        <w:rPr>
          <w:noProof/>
        </w:rPr>
        <w:t>ce</w:t>
      </w:r>
      <w:r w:rsidR="00FD0C71" w:rsidRPr="006E5269">
        <w:rPr>
          <w:noProof/>
        </w:rPr>
        <w:t xml:space="preserve"> w</w:t>
      </w:r>
      <w:r w:rsidR="00FD0C71">
        <w:rPr>
          <w:noProof/>
        </w:rPr>
        <w:t> </w:t>
      </w:r>
      <w:r w:rsidR="00FD0C71" w:rsidRPr="006E5269">
        <w:rPr>
          <w:noProof/>
        </w:rPr>
        <w:t>wyn</w:t>
      </w:r>
      <w:r w:rsidRPr="006E5269">
        <w:rPr>
          <w:noProof/>
        </w:rPr>
        <w:t>iku bezprecedensowego zakłócenia edukacji</w:t>
      </w:r>
      <w:r w:rsidR="00FD0C71" w:rsidRPr="006E5269">
        <w:rPr>
          <w:noProof/>
        </w:rPr>
        <w:t xml:space="preserve"> w</w:t>
      </w:r>
      <w:r w:rsidR="00FD0C71">
        <w:rPr>
          <w:noProof/>
        </w:rPr>
        <w:t> </w:t>
      </w:r>
      <w:r w:rsidR="00FD0C71" w:rsidRPr="006E5269">
        <w:rPr>
          <w:noProof/>
        </w:rPr>
        <w:t>wyn</w:t>
      </w:r>
      <w:r w:rsidRPr="006E5269">
        <w:rPr>
          <w:noProof/>
        </w:rPr>
        <w:t>iku pandemii COVID-19. Zgodnie</w:t>
      </w:r>
      <w:r w:rsidR="00FD0C71" w:rsidRPr="006E5269">
        <w:rPr>
          <w:noProof/>
        </w:rPr>
        <w:t xml:space="preserve"> z</w:t>
      </w:r>
      <w:r w:rsidR="00FD0C71">
        <w:rPr>
          <w:noProof/>
        </w:rPr>
        <w:t> </w:t>
      </w:r>
      <w:r w:rsidR="00FD0C71" w:rsidRPr="006E5269">
        <w:rPr>
          <w:noProof/>
        </w:rPr>
        <w:t>wcz</w:t>
      </w:r>
      <w:r w:rsidRPr="006E5269">
        <w:rPr>
          <w:noProof/>
        </w:rPr>
        <w:t>eśniejszymi zobowiązaniami Komisja przeznaczyła 1</w:t>
      </w:r>
      <w:r w:rsidRPr="00FD0C71">
        <w:rPr>
          <w:noProof/>
        </w:rPr>
        <w:t>0</w:t>
      </w:r>
      <w:r w:rsidR="00FD0C71" w:rsidRPr="00FD0C71">
        <w:rPr>
          <w:noProof/>
        </w:rPr>
        <w:t> </w:t>
      </w:r>
      <w:r w:rsidRPr="00FD0C71">
        <w:rPr>
          <w:noProof/>
        </w:rPr>
        <w:t>%</w:t>
      </w:r>
      <w:r w:rsidRPr="006E5269">
        <w:rPr>
          <w:noProof/>
        </w:rPr>
        <w:t xml:space="preserve"> unijnego wstępnego budżetu pomocy humanitarnej </w:t>
      </w:r>
      <w:r w:rsidRPr="00FD0C71">
        <w:rPr>
          <w:noProof/>
        </w:rPr>
        <w:t>na</w:t>
      </w:r>
      <w:r w:rsidR="00FD0C71" w:rsidRPr="00FD0C71">
        <w:rPr>
          <w:noProof/>
        </w:rPr>
        <w:t> </w:t>
      </w:r>
      <w:r w:rsidRPr="00FD0C71">
        <w:rPr>
          <w:noProof/>
        </w:rPr>
        <w:t>2</w:t>
      </w:r>
      <w:r w:rsidRPr="006E5269">
        <w:rPr>
          <w:noProof/>
        </w:rPr>
        <w:t>0</w:t>
      </w:r>
      <w:r w:rsidRPr="00FD0C71">
        <w:rPr>
          <w:noProof/>
        </w:rPr>
        <w:t>20</w:t>
      </w:r>
      <w:r w:rsidR="00FD0C71" w:rsidRPr="00FD0C71">
        <w:rPr>
          <w:noProof/>
        </w:rPr>
        <w:t> </w:t>
      </w:r>
      <w:r w:rsidRPr="00FD0C71">
        <w:rPr>
          <w:noProof/>
        </w:rPr>
        <w:t>r.</w:t>
      </w:r>
      <w:r w:rsidRPr="006E5269">
        <w:rPr>
          <w:noProof/>
        </w:rPr>
        <w:t xml:space="preserve"> na edukację</w:t>
      </w:r>
      <w:r w:rsidR="00FD0C71" w:rsidRPr="006E5269">
        <w:rPr>
          <w:noProof/>
        </w:rPr>
        <w:t xml:space="preserve"> w</w:t>
      </w:r>
      <w:r w:rsidR="00FD0C71">
        <w:rPr>
          <w:noProof/>
        </w:rPr>
        <w:t> </w:t>
      </w:r>
      <w:r w:rsidR="00FD0C71" w:rsidRPr="006E5269">
        <w:rPr>
          <w:noProof/>
        </w:rPr>
        <w:t>syt</w:t>
      </w:r>
      <w:r w:rsidRPr="006E5269">
        <w:rPr>
          <w:noProof/>
        </w:rPr>
        <w:t xml:space="preserve">uacjach nadzwyczajnych. </w:t>
      </w:r>
    </w:p>
    <w:p w:rsidR="006D208E" w:rsidRPr="006E5269" w:rsidRDefault="006D208E" w:rsidP="003057BC">
      <w:pPr>
        <w:spacing w:before="240"/>
        <w:jc w:val="both"/>
        <w:rPr>
          <w:noProof/>
        </w:rPr>
      </w:pPr>
      <w:r w:rsidRPr="006E5269">
        <w:rPr>
          <w:noProof/>
        </w:rPr>
        <w:t>Te środki finansowe wyniosły 115 mln EUR</w:t>
      </w:r>
      <w:r w:rsidR="00FD0C71" w:rsidRPr="006E5269">
        <w:rPr>
          <w:noProof/>
        </w:rPr>
        <w:t xml:space="preserve"> i</w:t>
      </w:r>
      <w:r w:rsidR="00FD0C71">
        <w:rPr>
          <w:noProof/>
        </w:rPr>
        <w:t> </w:t>
      </w:r>
      <w:r w:rsidR="00FD0C71" w:rsidRPr="006E5269">
        <w:rPr>
          <w:noProof/>
        </w:rPr>
        <w:t>zos</w:t>
      </w:r>
      <w:r w:rsidRPr="006E5269">
        <w:rPr>
          <w:noProof/>
        </w:rPr>
        <w:t>tały przeznaczone na pomoc dla ponad 1,9 mln dzieci.</w:t>
      </w:r>
    </w:p>
    <w:p w:rsidR="00595C83" w:rsidRPr="006E5269" w:rsidRDefault="00595C83" w:rsidP="00595C83">
      <w:pPr>
        <w:spacing w:before="240"/>
        <w:jc w:val="both"/>
        <w:rPr>
          <w:b/>
          <w:noProof/>
          <w:color w:val="0070C0"/>
        </w:rPr>
      </w:pPr>
      <w:r w:rsidRPr="006E5269">
        <w:rPr>
          <w:b/>
          <w:noProof/>
          <w:color w:val="0070C0"/>
        </w:rPr>
        <w:t>Gotowość na wypadek klęsk żywiołowych</w:t>
      </w:r>
    </w:p>
    <w:p w:rsidR="003205DD" w:rsidRPr="006E5269" w:rsidRDefault="00595C83" w:rsidP="003057BC">
      <w:pPr>
        <w:spacing w:before="240"/>
        <w:jc w:val="both"/>
        <w:rPr>
          <w:noProof/>
        </w:rPr>
      </w:pPr>
      <w:r w:rsidRPr="006E5269">
        <w:rPr>
          <w:noProof/>
        </w:rPr>
        <w:t>W 20</w:t>
      </w:r>
      <w:r w:rsidRPr="00FD0C71">
        <w:rPr>
          <w:noProof/>
        </w:rPr>
        <w:t>20</w:t>
      </w:r>
      <w:r w:rsidR="00FD0C71" w:rsidRPr="00FD0C71">
        <w:rPr>
          <w:noProof/>
        </w:rPr>
        <w:t> </w:t>
      </w:r>
      <w:r w:rsidRPr="00FD0C71">
        <w:rPr>
          <w:noProof/>
        </w:rPr>
        <w:t>r.</w:t>
      </w:r>
      <w:r w:rsidRPr="006E5269">
        <w:rPr>
          <w:noProof/>
        </w:rPr>
        <w:t xml:space="preserve"> Komisja</w:t>
      </w:r>
      <w:r w:rsidR="00FD0C71" w:rsidRPr="006E5269">
        <w:rPr>
          <w:noProof/>
        </w:rPr>
        <w:t xml:space="preserve"> w</w:t>
      </w:r>
      <w:r w:rsidR="00FD0C71">
        <w:rPr>
          <w:noProof/>
        </w:rPr>
        <w:t> </w:t>
      </w:r>
      <w:r w:rsidR="00FD0C71" w:rsidRPr="006E5269">
        <w:rPr>
          <w:noProof/>
        </w:rPr>
        <w:t>dal</w:t>
      </w:r>
      <w:r w:rsidRPr="006E5269">
        <w:rPr>
          <w:noProof/>
        </w:rPr>
        <w:t>szym ciągu zwiększała gotowość na wypadek klęsk żywiołowych</w:t>
      </w:r>
      <w:r w:rsidR="00FD0C71" w:rsidRPr="006E5269">
        <w:rPr>
          <w:noProof/>
        </w:rPr>
        <w:t xml:space="preserve"> i</w:t>
      </w:r>
      <w:r w:rsidR="00FD0C71">
        <w:rPr>
          <w:noProof/>
        </w:rPr>
        <w:t> </w:t>
      </w:r>
      <w:r w:rsidR="00FD0C71" w:rsidRPr="006E5269">
        <w:rPr>
          <w:noProof/>
        </w:rPr>
        <w:t>udo</w:t>
      </w:r>
      <w:r w:rsidRPr="006E5269">
        <w:rPr>
          <w:noProof/>
        </w:rPr>
        <w:t xml:space="preserve">skonalała wczesne działania poprzez przeznaczenie 50 mln EUR na konkretnie ukierunkowane działania zapewniające pomoc </w:t>
      </w:r>
      <w:r w:rsidRPr="00FD0C71">
        <w:rPr>
          <w:noProof/>
        </w:rPr>
        <w:t>dla</w:t>
      </w:r>
      <w:r w:rsidR="00FD0C71" w:rsidRPr="00FD0C71">
        <w:rPr>
          <w:noProof/>
        </w:rPr>
        <w:t> </w:t>
      </w:r>
      <w:r w:rsidRPr="00FD0C71">
        <w:rPr>
          <w:noProof/>
        </w:rPr>
        <w:t>3</w:t>
      </w:r>
      <w:r w:rsidRPr="006E5269">
        <w:rPr>
          <w:noProof/>
        </w:rPr>
        <w:t>5 mln ludzi żyjących</w:t>
      </w:r>
      <w:r w:rsidR="00FD0C71" w:rsidRPr="006E5269">
        <w:rPr>
          <w:noProof/>
        </w:rPr>
        <w:t xml:space="preserve"> w</w:t>
      </w:r>
      <w:r w:rsidR="00FD0C71">
        <w:rPr>
          <w:noProof/>
        </w:rPr>
        <w:t> </w:t>
      </w:r>
      <w:r w:rsidR="00FD0C71" w:rsidRPr="006E5269">
        <w:rPr>
          <w:noProof/>
        </w:rPr>
        <w:t>reg</w:t>
      </w:r>
      <w:r w:rsidRPr="006E5269">
        <w:rPr>
          <w:noProof/>
        </w:rPr>
        <w:t xml:space="preserve">ionach podatnych na klęski żywiołowe. </w:t>
      </w:r>
    </w:p>
    <w:p w:rsidR="003205DD" w:rsidRPr="006E5269" w:rsidRDefault="00FB3526" w:rsidP="003057BC">
      <w:pPr>
        <w:spacing w:before="240"/>
        <w:jc w:val="both"/>
        <w:rPr>
          <w:noProof/>
        </w:rPr>
      </w:pPr>
      <w:r w:rsidRPr="006E5269">
        <w:rPr>
          <w:noProof/>
        </w:rPr>
        <w:t>Gotowość na wypadek klęsk żywiołowych jest włączona</w:t>
      </w:r>
      <w:r w:rsidR="00FD0C71" w:rsidRPr="006E5269">
        <w:rPr>
          <w:noProof/>
        </w:rPr>
        <w:t xml:space="preserve"> w</w:t>
      </w:r>
      <w:r w:rsidR="00FD0C71">
        <w:rPr>
          <w:noProof/>
        </w:rPr>
        <w:t> </w:t>
      </w:r>
      <w:r w:rsidR="00FD0C71" w:rsidRPr="006E5269">
        <w:rPr>
          <w:noProof/>
        </w:rPr>
        <w:t>głó</w:t>
      </w:r>
      <w:r w:rsidRPr="006E5269">
        <w:rPr>
          <w:noProof/>
        </w:rPr>
        <w:t>wny nurt pomocy humanitarnej,</w:t>
      </w:r>
      <w:r w:rsidR="00FD0C71" w:rsidRPr="006E5269">
        <w:rPr>
          <w:noProof/>
        </w:rPr>
        <w:t xml:space="preserve"> a</w:t>
      </w:r>
      <w:r w:rsidR="00FD0C71">
        <w:rPr>
          <w:noProof/>
        </w:rPr>
        <w:t> </w:t>
      </w:r>
      <w:r w:rsidR="00FD0C71" w:rsidRPr="006E5269">
        <w:rPr>
          <w:noProof/>
        </w:rPr>
        <w:t>dzi</w:t>
      </w:r>
      <w:r w:rsidRPr="006E5269">
        <w:rPr>
          <w:noProof/>
        </w:rPr>
        <w:t>ałania</w:t>
      </w:r>
      <w:r w:rsidR="00FD0C71" w:rsidRPr="006E5269">
        <w:rPr>
          <w:noProof/>
        </w:rPr>
        <w:t xml:space="preserve"> w</w:t>
      </w:r>
      <w:r w:rsidR="00FD0C71">
        <w:rPr>
          <w:noProof/>
        </w:rPr>
        <w:t> </w:t>
      </w:r>
      <w:r w:rsidR="00FD0C71" w:rsidRPr="006E5269">
        <w:rPr>
          <w:noProof/>
        </w:rPr>
        <w:t>zak</w:t>
      </w:r>
      <w:r w:rsidRPr="006E5269">
        <w:rPr>
          <w:noProof/>
        </w:rPr>
        <w:t>resie gotowości na wypadek klęsk żywiołowych prowadzono</w:t>
      </w:r>
      <w:r w:rsidR="00FD0C71" w:rsidRPr="006E5269">
        <w:rPr>
          <w:noProof/>
        </w:rPr>
        <w:t xml:space="preserve"> w</w:t>
      </w:r>
      <w:r w:rsidR="00FD0C71">
        <w:rPr>
          <w:noProof/>
        </w:rPr>
        <w:t> </w:t>
      </w:r>
      <w:r w:rsidR="00FD0C71" w:rsidRPr="006E5269">
        <w:rPr>
          <w:noProof/>
        </w:rPr>
        <w:t>prz</w:t>
      </w:r>
      <w:r w:rsidRPr="006E5269">
        <w:rPr>
          <w:noProof/>
        </w:rPr>
        <w:t>ypadku 4</w:t>
      </w:r>
      <w:r w:rsidRPr="00FD0C71">
        <w:rPr>
          <w:noProof/>
        </w:rPr>
        <w:t>6</w:t>
      </w:r>
      <w:r w:rsidR="00FD0C71" w:rsidRPr="00FD0C71">
        <w:rPr>
          <w:noProof/>
        </w:rPr>
        <w:t> </w:t>
      </w:r>
      <w:r w:rsidRPr="00FD0C71">
        <w:rPr>
          <w:noProof/>
        </w:rPr>
        <w:t>%</w:t>
      </w:r>
      <w:r w:rsidRPr="006E5269">
        <w:rPr>
          <w:noProof/>
        </w:rPr>
        <w:t xml:space="preserve"> wszystkich unijnych projektów humanitarnych finansowanych</w:t>
      </w:r>
      <w:r w:rsidR="00FD0C71" w:rsidRPr="006E5269">
        <w:rPr>
          <w:noProof/>
        </w:rPr>
        <w:t xml:space="preserve"> w</w:t>
      </w:r>
      <w:r w:rsidR="00FD0C71">
        <w:rPr>
          <w:noProof/>
        </w:rPr>
        <w:t> </w:t>
      </w:r>
      <w:r w:rsidR="00FD0C71" w:rsidRPr="006E5269">
        <w:rPr>
          <w:noProof/>
        </w:rPr>
        <w:t>2</w:t>
      </w:r>
      <w:r w:rsidRPr="006E5269">
        <w:rPr>
          <w:noProof/>
        </w:rPr>
        <w:t>0</w:t>
      </w:r>
      <w:r w:rsidRPr="00FD0C71">
        <w:rPr>
          <w:noProof/>
        </w:rPr>
        <w:t>20</w:t>
      </w:r>
      <w:r w:rsidR="00FD0C71" w:rsidRPr="00FD0C71">
        <w:rPr>
          <w:noProof/>
        </w:rPr>
        <w:t> </w:t>
      </w:r>
      <w:r w:rsidRPr="00FD0C71">
        <w:rPr>
          <w:noProof/>
        </w:rPr>
        <w:t>r.</w:t>
      </w:r>
      <w:r w:rsidRPr="006E5269">
        <w:rPr>
          <w:noProof/>
        </w:rPr>
        <w:t xml:space="preserve"> (i 6</w:t>
      </w:r>
      <w:r w:rsidRPr="00FD0C71">
        <w:rPr>
          <w:noProof/>
        </w:rPr>
        <w:t>5</w:t>
      </w:r>
      <w:r w:rsidR="00FD0C71" w:rsidRPr="00FD0C71">
        <w:rPr>
          <w:noProof/>
        </w:rPr>
        <w:t> </w:t>
      </w:r>
      <w:r w:rsidRPr="00FD0C71">
        <w:rPr>
          <w:noProof/>
        </w:rPr>
        <w:t>%</w:t>
      </w:r>
      <w:r w:rsidR="00FD0C71" w:rsidRPr="006E5269">
        <w:rPr>
          <w:noProof/>
        </w:rPr>
        <w:t xml:space="preserve"> w</w:t>
      </w:r>
      <w:r w:rsidR="00FD0C71">
        <w:rPr>
          <w:noProof/>
        </w:rPr>
        <w:t> </w:t>
      </w:r>
      <w:r w:rsidR="00FD0C71" w:rsidRPr="006E5269">
        <w:rPr>
          <w:noProof/>
        </w:rPr>
        <w:t>okr</w:t>
      </w:r>
      <w:r w:rsidRPr="006E5269">
        <w:rPr>
          <w:noProof/>
        </w:rPr>
        <w:t>esie ostatnich pięciu lat). Wiąże się to również</w:t>
      </w:r>
      <w:r w:rsidR="00FD0C71" w:rsidRPr="006E5269">
        <w:rPr>
          <w:noProof/>
        </w:rPr>
        <w:t xml:space="preserve"> z</w:t>
      </w:r>
      <w:r w:rsidR="00FD0C71">
        <w:rPr>
          <w:noProof/>
        </w:rPr>
        <w:t> </w:t>
      </w:r>
      <w:r w:rsidR="00FD0C71" w:rsidRPr="006E5269">
        <w:rPr>
          <w:noProof/>
        </w:rPr>
        <w:t>dzi</w:t>
      </w:r>
      <w:r w:rsidRPr="006E5269">
        <w:rPr>
          <w:noProof/>
        </w:rPr>
        <w:t>ałaniami służącymi zwiększeniu odporności na zmianę klimatu,</w:t>
      </w:r>
      <w:r w:rsidR="00FD0C71" w:rsidRPr="006E5269">
        <w:rPr>
          <w:noProof/>
        </w:rPr>
        <w:t xml:space="preserve"> w</w:t>
      </w:r>
      <w:r w:rsidR="00FD0C71">
        <w:rPr>
          <w:noProof/>
        </w:rPr>
        <w:t> </w:t>
      </w:r>
      <w:r w:rsidR="00FD0C71" w:rsidRPr="006E5269">
        <w:rPr>
          <w:noProof/>
        </w:rPr>
        <w:t>zwi</w:t>
      </w:r>
      <w:r w:rsidRPr="006E5269">
        <w:rPr>
          <w:noProof/>
        </w:rPr>
        <w:t>ązku</w:t>
      </w:r>
      <w:r w:rsidR="00FD0C71" w:rsidRPr="006E5269">
        <w:rPr>
          <w:noProof/>
        </w:rPr>
        <w:t xml:space="preserve"> z</w:t>
      </w:r>
      <w:r w:rsidR="00FD0C71">
        <w:rPr>
          <w:noProof/>
        </w:rPr>
        <w:t> </w:t>
      </w:r>
      <w:r w:rsidR="00FD0C71" w:rsidRPr="006E5269">
        <w:rPr>
          <w:noProof/>
        </w:rPr>
        <w:t>tym</w:t>
      </w:r>
      <w:r w:rsidRPr="006E5269">
        <w:rPr>
          <w:noProof/>
        </w:rPr>
        <w:t>, że wiele państw dotkniętych kryzysem humanitarnym znajduje się jednocześnie</w:t>
      </w:r>
      <w:r w:rsidR="00FD0C71" w:rsidRPr="006E5269">
        <w:rPr>
          <w:noProof/>
        </w:rPr>
        <w:t xml:space="preserve"> w</w:t>
      </w:r>
      <w:r w:rsidR="00FD0C71">
        <w:rPr>
          <w:noProof/>
        </w:rPr>
        <w:t> </w:t>
      </w:r>
      <w:r w:rsidR="00FD0C71" w:rsidRPr="006E5269">
        <w:rPr>
          <w:noProof/>
        </w:rPr>
        <w:t>gro</w:t>
      </w:r>
      <w:r w:rsidRPr="006E5269">
        <w:rPr>
          <w:noProof/>
        </w:rPr>
        <w:t>nie państw najbardziej narażonych na skutki zmiany klimatu na świecie. Komisja czynnie działa na rzecz promowania synergii między działaniami, które podejmuje</w:t>
      </w:r>
      <w:r w:rsidR="00FD0C71" w:rsidRPr="006E5269">
        <w:rPr>
          <w:noProof/>
        </w:rPr>
        <w:t xml:space="preserve"> w</w:t>
      </w:r>
      <w:r w:rsidR="00FD0C71">
        <w:rPr>
          <w:noProof/>
        </w:rPr>
        <w:t> </w:t>
      </w:r>
      <w:r w:rsidR="00FD0C71" w:rsidRPr="006E5269">
        <w:rPr>
          <w:noProof/>
        </w:rPr>
        <w:t>zwi</w:t>
      </w:r>
      <w:r w:rsidRPr="006E5269">
        <w:rPr>
          <w:noProof/>
        </w:rPr>
        <w:t>ązku</w:t>
      </w:r>
      <w:r w:rsidR="00FD0C71" w:rsidRPr="006E5269">
        <w:rPr>
          <w:noProof/>
        </w:rPr>
        <w:t xml:space="preserve"> z</w:t>
      </w:r>
      <w:r w:rsidR="00FD0C71">
        <w:rPr>
          <w:noProof/>
        </w:rPr>
        <w:t> </w:t>
      </w:r>
      <w:r w:rsidR="00FD0C71" w:rsidRPr="006E5269">
        <w:rPr>
          <w:noProof/>
        </w:rPr>
        <w:t>ram</w:t>
      </w:r>
      <w:r w:rsidRPr="006E5269">
        <w:rPr>
          <w:noProof/>
        </w:rPr>
        <w:t>ami</w:t>
      </w:r>
      <w:r w:rsidR="00FD0C71" w:rsidRPr="006E5269">
        <w:rPr>
          <w:noProof/>
        </w:rPr>
        <w:t xml:space="preserve"> z</w:t>
      </w:r>
      <w:r w:rsidR="00FD0C71">
        <w:rPr>
          <w:noProof/>
        </w:rPr>
        <w:t> </w:t>
      </w:r>
      <w:r w:rsidR="00FD0C71" w:rsidRPr="006E5269">
        <w:rPr>
          <w:noProof/>
        </w:rPr>
        <w:t>Sen</w:t>
      </w:r>
      <w:r w:rsidRPr="006E5269">
        <w:rPr>
          <w:noProof/>
        </w:rPr>
        <w:t>dai dotyczącymi ograniczania ryzyka klęsk żywiołowych</w:t>
      </w:r>
      <w:r w:rsidR="00FD0C71" w:rsidRPr="006E5269">
        <w:rPr>
          <w:noProof/>
        </w:rPr>
        <w:t xml:space="preserve"> w</w:t>
      </w:r>
      <w:r w:rsidR="00FD0C71">
        <w:rPr>
          <w:noProof/>
        </w:rPr>
        <w:t> </w:t>
      </w:r>
      <w:r w:rsidR="00FD0C71" w:rsidRPr="006E5269">
        <w:rPr>
          <w:noProof/>
        </w:rPr>
        <w:t>lat</w:t>
      </w:r>
      <w:r w:rsidRPr="006E5269">
        <w:rPr>
          <w:noProof/>
        </w:rPr>
        <w:t>ach 2015–2030</w:t>
      </w:r>
      <w:r w:rsidR="00FD0C71" w:rsidRPr="006E5269">
        <w:rPr>
          <w:noProof/>
        </w:rPr>
        <w:t xml:space="preserve"> i</w:t>
      </w:r>
      <w:r w:rsidR="00FD0C71">
        <w:rPr>
          <w:noProof/>
        </w:rPr>
        <w:t> </w:t>
      </w:r>
      <w:r w:rsidR="00FD0C71" w:rsidRPr="006E5269">
        <w:rPr>
          <w:noProof/>
        </w:rPr>
        <w:t>por</w:t>
      </w:r>
      <w:r w:rsidRPr="006E5269">
        <w:rPr>
          <w:noProof/>
        </w:rPr>
        <w:t>ozumieniem paryskim.</w:t>
      </w:r>
    </w:p>
    <w:p w:rsidR="00595C83" w:rsidRPr="006E5269" w:rsidRDefault="003205DD" w:rsidP="003057BC">
      <w:pPr>
        <w:spacing w:before="240"/>
        <w:jc w:val="both"/>
        <w:rPr>
          <w:noProof/>
        </w:rPr>
      </w:pPr>
      <w:r w:rsidRPr="006E5269">
        <w:rPr>
          <w:noProof/>
        </w:rPr>
        <w:t>W ramach powiązanych wysiłków służących ograniczeniu utrwalonych przyczyn klęsk Komisja przyjęła również etapowe podejście</w:t>
      </w:r>
      <w:r w:rsidR="00FD0C71" w:rsidRPr="006E5269">
        <w:rPr>
          <w:noProof/>
        </w:rPr>
        <w:t xml:space="preserve"> w</w:t>
      </w:r>
      <w:r w:rsidR="00FD0C71">
        <w:rPr>
          <w:noProof/>
        </w:rPr>
        <w:t> </w:t>
      </w:r>
      <w:r w:rsidR="00FD0C71" w:rsidRPr="006E5269">
        <w:rPr>
          <w:noProof/>
        </w:rPr>
        <w:t>zak</w:t>
      </w:r>
      <w:r w:rsidRPr="006E5269">
        <w:rPr>
          <w:noProof/>
        </w:rPr>
        <w:t>resie ograniczenia śladu środowiskowego, który pozostawia, udzielając pomocy humanitarnej.</w:t>
      </w:r>
    </w:p>
    <w:p w:rsidR="002F1A0D" w:rsidRPr="006E5269" w:rsidRDefault="002F1A0D" w:rsidP="003057BC">
      <w:pPr>
        <w:spacing w:before="240"/>
        <w:jc w:val="both"/>
        <w:rPr>
          <w:b/>
          <w:noProof/>
          <w:color w:val="0070C0"/>
        </w:rPr>
      </w:pPr>
      <w:r w:rsidRPr="006E5269">
        <w:rPr>
          <w:b/>
          <w:noProof/>
          <w:color w:val="0070C0"/>
        </w:rPr>
        <w:t>Pomoc pieniężna</w:t>
      </w:r>
    </w:p>
    <w:p w:rsidR="00262497" w:rsidRPr="006E5269" w:rsidRDefault="006D208E" w:rsidP="003057BC">
      <w:pPr>
        <w:spacing w:before="240" w:after="240"/>
        <w:jc w:val="both"/>
        <w:rPr>
          <w:noProof/>
        </w:rPr>
      </w:pPr>
      <w:r w:rsidRPr="006E5269">
        <w:rPr>
          <w:noProof/>
        </w:rPr>
        <w:t>Zgodnie</w:t>
      </w:r>
      <w:r w:rsidR="00FD0C71" w:rsidRPr="006E5269">
        <w:rPr>
          <w:noProof/>
        </w:rPr>
        <w:t xml:space="preserve"> z</w:t>
      </w:r>
      <w:r w:rsidR="00FD0C71">
        <w:rPr>
          <w:noProof/>
        </w:rPr>
        <w:t> </w:t>
      </w:r>
      <w:r w:rsidR="00FD0C71" w:rsidRPr="006E5269">
        <w:rPr>
          <w:noProof/>
        </w:rPr>
        <w:t>kon</w:t>
      </w:r>
      <w:r w:rsidRPr="006E5269">
        <w:rPr>
          <w:noProof/>
        </w:rPr>
        <w:t>kluzjami Rady</w:t>
      </w:r>
      <w:r w:rsidR="00FD0C71" w:rsidRPr="006E5269">
        <w:rPr>
          <w:noProof/>
        </w:rPr>
        <w:t xml:space="preserve"> w</w:t>
      </w:r>
      <w:r w:rsidR="00FD0C71">
        <w:rPr>
          <w:noProof/>
        </w:rPr>
        <w:t> </w:t>
      </w:r>
      <w:r w:rsidR="00FD0C71" w:rsidRPr="006E5269">
        <w:rPr>
          <w:noProof/>
        </w:rPr>
        <w:t>spr</w:t>
      </w:r>
      <w:r w:rsidRPr="006E5269">
        <w:rPr>
          <w:noProof/>
        </w:rPr>
        <w:t>awie pomocy gotówkowej na różne cele</w:t>
      </w:r>
      <w:r w:rsidRPr="006E5269">
        <w:rPr>
          <w:rStyle w:val="FootnoteReference"/>
          <w:noProof/>
        </w:rPr>
        <w:footnoteReference w:id="16"/>
      </w:r>
      <w:r w:rsidR="00FD0C71" w:rsidRPr="006E5269">
        <w:rPr>
          <w:noProof/>
        </w:rPr>
        <w:t xml:space="preserve"> i</w:t>
      </w:r>
      <w:r w:rsidR="00FD0C71">
        <w:rPr>
          <w:noProof/>
        </w:rPr>
        <w:t> </w:t>
      </w:r>
      <w:r w:rsidR="00FD0C71" w:rsidRPr="006E5269">
        <w:rPr>
          <w:noProof/>
        </w:rPr>
        <w:t>zob</w:t>
      </w:r>
      <w:r w:rsidRPr="006E5269">
        <w:rPr>
          <w:noProof/>
        </w:rPr>
        <w:t>owiązaniami podjętymi</w:t>
      </w:r>
      <w:r w:rsidR="00FD0C71" w:rsidRPr="006E5269">
        <w:rPr>
          <w:noProof/>
        </w:rPr>
        <w:t xml:space="preserve"> w</w:t>
      </w:r>
      <w:r w:rsidR="00FD0C71">
        <w:rPr>
          <w:noProof/>
        </w:rPr>
        <w:t> </w:t>
      </w:r>
      <w:r w:rsidR="00FD0C71" w:rsidRPr="006E5269">
        <w:rPr>
          <w:noProof/>
        </w:rPr>
        <w:t>ram</w:t>
      </w:r>
      <w:r w:rsidRPr="006E5269">
        <w:rPr>
          <w:noProof/>
        </w:rPr>
        <w:t>ach tzw. wielkiego układ Komisja zachęcała do korzystania</w:t>
      </w:r>
      <w:r w:rsidR="00FD0C71" w:rsidRPr="006E5269">
        <w:rPr>
          <w:noProof/>
        </w:rPr>
        <w:t xml:space="preserve"> z</w:t>
      </w:r>
      <w:r w:rsidR="00FD0C71">
        <w:rPr>
          <w:noProof/>
        </w:rPr>
        <w:t> </w:t>
      </w:r>
      <w:r w:rsidR="00FD0C71" w:rsidRPr="006E5269">
        <w:rPr>
          <w:noProof/>
        </w:rPr>
        <w:t>tra</w:t>
      </w:r>
      <w:r w:rsidRPr="006E5269">
        <w:rPr>
          <w:noProof/>
        </w:rPr>
        <w:t>nsferów środków pieniężnych, dzięki którym osoby potrzebujące zyskują większy wybór, większą elastyczność</w:t>
      </w:r>
      <w:r w:rsidR="00FD0C71" w:rsidRPr="006E5269">
        <w:rPr>
          <w:noProof/>
        </w:rPr>
        <w:t xml:space="preserve"> i</w:t>
      </w:r>
      <w:r w:rsidR="00FD0C71">
        <w:rPr>
          <w:noProof/>
        </w:rPr>
        <w:t> </w:t>
      </w:r>
      <w:r w:rsidR="00FD0C71" w:rsidRPr="006E5269">
        <w:rPr>
          <w:noProof/>
        </w:rPr>
        <w:t>wię</w:t>
      </w:r>
      <w:r w:rsidRPr="006E5269">
        <w:rPr>
          <w:noProof/>
        </w:rPr>
        <w:t xml:space="preserve">kszą kontrolę nad swoim życiem. </w:t>
      </w:r>
    </w:p>
    <w:p w:rsidR="00E535EB" w:rsidRPr="006E5269" w:rsidRDefault="00B35CC1" w:rsidP="003057BC">
      <w:pPr>
        <w:spacing w:before="240" w:after="240"/>
        <w:jc w:val="both"/>
        <w:rPr>
          <w:noProof/>
        </w:rPr>
      </w:pPr>
      <w:r w:rsidRPr="006E5269">
        <w:rPr>
          <w:noProof/>
        </w:rPr>
        <w:t>Aby zwiększyć przejrzystość</w:t>
      </w:r>
      <w:r w:rsidR="00FD0C71" w:rsidRPr="006E5269">
        <w:rPr>
          <w:noProof/>
        </w:rPr>
        <w:t xml:space="preserve"> i</w:t>
      </w:r>
      <w:r w:rsidR="00FD0C71">
        <w:rPr>
          <w:noProof/>
        </w:rPr>
        <w:t> </w:t>
      </w:r>
      <w:r w:rsidR="00FD0C71" w:rsidRPr="006E5269">
        <w:rPr>
          <w:noProof/>
        </w:rPr>
        <w:t>roz</w:t>
      </w:r>
      <w:r w:rsidRPr="006E5269">
        <w:rPr>
          <w:noProof/>
        </w:rPr>
        <w:t>liczalność, Komisja zastosowała swoje wytyczne dotyczące zapewnienia dużych transferów środków pieniężnych</w:t>
      </w:r>
      <w:r w:rsidRPr="006E5269">
        <w:rPr>
          <w:rStyle w:val="FootnoteReference"/>
          <w:noProof/>
        </w:rPr>
        <w:footnoteReference w:id="17"/>
      </w:r>
      <w:r w:rsidRPr="006E5269">
        <w:rPr>
          <w:noProof/>
        </w:rPr>
        <w:t xml:space="preserve"> (podlegające przeglądowi</w:t>
      </w:r>
      <w:r w:rsidR="00FD0C71" w:rsidRPr="006E5269">
        <w:rPr>
          <w:noProof/>
        </w:rPr>
        <w:t xml:space="preserve"> w</w:t>
      </w:r>
      <w:r w:rsidR="00FD0C71">
        <w:rPr>
          <w:noProof/>
        </w:rPr>
        <w:t> </w:t>
      </w:r>
      <w:r w:rsidR="00FD0C71" w:rsidRPr="006E5269">
        <w:rPr>
          <w:noProof/>
        </w:rPr>
        <w:t>2</w:t>
      </w:r>
      <w:r w:rsidRPr="006E5269">
        <w:rPr>
          <w:noProof/>
        </w:rPr>
        <w:t>0</w:t>
      </w:r>
      <w:r w:rsidRPr="00FD0C71">
        <w:rPr>
          <w:noProof/>
        </w:rPr>
        <w:t>20</w:t>
      </w:r>
      <w:r w:rsidR="00FD0C71" w:rsidRPr="00FD0C71">
        <w:rPr>
          <w:noProof/>
        </w:rPr>
        <w:t> </w:t>
      </w:r>
      <w:r w:rsidRPr="00FD0C71">
        <w:rPr>
          <w:noProof/>
        </w:rPr>
        <w:t>r.</w:t>
      </w:r>
      <w:r w:rsidRPr="006E5269">
        <w:rPr>
          <w:noProof/>
        </w:rPr>
        <w:t>)</w:t>
      </w:r>
      <w:r w:rsidR="00FD0C71" w:rsidRPr="006E5269">
        <w:rPr>
          <w:noProof/>
        </w:rPr>
        <w:t>. W</w:t>
      </w:r>
      <w:r w:rsidR="00FD0C71">
        <w:rPr>
          <w:noProof/>
        </w:rPr>
        <w:t> </w:t>
      </w:r>
      <w:r w:rsidR="00FD0C71" w:rsidRPr="006E5269">
        <w:rPr>
          <w:noProof/>
        </w:rPr>
        <w:t>ten</w:t>
      </w:r>
      <w:r w:rsidRPr="006E5269">
        <w:rPr>
          <w:noProof/>
        </w:rPr>
        <w:t xml:space="preserve"> sposób</w:t>
      </w:r>
      <w:r w:rsidR="00FD0C71" w:rsidRPr="006E5269">
        <w:rPr>
          <w:noProof/>
        </w:rPr>
        <w:t xml:space="preserve"> w</w:t>
      </w:r>
      <w:r w:rsidR="00FD0C71">
        <w:rPr>
          <w:noProof/>
        </w:rPr>
        <w:t> </w:t>
      </w:r>
      <w:r w:rsidR="00FD0C71" w:rsidRPr="006E5269">
        <w:rPr>
          <w:noProof/>
        </w:rPr>
        <w:t>peł</w:t>
      </w:r>
      <w:r w:rsidRPr="006E5269">
        <w:rPr>
          <w:noProof/>
        </w:rPr>
        <w:t>ni uwzględniła każdy konkretny kontekst. Pod koniec 20</w:t>
      </w:r>
      <w:r w:rsidRPr="00FD0C71">
        <w:rPr>
          <w:noProof/>
        </w:rPr>
        <w:t>20</w:t>
      </w:r>
      <w:r w:rsidR="00FD0C71" w:rsidRPr="00FD0C71">
        <w:rPr>
          <w:noProof/>
        </w:rPr>
        <w:t> </w:t>
      </w:r>
      <w:r w:rsidRPr="00FD0C71">
        <w:rPr>
          <w:noProof/>
        </w:rPr>
        <w:t>r.</w:t>
      </w:r>
      <w:r w:rsidRPr="006E5269">
        <w:rPr>
          <w:noProof/>
        </w:rPr>
        <w:t xml:space="preserve"> Komisja rozpoczęła również przegląd polityki</w:t>
      </w:r>
      <w:r w:rsidR="00FD0C71" w:rsidRPr="006E5269">
        <w:rPr>
          <w:noProof/>
        </w:rPr>
        <w:t xml:space="preserve"> w</w:t>
      </w:r>
      <w:r w:rsidR="00FD0C71">
        <w:rPr>
          <w:noProof/>
        </w:rPr>
        <w:t> </w:t>
      </w:r>
      <w:r w:rsidR="00FD0C71" w:rsidRPr="006E5269">
        <w:rPr>
          <w:noProof/>
        </w:rPr>
        <w:t>zak</w:t>
      </w:r>
      <w:r w:rsidRPr="006E5269">
        <w:rPr>
          <w:noProof/>
        </w:rPr>
        <w:t>resie środków pieniężnych</w:t>
      </w:r>
      <w:r w:rsidR="00FD0C71" w:rsidRPr="006E5269">
        <w:rPr>
          <w:noProof/>
        </w:rPr>
        <w:t xml:space="preserve"> i</w:t>
      </w:r>
      <w:r w:rsidR="00FD0C71">
        <w:rPr>
          <w:noProof/>
        </w:rPr>
        <w:t> </w:t>
      </w:r>
      <w:r w:rsidR="00FD0C71" w:rsidRPr="006E5269">
        <w:rPr>
          <w:noProof/>
        </w:rPr>
        <w:t>bon</w:t>
      </w:r>
      <w:r w:rsidRPr="006E5269">
        <w:rPr>
          <w:noProof/>
        </w:rPr>
        <w:t>ów</w:t>
      </w:r>
      <w:r w:rsidRPr="006E5269">
        <w:rPr>
          <w:rStyle w:val="FootnoteReference"/>
          <w:noProof/>
        </w:rPr>
        <w:footnoteReference w:id="18"/>
      </w:r>
      <w:r w:rsidRPr="006E5269">
        <w:rPr>
          <w:noProof/>
        </w:rPr>
        <w:t xml:space="preserve">. </w:t>
      </w:r>
    </w:p>
    <w:p w:rsidR="006D208E" w:rsidRPr="006E5269" w:rsidRDefault="004B4CAB" w:rsidP="003057BC">
      <w:pPr>
        <w:spacing w:before="240" w:after="240"/>
        <w:jc w:val="both"/>
        <w:rPr>
          <w:noProof/>
        </w:rPr>
      </w:pPr>
      <w:r w:rsidRPr="006E5269">
        <w:rPr>
          <w:noProof/>
        </w:rPr>
        <w:t>Komisja brała czynny udział</w:t>
      </w:r>
      <w:r w:rsidR="00FD0C71" w:rsidRPr="006E5269">
        <w:rPr>
          <w:noProof/>
        </w:rPr>
        <w:t xml:space="preserve"> w</w:t>
      </w:r>
      <w:r w:rsidR="00FD0C71">
        <w:rPr>
          <w:noProof/>
        </w:rPr>
        <w:t> </w:t>
      </w:r>
      <w:r w:rsidR="00FD0C71" w:rsidRPr="006E5269">
        <w:rPr>
          <w:noProof/>
        </w:rPr>
        <w:t>For</w:t>
      </w:r>
      <w:r w:rsidRPr="006E5269">
        <w:rPr>
          <w:noProof/>
        </w:rPr>
        <w:t xml:space="preserve">um Darczyńców Pomocy Pieniężnej. </w:t>
      </w:r>
    </w:p>
    <w:p w:rsidR="002F1A0D" w:rsidRPr="006E5269" w:rsidRDefault="002F1A0D" w:rsidP="003057BC">
      <w:pPr>
        <w:spacing w:before="240"/>
        <w:jc w:val="both"/>
        <w:rPr>
          <w:b/>
          <w:noProof/>
          <w:color w:val="0070C0"/>
        </w:rPr>
      </w:pPr>
      <w:r w:rsidRPr="006E5269">
        <w:rPr>
          <w:b/>
          <w:noProof/>
          <w:color w:val="0070C0"/>
        </w:rPr>
        <w:t>Innowacje</w:t>
      </w:r>
      <w:r w:rsidR="00FD0C71" w:rsidRPr="006E5269">
        <w:rPr>
          <w:b/>
          <w:noProof/>
          <w:color w:val="0070C0"/>
        </w:rPr>
        <w:t xml:space="preserve"> i</w:t>
      </w:r>
      <w:r w:rsidR="00FD0C71">
        <w:rPr>
          <w:b/>
          <w:noProof/>
          <w:color w:val="0070C0"/>
        </w:rPr>
        <w:t> </w:t>
      </w:r>
      <w:r w:rsidR="00FD0C71" w:rsidRPr="006E5269">
        <w:rPr>
          <w:b/>
          <w:noProof/>
          <w:color w:val="0070C0"/>
        </w:rPr>
        <w:t>zaa</w:t>
      </w:r>
      <w:r w:rsidRPr="006E5269">
        <w:rPr>
          <w:b/>
          <w:noProof/>
          <w:color w:val="0070C0"/>
        </w:rPr>
        <w:t>ngażowanie sektora prywatnego</w:t>
      </w:r>
    </w:p>
    <w:p w:rsidR="00262497" w:rsidRPr="006E5269" w:rsidRDefault="001C18B8" w:rsidP="003057BC">
      <w:pPr>
        <w:spacing w:before="240" w:after="240"/>
        <w:jc w:val="both"/>
        <w:rPr>
          <w:noProof/>
        </w:rPr>
      </w:pPr>
      <w:r w:rsidRPr="006E5269">
        <w:rPr>
          <w:noProof/>
        </w:rPr>
        <w:t>Komisja wzięła udział</w:t>
      </w:r>
      <w:r w:rsidR="00FD0C71" w:rsidRPr="006E5269">
        <w:rPr>
          <w:noProof/>
        </w:rPr>
        <w:t xml:space="preserve"> w</w:t>
      </w:r>
      <w:r w:rsidR="00FD0C71">
        <w:rPr>
          <w:noProof/>
        </w:rPr>
        <w:t> </w:t>
      </w:r>
      <w:r w:rsidR="00FD0C71" w:rsidRPr="006E5269">
        <w:rPr>
          <w:noProof/>
        </w:rPr>
        <w:t>ini</w:t>
      </w:r>
      <w:r w:rsidRPr="006E5269">
        <w:rPr>
          <w:noProof/>
        </w:rPr>
        <w:t>cjatywie Światowego Forum Ekonomicznego dotyczącej inwestowania</w:t>
      </w:r>
      <w:r w:rsidR="00FD0C71" w:rsidRPr="006E5269">
        <w:rPr>
          <w:noProof/>
        </w:rPr>
        <w:t xml:space="preserve"> w</w:t>
      </w:r>
      <w:r w:rsidR="00FD0C71">
        <w:rPr>
          <w:noProof/>
        </w:rPr>
        <w:t> </w:t>
      </w:r>
      <w:r w:rsidR="00FD0C71" w:rsidRPr="006E5269">
        <w:rPr>
          <w:noProof/>
        </w:rPr>
        <w:t>odp</w:t>
      </w:r>
      <w:r w:rsidRPr="006E5269">
        <w:rPr>
          <w:noProof/>
        </w:rPr>
        <w:t>orność na kryzysy humanitarne</w:t>
      </w:r>
      <w:r w:rsidRPr="006E5269">
        <w:rPr>
          <w:rStyle w:val="FootnoteReference"/>
          <w:noProof/>
        </w:rPr>
        <w:footnoteReference w:id="19"/>
      </w:r>
      <w:r w:rsidRPr="006E5269">
        <w:rPr>
          <w:noProof/>
        </w:rPr>
        <w:t>, której celem jest zwiększenie gotowości organizacyjnej do współpracy między sektorem prywatnym</w:t>
      </w:r>
      <w:r w:rsidR="00FD0C71" w:rsidRPr="006E5269">
        <w:rPr>
          <w:noProof/>
        </w:rPr>
        <w:t xml:space="preserve"> i</w:t>
      </w:r>
      <w:r w:rsidR="00FD0C71">
        <w:rPr>
          <w:noProof/>
        </w:rPr>
        <w:t> </w:t>
      </w:r>
      <w:r w:rsidR="00FD0C71" w:rsidRPr="006E5269">
        <w:rPr>
          <w:noProof/>
        </w:rPr>
        <w:t>org</w:t>
      </w:r>
      <w:r w:rsidRPr="006E5269">
        <w:rPr>
          <w:noProof/>
        </w:rPr>
        <w:t>anizacjami humanitarnymi.</w:t>
      </w:r>
    </w:p>
    <w:p w:rsidR="00324B4E" w:rsidRPr="006E5269" w:rsidRDefault="00E55E3B" w:rsidP="003057BC">
      <w:pPr>
        <w:spacing w:before="240" w:after="240"/>
        <w:jc w:val="both"/>
        <w:rPr>
          <w:noProof/>
        </w:rPr>
      </w:pPr>
      <w:r w:rsidRPr="006E5269">
        <w:rPr>
          <w:noProof/>
        </w:rPr>
        <w:t>W ramach wysiłków służących zwiększeniu dodatkowego finansowania pomocy humanitarnej przez sektor prywatny</w:t>
      </w:r>
      <w:r w:rsidR="00FD0C71" w:rsidRPr="006E5269">
        <w:rPr>
          <w:noProof/>
        </w:rPr>
        <w:t xml:space="preserve"> w</w:t>
      </w:r>
      <w:r w:rsidR="00FD0C71">
        <w:rPr>
          <w:noProof/>
        </w:rPr>
        <w:t> </w:t>
      </w:r>
      <w:r w:rsidR="00FD0C71" w:rsidRPr="006E5269">
        <w:rPr>
          <w:noProof/>
        </w:rPr>
        <w:t>2</w:t>
      </w:r>
      <w:r w:rsidRPr="006E5269">
        <w:rPr>
          <w:noProof/>
        </w:rPr>
        <w:t>0</w:t>
      </w:r>
      <w:r w:rsidRPr="00FD0C71">
        <w:rPr>
          <w:noProof/>
        </w:rPr>
        <w:t>21</w:t>
      </w:r>
      <w:r w:rsidR="00FD0C71" w:rsidRPr="00FD0C71">
        <w:rPr>
          <w:noProof/>
        </w:rPr>
        <w:t> </w:t>
      </w:r>
      <w:r w:rsidRPr="00FD0C71">
        <w:rPr>
          <w:noProof/>
        </w:rPr>
        <w:t>r.</w:t>
      </w:r>
      <w:r w:rsidRPr="006E5269">
        <w:rPr>
          <w:noProof/>
        </w:rPr>
        <w:t xml:space="preserve"> Komisja wstępnie wprowadzi innowacyjny instrument obejmujący kapitał sektora prywatnego do swoich już istniejących ram finansowych</w:t>
      </w:r>
      <w:r w:rsidR="00FD0C71" w:rsidRPr="006E5269">
        <w:rPr>
          <w:noProof/>
        </w:rPr>
        <w:t xml:space="preserve"> i</w:t>
      </w:r>
      <w:r w:rsidR="00FD0C71">
        <w:rPr>
          <w:noProof/>
        </w:rPr>
        <w:t> </w:t>
      </w:r>
      <w:r w:rsidR="00FD0C71" w:rsidRPr="006E5269">
        <w:rPr>
          <w:noProof/>
        </w:rPr>
        <w:t>pra</w:t>
      </w:r>
      <w:r w:rsidRPr="006E5269">
        <w:rPr>
          <w:noProof/>
        </w:rPr>
        <w:t xml:space="preserve">wnych. </w:t>
      </w:r>
    </w:p>
    <w:p w:rsidR="006E3260" w:rsidRPr="006E5269" w:rsidRDefault="001C18B8" w:rsidP="003057BC">
      <w:pPr>
        <w:spacing w:before="240" w:after="240"/>
        <w:jc w:val="both"/>
        <w:rPr>
          <w:noProof/>
        </w:rPr>
      </w:pPr>
      <w:r w:rsidRPr="006E5269">
        <w:rPr>
          <w:noProof/>
        </w:rPr>
        <w:t>Komisja wsparła również nagrodę Europejskiej Rady ds. Innowacji</w:t>
      </w:r>
      <w:r w:rsidR="00FD0C71" w:rsidRPr="006E5269">
        <w:rPr>
          <w:noProof/>
        </w:rPr>
        <w:t xml:space="preserve"> w</w:t>
      </w:r>
      <w:r w:rsidR="00FD0C71">
        <w:rPr>
          <w:noProof/>
        </w:rPr>
        <w:t> </w:t>
      </w:r>
      <w:r w:rsidR="00FD0C71" w:rsidRPr="006E5269">
        <w:rPr>
          <w:noProof/>
        </w:rPr>
        <w:t>ram</w:t>
      </w:r>
      <w:r w:rsidRPr="006E5269">
        <w:rPr>
          <w:noProof/>
        </w:rPr>
        <w:t>ach programu „Horyzont 2020” „za oszczędną nowoczesną technologię na rzecz pomocy humanitarnej”</w:t>
      </w:r>
      <w:r w:rsidRPr="006E5269">
        <w:rPr>
          <w:rStyle w:val="FootnoteReference"/>
          <w:noProof/>
        </w:rPr>
        <w:footnoteReference w:id="20"/>
      </w:r>
      <w:r w:rsidRPr="006E5269">
        <w:rPr>
          <w:noProof/>
        </w:rPr>
        <w:t>, którą przyznano pięciu innowatorom</w:t>
      </w:r>
      <w:r w:rsidR="00FD0C71" w:rsidRPr="006E5269">
        <w:rPr>
          <w:noProof/>
        </w:rPr>
        <w:t xml:space="preserve"> w</w:t>
      </w:r>
      <w:r w:rsidR="00FD0C71">
        <w:rPr>
          <w:noProof/>
        </w:rPr>
        <w:t> </w:t>
      </w:r>
      <w:r w:rsidR="00FD0C71" w:rsidRPr="006E5269">
        <w:rPr>
          <w:noProof/>
        </w:rPr>
        <w:t>dzi</w:t>
      </w:r>
      <w:r w:rsidRPr="006E5269">
        <w:rPr>
          <w:noProof/>
        </w:rPr>
        <w:t>edzinie pomocy humanitarnej</w:t>
      </w:r>
      <w:r w:rsidR="00FD0C71" w:rsidRPr="006E5269">
        <w:rPr>
          <w:noProof/>
        </w:rPr>
        <w:t xml:space="preserve"> w</w:t>
      </w:r>
      <w:r w:rsidR="00FD0C71">
        <w:rPr>
          <w:noProof/>
        </w:rPr>
        <w:t> </w:t>
      </w:r>
      <w:r w:rsidR="00FD0C71" w:rsidRPr="006E5269">
        <w:rPr>
          <w:noProof/>
        </w:rPr>
        <w:t>2</w:t>
      </w:r>
      <w:r w:rsidRPr="006E5269">
        <w:rPr>
          <w:noProof/>
        </w:rPr>
        <w:t>0</w:t>
      </w:r>
      <w:r w:rsidRPr="00FD0C71">
        <w:rPr>
          <w:noProof/>
        </w:rPr>
        <w:t>20</w:t>
      </w:r>
      <w:r w:rsidR="00FD0C71" w:rsidRPr="00FD0C71">
        <w:rPr>
          <w:noProof/>
        </w:rPr>
        <w:t> </w:t>
      </w:r>
      <w:r w:rsidRPr="00FD0C71">
        <w:rPr>
          <w:noProof/>
        </w:rPr>
        <w:t>r.</w:t>
      </w:r>
      <w:r w:rsidRPr="006E5269">
        <w:rPr>
          <w:noProof/>
        </w:rPr>
        <w:t xml:space="preserve"> </w:t>
      </w:r>
    </w:p>
    <w:p w:rsidR="002F1A0D" w:rsidRPr="006E5269" w:rsidRDefault="00B87AF2" w:rsidP="003057BC">
      <w:pPr>
        <w:spacing w:before="240"/>
        <w:jc w:val="both"/>
        <w:rPr>
          <w:b/>
          <w:noProof/>
          <w:color w:val="0070C0"/>
        </w:rPr>
      </w:pPr>
      <w:r w:rsidRPr="006E5269">
        <w:rPr>
          <w:b/>
          <w:noProof/>
          <w:color w:val="0070C0"/>
        </w:rPr>
        <w:t>Płeć</w:t>
      </w:r>
      <w:r w:rsidR="00FD0C71" w:rsidRPr="006E5269">
        <w:rPr>
          <w:b/>
          <w:noProof/>
          <w:color w:val="0070C0"/>
        </w:rPr>
        <w:t xml:space="preserve"> i</w:t>
      </w:r>
      <w:r w:rsidR="00FD0C71">
        <w:rPr>
          <w:b/>
          <w:noProof/>
          <w:color w:val="0070C0"/>
        </w:rPr>
        <w:t> </w:t>
      </w:r>
      <w:r w:rsidR="00FD0C71" w:rsidRPr="006E5269">
        <w:rPr>
          <w:b/>
          <w:noProof/>
          <w:color w:val="0070C0"/>
        </w:rPr>
        <w:t>wie</w:t>
      </w:r>
      <w:r w:rsidRPr="006E5269">
        <w:rPr>
          <w:b/>
          <w:noProof/>
          <w:color w:val="0070C0"/>
        </w:rPr>
        <w:t>k,</w:t>
      </w:r>
      <w:r w:rsidR="00FD0C71" w:rsidRPr="006E5269">
        <w:rPr>
          <w:b/>
          <w:noProof/>
          <w:color w:val="0070C0"/>
        </w:rPr>
        <w:t xml:space="preserve"> w</w:t>
      </w:r>
      <w:r w:rsidR="00FD0C71">
        <w:rPr>
          <w:b/>
          <w:noProof/>
          <w:color w:val="0070C0"/>
        </w:rPr>
        <w:t> </w:t>
      </w:r>
      <w:r w:rsidR="00FD0C71" w:rsidRPr="006E5269">
        <w:rPr>
          <w:b/>
          <w:noProof/>
          <w:color w:val="0070C0"/>
        </w:rPr>
        <w:t>tym</w:t>
      </w:r>
      <w:r w:rsidRPr="006E5269">
        <w:rPr>
          <w:b/>
          <w:noProof/>
          <w:color w:val="0070C0"/>
        </w:rPr>
        <w:t xml:space="preserve"> przemoc seksualna</w:t>
      </w:r>
      <w:r w:rsidR="00FD0C71" w:rsidRPr="006E5269">
        <w:rPr>
          <w:b/>
          <w:noProof/>
          <w:color w:val="0070C0"/>
        </w:rPr>
        <w:t xml:space="preserve"> i</w:t>
      </w:r>
      <w:r w:rsidR="00FD0C71">
        <w:rPr>
          <w:b/>
          <w:noProof/>
          <w:color w:val="0070C0"/>
        </w:rPr>
        <w:t> </w:t>
      </w:r>
      <w:r w:rsidR="00FD0C71" w:rsidRPr="006E5269">
        <w:rPr>
          <w:b/>
          <w:noProof/>
          <w:color w:val="0070C0"/>
        </w:rPr>
        <w:t>prz</w:t>
      </w:r>
      <w:r w:rsidRPr="006E5269">
        <w:rPr>
          <w:b/>
          <w:noProof/>
          <w:color w:val="0070C0"/>
        </w:rPr>
        <w:t>emoc ze względu na płeć (SGBV)</w:t>
      </w:r>
    </w:p>
    <w:p w:rsidR="00656A47" w:rsidRPr="006E5269" w:rsidRDefault="001C18B8">
      <w:pPr>
        <w:spacing w:before="240"/>
        <w:jc w:val="both"/>
        <w:rPr>
          <w:noProof/>
        </w:rPr>
      </w:pPr>
      <w:r w:rsidRPr="006E5269">
        <w:rPr>
          <w:noProof/>
        </w:rPr>
        <w:t>Komisja poczyniła dalsze podstępy</w:t>
      </w:r>
      <w:r w:rsidR="00FD0C71" w:rsidRPr="006E5269">
        <w:rPr>
          <w:noProof/>
        </w:rPr>
        <w:t xml:space="preserve"> w</w:t>
      </w:r>
      <w:r w:rsidR="00FD0C71">
        <w:rPr>
          <w:noProof/>
        </w:rPr>
        <w:t> </w:t>
      </w:r>
      <w:r w:rsidR="00FD0C71" w:rsidRPr="006E5269">
        <w:rPr>
          <w:noProof/>
        </w:rPr>
        <w:t>rea</w:t>
      </w:r>
      <w:r w:rsidRPr="006E5269">
        <w:rPr>
          <w:noProof/>
        </w:rPr>
        <w:t>lizacji podejścia dotyczącego płci</w:t>
      </w:r>
      <w:r w:rsidR="00FD0C71" w:rsidRPr="006E5269">
        <w:rPr>
          <w:noProof/>
        </w:rPr>
        <w:t xml:space="preserve"> i</w:t>
      </w:r>
      <w:r w:rsidR="00FD0C71">
        <w:rPr>
          <w:noProof/>
        </w:rPr>
        <w:t> </w:t>
      </w:r>
      <w:r w:rsidR="00FD0C71" w:rsidRPr="006E5269">
        <w:rPr>
          <w:noProof/>
        </w:rPr>
        <w:t>prz</w:t>
      </w:r>
      <w:r w:rsidRPr="006E5269">
        <w:rPr>
          <w:noProof/>
        </w:rPr>
        <w:t>emocy ze względu na płeć</w:t>
      </w:r>
      <w:r w:rsidR="00FD0C71" w:rsidRPr="006E5269">
        <w:rPr>
          <w:noProof/>
        </w:rPr>
        <w:t xml:space="preserve"> w</w:t>
      </w:r>
      <w:r w:rsidR="00FD0C71">
        <w:rPr>
          <w:noProof/>
        </w:rPr>
        <w:t> </w:t>
      </w:r>
      <w:r w:rsidR="00FD0C71" w:rsidRPr="006E5269">
        <w:rPr>
          <w:noProof/>
        </w:rPr>
        <w:t>kon</w:t>
      </w:r>
      <w:r w:rsidRPr="006E5269">
        <w:rPr>
          <w:noProof/>
        </w:rPr>
        <w:t>tekście kryzysów humanitarnych, co przedstawiono</w:t>
      </w:r>
      <w:r w:rsidR="00FD0C71" w:rsidRPr="006E5269">
        <w:rPr>
          <w:noProof/>
        </w:rPr>
        <w:t xml:space="preserve"> w</w:t>
      </w:r>
      <w:r w:rsidR="00FD0C71">
        <w:rPr>
          <w:noProof/>
        </w:rPr>
        <w:t> </w:t>
      </w:r>
      <w:r w:rsidR="00FD0C71" w:rsidRPr="006E5269">
        <w:rPr>
          <w:noProof/>
        </w:rPr>
        <w:t>dok</w:t>
      </w:r>
      <w:r w:rsidRPr="006E5269">
        <w:rPr>
          <w:noProof/>
        </w:rPr>
        <w:t>umencie roboczym służb Komisji pt. „Płeć: różne potrzeby, dostosowana pomoc”</w:t>
      </w:r>
      <w:r w:rsidRPr="006E5269">
        <w:rPr>
          <w:rStyle w:val="FootnoteReference"/>
          <w:noProof/>
        </w:rPr>
        <w:footnoteReference w:id="21"/>
      </w:r>
      <w:r w:rsidR="00FD0C71" w:rsidRPr="006E5269">
        <w:rPr>
          <w:noProof/>
        </w:rPr>
        <w:t>. W</w:t>
      </w:r>
      <w:r w:rsidR="00FD0C71">
        <w:rPr>
          <w:noProof/>
        </w:rPr>
        <w:t> </w:t>
      </w:r>
      <w:r w:rsidR="00FD0C71" w:rsidRPr="006E5269">
        <w:rPr>
          <w:noProof/>
        </w:rPr>
        <w:t>zwi</w:t>
      </w:r>
      <w:r w:rsidRPr="006E5269">
        <w:rPr>
          <w:noProof/>
        </w:rPr>
        <w:t>ązku</w:t>
      </w:r>
      <w:r w:rsidR="00FD0C71" w:rsidRPr="006E5269">
        <w:rPr>
          <w:noProof/>
        </w:rPr>
        <w:t xml:space="preserve"> z</w:t>
      </w:r>
      <w:r w:rsidR="00FD0C71">
        <w:rPr>
          <w:noProof/>
        </w:rPr>
        <w:t> </w:t>
      </w:r>
      <w:r w:rsidR="00FD0C71" w:rsidRPr="006E5269">
        <w:rPr>
          <w:noProof/>
        </w:rPr>
        <w:t>pow</w:t>
      </w:r>
      <w:r w:rsidRPr="006E5269">
        <w:rPr>
          <w:noProof/>
        </w:rPr>
        <w:t>yższym Komisja kontynuowała wdrażanie swojego wskaźnika równości płci</w:t>
      </w:r>
      <w:r w:rsidR="00FD0C71" w:rsidRPr="006E5269">
        <w:rPr>
          <w:noProof/>
        </w:rPr>
        <w:t xml:space="preserve"> i</w:t>
      </w:r>
      <w:r w:rsidR="00FD0C71">
        <w:rPr>
          <w:noProof/>
        </w:rPr>
        <w:t> </w:t>
      </w:r>
      <w:r w:rsidR="00FD0C71" w:rsidRPr="006E5269">
        <w:rPr>
          <w:noProof/>
        </w:rPr>
        <w:t>wie</w:t>
      </w:r>
      <w:r w:rsidRPr="006E5269">
        <w:rPr>
          <w:noProof/>
        </w:rPr>
        <w:t>ku. Działania te są zgodne</w:t>
      </w:r>
      <w:r w:rsidR="00FD0C71" w:rsidRPr="006E5269">
        <w:rPr>
          <w:noProof/>
        </w:rPr>
        <w:t xml:space="preserve"> z</w:t>
      </w:r>
      <w:r w:rsidR="00FD0C71">
        <w:rPr>
          <w:noProof/>
        </w:rPr>
        <w:t> </w:t>
      </w:r>
      <w:r w:rsidR="00FD0C71" w:rsidRPr="006E5269">
        <w:rPr>
          <w:noProof/>
        </w:rPr>
        <w:t>uni</w:t>
      </w:r>
      <w:r w:rsidRPr="006E5269">
        <w:rPr>
          <w:noProof/>
        </w:rPr>
        <w:t>jną kompleksową polityką</w:t>
      </w:r>
      <w:r w:rsidR="00FD0C71" w:rsidRPr="006E5269">
        <w:rPr>
          <w:noProof/>
        </w:rPr>
        <w:t xml:space="preserve"> w</w:t>
      </w:r>
      <w:r w:rsidR="00FD0C71">
        <w:rPr>
          <w:noProof/>
        </w:rPr>
        <w:t> </w:t>
      </w:r>
      <w:r w:rsidR="00FD0C71" w:rsidRPr="006E5269">
        <w:rPr>
          <w:noProof/>
        </w:rPr>
        <w:t>spr</w:t>
      </w:r>
      <w:r w:rsidRPr="006E5269">
        <w:rPr>
          <w:noProof/>
        </w:rPr>
        <w:t>awie kobiet, pokoju</w:t>
      </w:r>
      <w:r w:rsidR="00FD0C71" w:rsidRPr="006E5269">
        <w:rPr>
          <w:noProof/>
        </w:rPr>
        <w:t xml:space="preserve"> i</w:t>
      </w:r>
      <w:r w:rsidR="00FD0C71">
        <w:rPr>
          <w:noProof/>
        </w:rPr>
        <w:t> </w:t>
      </w:r>
      <w:r w:rsidR="00FD0C71" w:rsidRPr="006E5269">
        <w:rPr>
          <w:noProof/>
        </w:rPr>
        <w:t>bez</w:t>
      </w:r>
      <w:r w:rsidRPr="006E5269">
        <w:rPr>
          <w:noProof/>
        </w:rPr>
        <w:t>pieczeństwa</w:t>
      </w:r>
      <w:r w:rsidRPr="006E5269">
        <w:rPr>
          <w:rStyle w:val="FootnoteReference"/>
          <w:noProof/>
        </w:rPr>
        <w:footnoteReference w:id="22"/>
      </w:r>
      <w:r w:rsidRPr="006E5269">
        <w:rPr>
          <w:noProof/>
        </w:rPr>
        <w:t xml:space="preserve"> oraz</w:t>
      </w:r>
      <w:r w:rsidR="00FD0C71" w:rsidRPr="006E5269">
        <w:rPr>
          <w:noProof/>
        </w:rPr>
        <w:t xml:space="preserve"> z</w:t>
      </w:r>
      <w:r w:rsidR="00FD0C71">
        <w:rPr>
          <w:noProof/>
        </w:rPr>
        <w:t> </w:t>
      </w:r>
      <w:r w:rsidR="00FD0C71" w:rsidRPr="006E5269">
        <w:rPr>
          <w:noProof/>
        </w:rPr>
        <w:t>dru</w:t>
      </w:r>
      <w:r w:rsidRPr="006E5269">
        <w:rPr>
          <w:noProof/>
        </w:rPr>
        <w:t>gim unijnym planem działania</w:t>
      </w:r>
      <w:r w:rsidR="00FD0C71" w:rsidRPr="006E5269">
        <w:rPr>
          <w:noProof/>
        </w:rPr>
        <w:t xml:space="preserve"> w</w:t>
      </w:r>
      <w:r w:rsidR="00FD0C71">
        <w:rPr>
          <w:noProof/>
        </w:rPr>
        <w:t> </w:t>
      </w:r>
      <w:r w:rsidR="00FD0C71" w:rsidRPr="006E5269">
        <w:rPr>
          <w:noProof/>
        </w:rPr>
        <w:t>spr</w:t>
      </w:r>
      <w:r w:rsidRPr="006E5269">
        <w:rPr>
          <w:noProof/>
        </w:rPr>
        <w:t>awie równości płci na lata 2016–2020</w:t>
      </w:r>
      <w:r w:rsidRPr="006E5269">
        <w:rPr>
          <w:rStyle w:val="FootnoteReference"/>
          <w:noProof/>
        </w:rPr>
        <w:footnoteReference w:id="23"/>
      </w:r>
      <w:r w:rsidRPr="006E5269">
        <w:rPr>
          <w:noProof/>
        </w:rPr>
        <w:t xml:space="preserve">. </w:t>
      </w:r>
    </w:p>
    <w:p w:rsidR="00B87AF2" w:rsidRPr="006E5269" w:rsidRDefault="008D2D1C" w:rsidP="003057BC">
      <w:pPr>
        <w:spacing w:before="240"/>
        <w:jc w:val="both"/>
        <w:rPr>
          <w:noProof/>
        </w:rPr>
      </w:pPr>
      <w:r w:rsidRPr="006E5269">
        <w:rPr>
          <w:noProof/>
        </w:rPr>
        <w:t>UE pozostała członkiem globalnej inicjatywy Wezwanie do działania</w:t>
      </w:r>
      <w:r w:rsidR="00FD0C71" w:rsidRPr="006E5269">
        <w:rPr>
          <w:noProof/>
        </w:rPr>
        <w:t xml:space="preserve"> w</w:t>
      </w:r>
      <w:r w:rsidR="00FD0C71">
        <w:rPr>
          <w:noProof/>
        </w:rPr>
        <w:t> </w:t>
      </w:r>
      <w:r w:rsidR="00FD0C71" w:rsidRPr="006E5269">
        <w:rPr>
          <w:noProof/>
        </w:rPr>
        <w:t>cel</w:t>
      </w:r>
      <w:r w:rsidRPr="006E5269">
        <w:rPr>
          <w:noProof/>
        </w:rPr>
        <w:t>u ochrony przed przemocą uwarunkowaną płcią</w:t>
      </w:r>
      <w:r w:rsidR="00FD0C71" w:rsidRPr="006E5269">
        <w:rPr>
          <w:noProof/>
        </w:rPr>
        <w:t xml:space="preserve"> w</w:t>
      </w:r>
      <w:r w:rsidR="00FD0C71">
        <w:rPr>
          <w:noProof/>
        </w:rPr>
        <w:t> </w:t>
      </w:r>
      <w:r w:rsidR="00FD0C71" w:rsidRPr="006E5269">
        <w:rPr>
          <w:noProof/>
        </w:rPr>
        <w:t>syt</w:t>
      </w:r>
      <w:r w:rsidRPr="006E5269">
        <w:rPr>
          <w:noProof/>
        </w:rPr>
        <w:t>uacjach nadzwyczajnych</w:t>
      </w:r>
      <w:r w:rsidRPr="006E5269">
        <w:rPr>
          <w:rStyle w:val="FootnoteReference"/>
          <w:noProof/>
        </w:rPr>
        <w:footnoteReference w:id="24"/>
      </w:r>
      <w:r w:rsidRPr="006E5269">
        <w:rPr>
          <w:noProof/>
        </w:rPr>
        <w:t>. We wrześniu 20</w:t>
      </w:r>
      <w:r w:rsidRPr="00FD0C71">
        <w:rPr>
          <w:noProof/>
        </w:rPr>
        <w:t>20</w:t>
      </w:r>
      <w:r w:rsidR="00FD0C71" w:rsidRPr="00FD0C71">
        <w:rPr>
          <w:noProof/>
        </w:rPr>
        <w:t> </w:t>
      </w:r>
      <w:r w:rsidRPr="00FD0C71">
        <w:rPr>
          <w:noProof/>
        </w:rPr>
        <w:t>r.</w:t>
      </w:r>
      <w:r w:rsidRPr="006E5269">
        <w:rPr>
          <w:noProof/>
        </w:rPr>
        <w:t xml:space="preserve"> uruchomiono nowy plan działania</w:t>
      </w:r>
      <w:r w:rsidR="00FD0C71" w:rsidRPr="006E5269">
        <w:rPr>
          <w:noProof/>
        </w:rPr>
        <w:t xml:space="preserve"> w</w:t>
      </w:r>
      <w:r w:rsidR="00FD0C71">
        <w:rPr>
          <w:noProof/>
        </w:rPr>
        <w:t> </w:t>
      </w:r>
      <w:r w:rsidR="00FD0C71" w:rsidRPr="006E5269">
        <w:rPr>
          <w:noProof/>
        </w:rPr>
        <w:t>ram</w:t>
      </w:r>
      <w:r w:rsidRPr="006E5269">
        <w:rPr>
          <w:noProof/>
        </w:rPr>
        <w:t>ach wezwania do działania</w:t>
      </w:r>
      <w:r w:rsidRPr="006E5269">
        <w:rPr>
          <w:rStyle w:val="FootnoteReference"/>
          <w:noProof/>
        </w:rPr>
        <w:footnoteReference w:id="25"/>
      </w:r>
      <w:r w:rsidRPr="006E5269">
        <w:rPr>
          <w:noProof/>
        </w:rPr>
        <w:t xml:space="preserve"> obejmujący lata 2021–2025. UE potwierdziła swoje zobowiązanie do realizacji tego planu działania.</w:t>
      </w:r>
    </w:p>
    <w:p w:rsidR="00656A47" w:rsidRPr="006E5269" w:rsidRDefault="00364172" w:rsidP="003057BC">
      <w:pPr>
        <w:spacing w:before="240"/>
        <w:jc w:val="both"/>
        <w:rPr>
          <w:noProof/>
        </w:rPr>
      </w:pPr>
      <w:r w:rsidRPr="006E5269">
        <w:rPr>
          <w:noProof/>
        </w:rPr>
        <w:t>Komisja nadal wspierała zapobieganie</w:t>
      </w:r>
      <w:r w:rsidR="00FD0C71" w:rsidRPr="006E5269">
        <w:rPr>
          <w:noProof/>
        </w:rPr>
        <w:t xml:space="preserve"> i</w:t>
      </w:r>
      <w:r w:rsidR="00FD0C71">
        <w:rPr>
          <w:noProof/>
        </w:rPr>
        <w:t> </w:t>
      </w:r>
      <w:r w:rsidR="00FD0C71" w:rsidRPr="006E5269">
        <w:rPr>
          <w:noProof/>
        </w:rPr>
        <w:t>prz</w:t>
      </w:r>
      <w:r w:rsidRPr="006E5269">
        <w:rPr>
          <w:noProof/>
        </w:rPr>
        <w:t>eciwdziałanie przemocy seksualnej</w:t>
      </w:r>
      <w:r w:rsidR="00FD0C71" w:rsidRPr="006E5269">
        <w:rPr>
          <w:noProof/>
        </w:rPr>
        <w:t xml:space="preserve"> i</w:t>
      </w:r>
      <w:r w:rsidR="00FD0C71">
        <w:rPr>
          <w:noProof/>
        </w:rPr>
        <w:t> </w:t>
      </w:r>
      <w:r w:rsidR="00FD0C71" w:rsidRPr="006E5269">
        <w:rPr>
          <w:noProof/>
        </w:rPr>
        <w:t>prz</w:t>
      </w:r>
      <w:r w:rsidRPr="006E5269">
        <w:rPr>
          <w:noProof/>
        </w:rPr>
        <w:t>emocy ze względu na płeć poprzez uwzględnianie tych kwestii</w:t>
      </w:r>
      <w:r w:rsidR="00FD0C71" w:rsidRPr="006E5269">
        <w:rPr>
          <w:noProof/>
        </w:rPr>
        <w:t xml:space="preserve"> w</w:t>
      </w:r>
      <w:r w:rsidR="00FD0C71">
        <w:rPr>
          <w:noProof/>
        </w:rPr>
        <w:t> </w:t>
      </w:r>
      <w:r w:rsidR="00FD0C71" w:rsidRPr="006E5269">
        <w:rPr>
          <w:noProof/>
        </w:rPr>
        <w:t>sze</w:t>
      </w:r>
      <w:r w:rsidRPr="006E5269">
        <w:rPr>
          <w:noProof/>
        </w:rPr>
        <w:t>rszym zakresie wszystkich prowadzonych działań humanitarnych oraz</w:t>
      </w:r>
      <w:r w:rsidR="00FD0C71" w:rsidRPr="006E5269">
        <w:rPr>
          <w:noProof/>
        </w:rPr>
        <w:t xml:space="preserve"> w</w:t>
      </w:r>
      <w:r w:rsidR="00FD0C71">
        <w:rPr>
          <w:noProof/>
        </w:rPr>
        <w:t> </w:t>
      </w:r>
      <w:r w:rsidR="00FD0C71" w:rsidRPr="006E5269">
        <w:rPr>
          <w:noProof/>
        </w:rPr>
        <w:t>ram</w:t>
      </w:r>
      <w:r w:rsidRPr="006E5269">
        <w:rPr>
          <w:noProof/>
        </w:rPr>
        <w:t>ach ukierunkowanych działań</w:t>
      </w:r>
      <w:r w:rsidR="00FD0C71" w:rsidRPr="006E5269">
        <w:rPr>
          <w:noProof/>
        </w:rPr>
        <w:t xml:space="preserve"> i</w:t>
      </w:r>
      <w:r w:rsidR="00FD0C71">
        <w:rPr>
          <w:noProof/>
        </w:rPr>
        <w:t> </w:t>
      </w:r>
      <w:r w:rsidR="00FD0C71" w:rsidRPr="006E5269">
        <w:rPr>
          <w:noProof/>
        </w:rPr>
        <w:t>bud</w:t>
      </w:r>
      <w:r w:rsidRPr="006E5269">
        <w:rPr>
          <w:noProof/>
        </w:rPr>
        <w:t>owania zdolności.</w:t>
      </w:r>
    </w:p>
    <w:p w:rsidR="00075997" w:rsidRPr="006E5269" w:rsidRDefault="00893A8D" w:rsidP="003057BC">
      <w:pPr>
        <w:spacing w:before="240"/>
        <w:jc w:val="both"/>
        <w:rPr>
          <w:noProof/>
        </w:rPr>
      </w:pPr>
      <w:r w:rsidRPr="006E5269">
        <w:rPr>
          <w:noProof/>
        </w:rPr>
        <w:t>UE nadal prowadziła działania</w:t>
      </w:r>
      <w:r w:rsidR="00FD0C71" w:rsidRPr="006E5269">
        <w:rPr>
          <w:noProof/>
        </w:rPr>
        <w:t xml:space="preserve"> w</w:t>
      </w:r>
      <w:r w:rsidR="00FD0C71">
        <w:rPr>
          <w:noProof/>
        </w:rPr>
        <w:t> </w:t>
      </w:r>
      <w:r w:rsidR="00FD0C71" w:rsidRPr="006E5269">
        <w:rPr>
          <w:noProof/>
        </w:rPr>
        <w:t>zak</w:t>
      </w:r>
      <w:r w:rsidRPr="006E5269">
        <w:rPr>
          <w:noProof/>
        </w:rPr>
        <w:t>resie ochrony dzieci</w:t>
      </w:r>
      <w:r w:rsidR="00FD0C71" w:rsidRPr="006E5269">
        <w:rPr>
          <w:noProof/>
        </w:rPr>
        <w:t xml:space="preserve"> w</w:t>
      </w:r>
      <w:r w:rsidR="00FD0C71">
        <w:rPr>
          <w:noProof/>
        </w:rPr>
        <w:t> </w:t>
      </w:r>
      <w:r w:rsidR="00FD0C71" w:rsidRPr="006E5269">
        <w:rPr>
          <w:noProof/>
        </w:rPr>
        <w:t>cza</w:t>
      </w:r>
      <w:r w:rsidRPr="006E5269">
        <w:rPr>
          <w:noProof/>
        </w:rPr>
        <w:t>sie kryzysów humanitarnych, przeznaczając pomoc humanitarną na działania</w:t>
      </w:r>
      <w:r w:rsidR="00FD0C71" w:rsidRPr="006E5269">
        <w:rPr>
          <w:noProof/>
        </w:rPr>
        <w:t xml:space="preserve"> w</w:t>
      </w:r>
      <w:r w:rsidR="00FD0C71">
        <w:rPr>
          <w:noProof/>
        </w:rPr>
        <w:t> </w:t>
      </w:r>
      <w:r w:rsidR="00FD0C71" w:rsidRPr="006E5269">
        <w:rPr>
          <w:noProof/>
        </w:rPr>
        <w:t>zak</w:t>
      </w:r>
      <w:r w:rsidRPr="006E5269">
        <w:rPr>
          <w:noProof/>
        </w:rPr>
        <w:t>resie ochrony dzieci</w:t>
      </w:r>
      <w:r w:rsidR="00FD0C71" w:rsidRPr="006E5269">
        <w:rPr>
          <w:noProof/>
        </w:rPr>
        <w:t xml:space="preserve"> w</w:t>
      </w:r>
      <w:r w:rsidR="00FD0C71">
        <w:rPr>
          <w:noProof/>
        </w:rPr>
        <w:t> </w:t>
      </w:r>
      <w:r w:rsidR="00FD0C71" w:rsidRPr="006E5269">
        <w:rPr>
          <w:noProof/>
        </w:rPr>
        <w:t>kwo</w:t>
      </w:r>
      <w:r w:rsidRPr="006E5269">
        <w:rPr>
          <w:noProof/>
        </w:rPr>
        <w:t xml:space="preserve">cie niemal 93 mln EUR. </w:t>
      </w:r>
    </w:p>
    <w:p w:rsidR="006E3260" w:rsidRPr="006E5269" w:rsidRDefault="006E3260" w:rsidP="003057BC">
      <w:pPr>
        <w:spacing w:before="240"/>
        <w:jc w:val="both"/>
        <w:rPr>
          <w:b/>
          <w:noProof/>
          <w:color w:val="0070C0"/>
        </w:rPr>
      </w:pPr>
      <w:r w:rsidRPr="006E5269">
        <w:rPr>
          <w:b/>
          <w:noProof/>
          <w:color w:val="0070C0"/>
        </w:rPr>
        <w:t>Transport lotniczy ECHO (Afryka), humanitarny most powietrzny</w:t>
      </w:r>
      <w:r w:rsidR="00FD0C71" w:rsidRPr="006E5269">
        <w:rPr>
          <w:b/>
          <w:noProof/>
          <w:color w:val="0070C0"/>
        </w:rPr>
        <w:t xml:space="preserve"> i</w:t>
      </w:r>
      <w:r w:rsidR="00FD0C71">
        <w:rPr>
          <w:b/>
          <w:noProof/>
          <w:color w:val="0070C0"/>
        </w:rPr>
        <w:t> </w:t>
      </w:r>
      <w:r w:rsidR="00FD0C71" w:rsidRPr="006E5269">
        <w:rPr>
          <w:b/>
          <w:noProof/>
          <w:color w:val="0070C0"/>
        </w:rPr>
        <w:t>inn</w:t>
      </w:r>
      <w:r w:rsidRPr="006E5269">
        <w:rPr>
          <w:b/>
          <w:noProof/>
          <w:color w:val="0070C0"/>
        </w:rPr>
        <w:t>ego rodzaju wsparcie na rzecz usług humanitarnego transportu lotniczego</w:t>
      </w:r>
    </w:p>
    <w:p w:rsidR="00727C95" w:rsidRPr="006E5269" w:rsidRDefault="006E3260" w:rsidP="003057BC">
      <w:pPr>
        <w:spacing w:before="240" w:after="240"/>
        <w:jc w:val="both"/>
        <w:rPr>
          <w:noProof/>
        </w:rPr>
      </w:pPr>
      <w:r w:rsidRPr="006E5269">
        <w:rPr>
          <w:noProof/>
        </w:rPr>
        <w:t>Transport lotniczy ECHO to służba lotów humanitarnych dysponująca czterema statkami powietrznymi</w:t>
      </w:r>
      <w:r w:rsidR="00FD0C71" w:rsidRPr="006E5269">
        <w:rPr>
          <w:noProof/>
        </w:rPr>
        <w:t xml:space="preserve"> i</w:t>
      </w:r>
      <w:r w:rsidR="00FD0C71">
        <w:rPr>
          <w:noProof/>
        </w:rPr>
        <w:t> </w:t>
      </w:r>
      <w:r w:rsidR="00FD0C71" w:rsidRPr="006E5269">
        <w:rPr>
          <w:noProof/>
        </w:rPr>
        <w:t>bud</w:t>
      </w:r>
      <w:r w:rsidRPr="006E5269">
        <w:rPr>
          <w:noProof/>
        </w:rPr>
        <w:t>żetem</w:t>
      </w:r>
      <w:r w:rsidR="00FD0C71" w:rsidRPr="006E5269">
        <w:rPr>
          <w:noProof/>
        </w:rPr>
        <w:t xml:space="preserve"> w</w:t>
      </w:r>
      <w:r w:rsidR="00FD0C71">
        <w:rPr>
          <w:noProof/>
        </w:rPr>
        <w:t> </w:t>
      </w:r>
      <w:r w:rsidR="00FD0C71" w:rsidRPr="006E5269">
        <w:rPr>
          <w:noProof/>
        </w:rPr>
        <w:t>wys</w:t>
      </w:r>
      <w:r w:rsidRPr="006E5269">
        <w:rPr>
          <w:noProof/>
        </w:rPr>
        <w:t>okości 14,8 mln EUR, służąca partnerom Komisji</w:t>
      </w:r>
      <w:r w:rsidR="00FD0C71" w:rsidRPr="006E5269">
        <w:rPr>
          <w:noProof/>
        </w:rPr>
        <w:t xml:space="preserve"> i</w:t>
      </w:r>
      <w:r w:rsidR="00FD0C71">
        <w:rPr>
          <w:noProof/>
        </w:rPr>
        <w:t> </w:t>
      </w:r>
      <w:r w:rsidR="00FD0C71" w:rsidRPr="006E5269">
        <w:rPr>
          <w:noProof/>
        </w:rPr>
        <w:t>org</w:t>
      </w:r>
      <w:r w:rsidRPr="006E5269">
        <w:rPr>
          <w:noProof/>
        </w:rPr>
        <w:t>anizacjom humanitarnym. Służby te udzieliły wsparcia</w:t>
      </w:r>
      <w:r w:rsidR="00FD0C71" w:rsidRPr="006E5269">
        <w:rPr>
          <w:noProof/>
        </w:rPr>
        <w:t xml:space="preserve"> w</w:t>
      </w:r>
      <w:r w:rsidR="00FD0C71">
        <w:rPr>
          <w:noProof/>
        </w:rPr>
        <w:t> </w:t>
      </w:r>
      <w:r w:rsidR="00FD0C71" w:rsidRPr="006E5269">
        <w:rPr>
          <w:noProof/>
        </w:rPr>
        <w:t>pon</w:t>
      </w:r>
      <w:r w:rsidRPr="006E5269">
        <w:rPr>
          <w:noProof/>
        </w:rPr>
        <w:t>ad 150 projektach oraz przetransportowały ponad 8 000 pracowników pomocy humanitarnej</w:t>
      </w:r>
      <w:r w:rsidR="00FD0C71" w:rsidRPr="006E5269">
        <w:rPr>
          <w:noProof/>
        </w:rPr>
        <w:t xml:space="preserve"> i</w:t>
      </w:r>
      <w:r w:rsidR="00FD0C71">
        <w:rPr>
          <w:noProof/>
        </w:rPr>
        <w:t> </w:t>
      </w:r>
      <w:r w:rsidR="00FD0C71" w:rsidRPr="006E5269">
        <w:rPr>
          <w:noProof/>
        </w:rPr>
        <w:t>oko</w:t>
      </w:r>
      <w:r w:rsidRPr="006E5269">
        <w:rPr>
          <w:noProof/>
        </w:rPr>
        <w:t xml:space="preserve">ło 250 ton ładunku pomocy humanitarnej. </w:t>
      </w:r>
    </w:p>
    <w:p w:rsidR="00122CBC" w:rsidRPr="006E5269" w:rsidRDefault="008D2D1C" w:rsidP="003057BC">
      <w:pPr>
        <w:spacing w:before="240" w:after="240"/>
        <w:jc w:val="both"/>
        <w:rPr>
          <w:noProof/>
        </w:rPr>
      </w:pPr>
      <w:r w:rsidRPr="006E5269">
        <w:rPr>
          <w:noProof/>
        </w:rPr>
        <w:t>Komisja wdrożyła również unijny humanitarny most powietrzny (10 mln EUR): zorganizowano 67 lotów do krajów korzystających oraz przetransportowano ponad 1 500 pasażerów</w:t>
      </w:r>
      <w:r w:rsidR="00FD0C71" w:rsidRPr="006E5269">
        <w:rPr>
          <w:noProof/>
        </w:rPr>
        <w:t xml:space="preserve"> i</w:t>
      </w:r>
      <w:r w:rsidR="00FD0C71">
        <w:rPr>
          <w:noProof/>
        </w:rPr>
        <w:t> </w:t>
      </w:r>
      <w:r w:rsidR="00FD0C71" w:rsidRPr="006E5269">
        <w:rPr>
          <w:noProof/>
        </w:rPr>
        <w:t>1</w:t>
      </w:r>
      <w:r w:rsidRPr="006E5269">
        <w:rPr>
          <w:noProof/>
        </w:rPr>
        <w:t xml:space="preserve"> 200 ton ładunku pomocy humanitarnej.</w:t>
      </w:r>
    </w:p>
    <w:p w:rsidR="00D974B7" w:rsidRPr="006E5269" w:rsidRDefault="004E268B" w:rsidP="003057BC">
      <w:pPr>
        <w:spacing w:before="240" w:after="240"/>
        <w:jc w:val="both"/>
        <w:rPr>
          <w:noProof/>
        </w:rPr>
      </w:pPr>
      <w:r w:rsidRPr="006E5269">
        <w:rPr>
          <w:noProof/>
        </w:rPr>
        <w:t>Ponadto UE wsparła humanitarne przewozy lotnicze non-profit,</w:t>
      </w:r>
      <w:r w:rsidR="00FD0C71" w:rsidRPr="006E5269">
        <w:rPr>
          <w:noProof/>
        </w:rPr>
        <w:t xml:space="preserve"> w</w:t>
      </w:r>
      <w:r w:rsidR="00FD0C71">
        <w:rPr>
          <w:noProof/>
        </w:rPr>
        <w:t> </w:t>
      </w:r>
      <w:r w:rsidR="00FD0C71" w:rsidRPr="006E5269">
        <w:rPr>
          <w:noProof/>
        </w:rPr>
        <w:t>tym</w:t>
      </w:r>
      <w:r w:rsidRPr="006E5269">
        <w:rPr>
          <w:noProof/>
        </w:rPr>
        <w:t xml:space="preserve"> plan wspólnych usług transportu</w:t>
      </w:r>
      <w:r w:rsidR="00FD0C71" w:rsidRPr="006E5269">
        <w:rPr>
          <w:noProof/>
        </w:rPr>
        <w:t xml:space="preserve"> w</w:t>
      </w:r>
      <w:r w:rsidR="00FD0C71">
        <w:rPr>
          <w:noProof/>
        </w:rPr>
        <w:t> </w:t>
      </w:r>
      <w:r w:rsidR="00FD0C71" w:rsidRPr="006E5269">
        <w:rPr>
          <w:noProof/>
        </w:rPr>
        <w:t>zwi</w:t>
      </w:r>
      <w:r w:rsidRPr="006E5269">
        <w:rPr>
          <w:noProof/>
        </w:rPr>
        <w:t>ązku</w:t>
      </w:r>
      <w:r w:rsidR="00FD0C71" w:rsidRPr="006E5269">
        <w:rPr>
          <w:noProof/>
        </w:rPr>
        <w:t xml:space="preserve"> z</w:t>
      </w:r>
      <w:r w:rsidR="00FD0C71">
        <w:rPr>
          <w:noProof/>
        </w:rPr>
        <w:t> </w:t>
      </w:r>
      <w:r w:rsidR="00FD0C71" w:rsidRPr="006E5269">
        <w:rPr>
          <w:noProof/>
        </w:rPr>
        <w:t>Cov</w:t>
      </w:r>
      <w:r w:rsidRPr="006E5269">
        <w:rPr>
          <w:noProof/>
        </w:rPr>
        <w:t xml:space="preserve">id-19 na </w:t>
      </w:r>
      <w:r w:rsidRPr="00FD0C71">
        <w:rPr>
          <w:noProof/>
        </w:rPr>
        <w:t>rok</w:t>
      </w:r>
      <w:r w:rsidR="00FD0C71" w:rsidRPr="00FD0C71">
        <w:rPr>
          <w:noProof/>
        </w:rPr>
        <w:t> </w:t>
      </w:r>
      <w:r w:rsidRPr="00FD0C71">
        <w:rPr>
          <w:noProof/>
        </w:rPr>
        <w:t>2</w:t>
      </w:r>
      <w:r w:rsidRPr="006E5269">
        <w:rPr>
          <w:noProof/>
        </w:rPr>
        <w:t>020 Światowego Programu Żywnościowego</w:t>
      </w:r>
      <w:r w:rsidRPr="006E5269">
        <w:rPr>
          <w:rStyle w:val="FootnoteReference"/>
          <w:noProof/>
        </w:rPr>
        <w:footnoteReference w:id="26"/>
      </w:r>
      <w:r w:rsidRPr="006E5269">
        <w:rPr>
          <w:noProof/>
        </w:rPr>
        <w:t xml:space="preserve">. </w:t>
      </w:r>
    </w:p>
    <w:p w:rsidR="00D974B7" w:rsidRPr="006E5269" w:rsidRDefault="00D974B7" w:rsidP="003057BC">
      <w:pPr>
        <w:pStyle w:val="Heading310"/>
        <w:spacing w:before="240" w:after="240" w:line="240" w:lineRule="auto"/>
        <w:ind w:firstLine="0"/>
        <w:jc w:val="both"/>
        <w:rPr>
          <w:noProof/>
          <w:color w:val="1F3864" w:themeColor="accent5" w:themeShade="80"/>
          <w:sz w:val="28"/>
          <w:u w:val="single"/>
        </w:rPr>
      </w:pPr>
      <w:bookmarkStart w:id="9" w:name="_Toc84941897"/>
      <w:r w:rsidRPr="006E5269">
        <w:rPr>
          <w:noProof/>
          <w:color w:val="1F3864" w:themeColor="accent5" w:themeShade="80"/>
          <w:sz w:val="28"/>
          <w:u w:val="single"/>
        </w:rPr>
        <w:t>Podsumowanie ocen przeprowadzonych</w:t>
      </w:r>
      <w:r w:rsidR="00FD0C71" w:rsidRPr="006E5269">
        <w:rPr>
          <w:noProof/>
          <w:color w:val="1F3864" w:themeColor="accent5" w:themeShade="80"/>
          <w:sz w:val="28"/>
          <w:u w:val="single"/>
        </w:rPr>
        <w:t xml:space="preserve"> w</w:t>
      </w:r>
      <w:r w:rsidR="00FD0C71">
        <w:rPr>
          <w:noProof/>
          <w:color w:val="1F3864" w:themeColor="accent5" w:themeShade="80"/>
          <w:sz w:val="28"/>
          <w:u w:val="single"/>
        </w:rPr>
        <w:t> </w:t>
      </w:r>
      <w:r w:rsidR="00FD0C71" w:rsidRPr="006E5269">
        <w:rPr>
          <w:noProof/>
          <w:color w:val="1F3864" w:themeColor="accent5" w:themeShade="80"/>
          <w:sz w:val="28"/>
          <w:u w:val="single"/>
        </w:rPr>
        <w:t>2</w:t>
      </w:r>
      <w:r w:rsidRPr="006E5269">
        <w:rPr>
          <w:noProof/>
          <w:color w:val="1F3864" w:themeColor="accent5" w:themeShade="80"/>
          <w:sz w:val="28"/>
          <w:u w:val="single"/>
        </w:rPr>
        <w:t>0</w:t>
      </w:r>
      <w:r w:rsidRPr="00FD0C71">
        <w:rPr>
          <w:noProof/>
          <w:color w:val="1F3864" w:themeColor="accent5" w:themeShade="80"/>
          <w:sz w:val="28"/>
          <w:u w:val="single"/>
        </w:rPr>
        <w:t>20</w:t>
      </w:r>
      <w:r w:rsidR="00FD0C71" w:rsidRPr="00FD0C71">
        <w:rPr>
          <w:noProof/>
          <w:color w:val="1F3864" w:themeColor="accent5" w:themeShade="80"/>
          <w:sz w:val="28"/>
          <w:u w:val="single"/>
        </w:rPr>
        <w:t> </w:t>
      </w:r>
      <w:r w:rsidRPr="00FD0C71">
        <w:rPr>
          <w:noProof/>
          <w:color w:val="1F3864" w:themeColor="accent5" w:themeShade="80"/>
          <w:sz w:val="28"/>
          <w:u w:val="single"/>
        </w:rPr>
        <w:t>r.</w:t>
      </w:r>
      <w:bookmarkEnd w:id="9"/>
    </w:p>
    <w:p w:rsidR="00D974B7" w:rsidRPr="006E5269" w:rsidRDefault="00D974B7" w:rsidP="003057BC">
      <w:pPr>
        <w:spacing w:before="240"/>
        <w:jc w:val="both"/>
        <w:rPr>
          <w:b/>
          <w:bCs/>
          <w:noProof/>
          <w:color w:val="0070C0"/>
        </w:rPr>
      </w:pPr>
      <w:r w:rsidRPr="006E5269">
        <w:rPr>
          <w:b/>
          <w:bCs/>
          <w:noProof/>
          <w:color w:val="0070C0"/>
        </w:rPr>
        <w:t>Łączna ocena interwencji humanitarnej UE</w:t>
      </w:r>
      <w:r w:rsidR="00FD0C71" w:rsidRPr="006E5269">
        <w:rPr>
          <w:b/>
          <w:bCs/>
          <w:noProof/>
          <w:color w:val="0070C0"/>
        </w:rPr>
        <w:t xml:space="preserve"> w</w:t>
      </w:r>
      <w:r w:rsidR="00FD0C71">
        <w:rPr>
          <w:b/>
          <w:bCs/>
          <w:noProof/>
          <w:color w:val="0070C0"/>
        </w:rPr>
        <w:t> </w:t>
      </w:r>
      <w:r w:rsidR="00FD0C71" w:rsidRPr="006E5269">
        <w:rPr>
          <w:b/>
          <w:bCs/>
          <w:noProof/>
          <w:color w:val="0070C0"/>
        </w:rPr>
        <w:t>Ira</w:t>
      </w:r>
      <w:r w:rsidRPr="006E5269">
        <w:rPr>
          <w:b/>
          <w:bCs/>
          <w:noProof/>
          <w:color w:val="0070C0"/>
        </w:rPr>
        <w:t>ku</w:t>
      </w:r>
      <w:r w:rsidR="00FD0C71" w:rsidRPr="006E5269">
        <w:rPr>
          <w:b/>
          <w:bCs/>
          <w:noProof/>
          <w:color w:val="0070C0"/>
        </w:rPr>
        <w:t xml:space="preserve"> i</w:t>
      </w:r>
      <w:r w:rsidR="00FD0C71">
        <w:rPr>
          <w:b/>
          <w:bCs/>
          <w:noProof/>
          <w:color w:val="0070C0"/>
        </w:rPr>
        <w:t> </w:t>
      </w:r>
      <w:r w:rsidR="00FD0C71" w:rsidRPr="006E5269">
        <w:rPr>
          <w:b/>
          <w:bCs/>
          <w:noProof/>
          <w:color w:val="0070C0"/>
        </w:rPr>
        <w:t>w</w:t>
      </w:r>
      <w:r w:rsidR="00FD0C71">
        <w:rPr>
          <w:b/>
          <w:bCs/>
          <w:noProof/>
          <w:color w:val="0070C0"/>
        </w:rPr>
        <w:t> </w:t>
      </w:r>
      <w:r w:rsidR="00FD0C71" w:rsidRPr="006E5269">
        <w:rPr>
          <w:b/>
          <w:bCs/>
          <w:noProof/>
          <w:color w:val="0070C0"/>
        </w:rPr>
        <w:t>sek</w:t>
      </w:r>
      <w:r w:rsidRPr="006E5269">
        <w:rPr>
          <w:b/>
          <w:bCs/>
          <w:noProof/>
          <w:color w:val="0070C0"/>
        </w:rPr>
        <w:t>torze ochrony</w:t>
      </w:r>
      <w:r w:rsidR="00FD0C71" w:rsidRPr="006E5269">
        <w:rPr>
          <w:b/>
          <w:bCs/>
          <w:noProof/>
          <w:color w:val="0070C0"/>
        </w:rPr>
        <w:t xml:space="preserve"> w</w:t>
      </w:r>
      <w:r w:rsidR="00FD0C71">
        <w:rPr>
          <w:b/>
          <w:bCs/>
          <w:noProof/>
          <w:color w:val="0070C0"/>
        </w:rPr>
        <w:t> </w:t>
      </w:r>
      <w:r w:rsidR="00FD0C71" w:rsidRPr="006E5269">
        <w:rPr>
          <w:b/>
          <w:bCs/>
          <w:noProof/>
          <w:color w:val="0070C0"/>
        </w:rPr>
        <w:t>lat</w:t>
      </w:r>
      <w:r w:rsidRPr="006E5269">
        <w:rPr>
          <w:b/>
          <w:bCs/>
          <w:noProof/>
          <w:color w:val="0070C0"/>
        </w:rPr>
        <w:t>ach 2014–2018</w:t>
      </w:r>
    </w:p>
    <w:p w:rsidR="00D974B7" w:rsidRPr="006E5269" w:rsidRDefault="00287E87" w:rsidP="003057BC">
      <w:pPr>
        <w:spacing w:before="240" w:after="240"/>
        <w:jc w:val="both"/>
        <w:rPr>
          <w:noProof/>
          <w:color w:val="0000FF"/>
          <w:sz w:val="20"/>
          <w:szCs w:val="20"/>
          <w:u w:val="single"/>
        </w:rPr>
      </w:pPr>
      <w:hyperlink r:id="rId21" w:history="1">
        <w:r w:rsidR="00985B85" w:rsidRPr="006E5269">
          <w:rPr>
            <w:rStyle w:val="Hyperlink"/>
            <w:noProof/>
          </w:rPr>
          <w:t>https://ec.europa.eu/echo/sites/echo-site/files/kr0220290enn.pdf</w:t>
        </w:r>
      </w:hyperlink>
      <w:r w:rsidR="00985B85" w:rsidRPr="006E5269">
        <w:rPr>
          <w:rStyle w:val="Hyperlink"/>
          <w:noProof/>
        </w:rPr>
        <w:t xml:space="preserve"> </w:t>
      </w:r>
    </w:p>
    <w:p w:rsidR="00BE4449" w:rsidRPr="006E5269" w:rsidRDefault="007069BF" w:rsidP="003057BC">
      <w:pPr>
        <w:spacing w:before="240" w:after="240"/>
        <w:jc w:val="both"/>
        <w:rPr>
          <w:bCs/>
          <w:noProof/>
        </w:rPr>
      </w:pPr>
      <w:r w:rsidRPr="006E5269">
        <w:rPr>
          <w:noProof/>
        </w:rPr>
        <w:t>Z oceny wynika, że jeżeli chodzi</w:t>
      </w:r>
      <w:r w:rsidR="00FD0C71" w:rsidRPr="006E5269">
        <w:rPr>
          <w:noProof/>
        </w:rPr>
        <w:t xml:space="preserve"> o</w:t>
      </w:r>
      <w:r w:rsidR="00FD0C71">
        <w:rPr>
          <w:noProof/>
        </w:rPr>
        <w:t> </w:t>
      </w:r>
      <w:r w:rsidR="00FD0C71" w:rsidRPr="006E5269">
        <w:rPr>
          <w:noProof/>
        </w:rPr>
        <w:t>fin</w:t>
      </w:r>
      <w:r w:rsidRPr="006E5269">
        <w:rPr>
          <w:noProof/>
        </w:rPr>
        <w:t>ansowanie</w:t>
      </w:r>
      <w:r w:rsidR="00FD0C71" w:rsidRPr="006E5269">
        <w:rPr>
          <w:noProof/>
        </w:rPr>
        <w:t xml:space="preserve"> w</w:t>
      </w:r>
      <w:r w:rsidR="00FD0C71">
        <w:rPr>
          <w:noProof/>
        </w:rPr>
        <w:t> </w:t>
      </w:r>
      <w:r w:rsidR="00FD0C71" w:rsidRPr="006E5269">
        <w:rPr>
          <w:noProof/>
        </w:rPr>
        <w:t>Ira</w:t>
      </w:r>
      <w:r w:rsidRPr="006E5269">
        <w:rPr>
          <w:noProof/>
        </w:rPr>
        <w:t>ku</w:t>
      </w:r>
      <w:r w:rsidR="00FD0C71" w:rsidRPr="006E5269">
        <w:rPr>
          <w:noProof/>
        </w:rPr>
        <w:t xml:space="preserve"> i</w:t>
      </w:r>
      <w:r w:rsidR="00FD0C71">
        <w:rPr>
          <w:noProof/>
        </w:rPr>
        <w:t> </w:t>
      </w:r>
      <w:r w:rsidR="00FD0C71" w:rsidRPr="006E5269">
        <w:rPr>
          <w:noProof/>
        </w:rPr>
        <w:t>ogó</w:t>
      </w:r>
      <w:r w:rsidRPr="006E5269">
        <w:rPr>
          <w:noProof/>
        </w:rPr>
        <w:t>lnie</w:t>
      </w:r>
      <w:r w:rsidR="00FD0C71" w:rsidRPr="006E5269">
        <w:rPr>
          <w:noProof/>
        </w:rPr>
        <w:t xml:space="preserve"> w</w:t>
      </w:r>
      <w:r w:rsidR="00FD0C71">
        <w:rPr>
          <w:noProof/>
        </w:rPr>
        <w:t> </w:t>
      </w:r>
      <w:r w:rsidR="00FD0C71" w:rsidRPr="006E5269">
        <w:rPr>
          <w:noProof/>
        </w:rPr>
        <w:t>sek</w:t>
      </w:r>
      <w:r w:rsidRPr="006E5269">
        <w:rPr>
          <w:noProof/>
        </w:rPr>
        <w:t>torze ochrony, osiągnięto cele krótkoterminowe, ale trudniejsze okazało się rozwiązanie problemu szerszych zagrożeń</w:t>
      </w:r>
      <w:r w:rsidR="00FD0C71" w:rsidRPr="006E5269">
        <w:rPr>
          <w:noProof/>
        </w:rPr>
        <w:t xml:space="preserve"> i</w:t>
      </w:r>
      <w:r w:rsidR="00FD0C71">
        <w:rPr>
          <w:noProof/>
        </w:rPr>
        <w:t> </w:t>
      </w:r>
      <w:r w:rsidR="00FD0C71" w:rsidRPr="006E5269">
        <w:rPr>
          <w:noProof/>
        </w:rPr>
        <w:t>pow</w:t>
      </w:r>
      <w:r w:rsidRPr="006E5269">
        <w:rPr>
          <w:noProof/>
        </w:rPr>
        <w:t xml:space="preserve">ażniejszej podatności. </w:t>
      </w:r>
    </w:p>
    <w:p w:rsidR="00BE4449" w:rsidRPr="006E5269" w:rsidRDefault="007069BF" w:rsidP="003057BC">
      <w:pPr>
        <w:spacing w:before="240" w:after="240"/>
        <w:jc w:val="both"/>
        <w:rPr>
          <w:bCs/>
          <w:noProof/>
        </w:rPr>
      </w:pPr>
      <w:r w:rsidRPr="006E5269">
        <w:rPr>
          <w:noProof/>
        </w:rPr>
        <w:t>W Iraku osiągnięto wiele sukcesów</w:t>
      </w:r>
      <w:r w:rsidR="00FD0C71" w:rsidRPr="006E5269">
        <w:rPr>
          <w:noProof/>
        </w:rPr>
        <w:t xml:space="preserve"> w</w:t>
      </w:r>
      <w:r w:rsidR="00FD0C71">
        <w:rPr>
          <w:noProof/>
        </w:rPr>
        <w:t> </w:t>
      </w:r>
      <w:r w:rsidR="00FD0C71" w:rsidRPr="006E5269">
        <w:rPr>
          <w:noProof/>
        </w:rPr>
        <w:t>ram</w:t>
      </w:r>
      <w:r w:rsidRPr="006E5269">
        <w:rPr>
          <w:noProof/>
        </w:rPr>
        <w:t>ach rzecznictwa, odpowiedni poziom wydajności</w:t>
      </w:r>
      <w:r w:rsidR="00FD0C71" w:rsidRPr="006E5269">
        <w:rPr>
          <w:noProof/>
        </w:rPr>
        <w:t xml:space="preserve"> i</w:t>
      </w:r>
      <w:r w:rsidR="00FD0C71">
        <w:rPr>
          <w:noProof/>
        </w:rPr>
        <w:t> </w:t>
      </w:r>
      <w:r w:rsidR="00FD0C71" w:rsidRPr="006E5269">
        <w:rPr>
          <w:noProof/>
        </w:rPr>
        <w:t>opł</w:t>
      </w:r>
      <w:r w:rsidRPr="006E5269">
        <w:rPr>
          <w:noProof/>
        </w:rPr>
        <w:t>acalności oraz możliwości budowania zdolności personelu. Odnotowano jednak zróżnicowany poziom jakości analiz potrzeb zarówno</w:t>
      </w:r>
      <w:r w:rsidR="00FD0C71" w:rsidRPr="006E5269">
        <w:rPr>
          <w:noProof/>
        </w:rPr>
        <w:t xml:space="preserve"> w</w:t>
      </w:r>
      <w:r w:rsidR="00FD0C71">
        <w:rPr>
          <w:noProof/>
        </w:rPr>
        <w:t> </w:t>
      </w:r>
      <w:r w:rsidR="00FD0C71" w:rsidRPr="006E5269">
        <w:rPr>
          <w:noProof/>
        </w:rPr>
        <w:t>Ira</w:t>
      </w:r>
      <w:r w:rsidRPr="006E5269">
        <w:rPr>
          <w:noProof/>
        </w:rPr>
        <w:t>ku, jak</w:t>
      </w:r>
      <w:r w:rsidR="00FD0C71" w:rsidRPr="006E5269">
        <w:rPr>
          <w:noProof/>
        </w:rPr>
        <w:t xml:space="preserve"> i</w:t>
      </w:r>
      <w:r w:rsidR="00FD0C71">
        <w:rPr>
          <w:noProof/>
        </w:rPr>
        <w:t> </w:t>
      </w:r>
      <w:r w:rsidR="00FD0C71" w:rsidRPr="006E5269">
        <w:rPr>
          <w:noProof/>
        </w:rPr>
        <w:t>w</w:t>
      </w:r>
      <w:r w:rsidR="00FD0C71">
        <w:rPr>
          <w:noProof/>
        </w:rPr>
        <w:t> </w:t>
      </w:r>
      <w:r w:rsidR="00FD0C71" w:rsidRPr="006E5269">
        <w:rPr>
          <w:noProof/>
        </w:rPr>
        <w:t>sek</w:t>
      </w:r>
      <w:r w:rsidRPr="006E5269">
        <w:rPr>
          <w:noProof/>
        </w:rPr>
        <w:t xml:space="preserve">torze ochrony. </w:t>
      </w:r>
    </w:p>
    <w:p w:rsidR="00D974B7" w:rsidRPr="006E5269" w:rsidRDefault="00CD13A8" w:rsidP="003057BC">
      <w:pPr>
        <w:spacing w:before="240" w:after="240"/>
        <w:jc w:val="both"/>
        <w:rPr>
          <w:bCs/>
          <w:noProof/>
        </w:rPr>
      </w:pPr>
      <w:r w:rsidRPr="006E5269">
        <w:rPr>
          <w:noProof/>
        </w:rPr>
        <w:t>Zalecenia dotyczą</w:t>
      </w:r>
      <w:r w:rsidR="00FD0C71" w:rsidRPr="006E5269">
        <w:rPr>
          <w:noProof/>
        </w:rPr>
        <w:t xml:space="preserve"> w</w:t>
      </w:r>
      <w:r w:rsidR="00FD0C71">
        <w:rPr>
          <w:noProof/>
        </w:rPr>
        <w:t> </w:t>
      </w:r>
      <w:r w:rsidR="00FD0C71" w:rsidRPr="006E5269">
        <w:rPr>
          <w:noProof/>
        </w:rPr>
        <w:t>szc</w:t>
      </w:r>
      <w:r w:rsidRPr="006E5269">
        <w:rPr>
          <w:noProof/>
        </w:rPr>
        <w:t>zególności zwiększenia finansowania ochrony, udoskonalenie rzecznictwa, planowania strategicznego</w:t>
      </w:r>
      <w:r w:rsidR="00FD0C71" w:rsidRPr="006E5269">
        <w:rPr>
          <w:noProof/>
        </w:rPr>
        <w:t xml:space="preserve"> i</w:t>
      </w:r>
      <w:r w:rsidR="00FD0C71">
        <w:rPr>
          <w:noProof/>
        </w:rPr>
        <w:t> </w:t>
      </w:r>
      <w:r w:rsidR="00FD0C71" w:rsidRPr="006E5269">
        <w:rPr>
          <w:noProof/>
        </w:rPr>
        <w:t>zdo</w:t>
      </w:r>
      <w:r w:rsidRPr="006E5269">
        <w:rPr>
          <w:noProof/>
        </w:rPr>
        <w:t>lności do oceny wydajności</w:t>
      </w:r>
      <w:r w:rsidR="00FD0C71" w:rsidRPr="006E5269">
        <w:rPr>
          <w:noProof/>
        </w:rPr>
        <w:t xml:space="preserve"> i</w:t>
      </w:r>
      <w:r w:rsidR="00FD0C71">
        <w:rPr>
          <w:noProof/>
        </w:rPr>
        <w:t> </w:t>
      </w:r>
      <w:r w:rsidR="00FD0C71" w:rsidRPr="006E5269">
        <w:rPr>
          <w:noProof/>
        </w:rPr>
        <w:t>opł</w:t>
      </w:r>
      <w:r w:rsidRPr="006E5269">
        <w:rPr>
          <w:noProof/>
        </w:rPr>
        <w:t>acalności oraz rozważenia kwestii zarówno zasad humanitarnych, jak</w:t>
      </w:r>
      <w:r w:rsidR="00FD0C71" w:rsidRPr="006E5269">
        <w:rPr>
          <w:noProof/>
        </w:rPr>
        <w:t xml:space="preserve"> i</w:t>
      </w:r>
      <w:r w:rsidR="00FD0C71">
        <w:rPr>
          <w:noProof/>
        </w:rPr>
        <w:t> </w:t>
      </w:r>
      <w:r w:rsidR="00FD0C71" w:rsidRPr="006E5269">
        <w:rPr>
          <w:noProof/>
        </w:rPr>
        <w:t>pow</w:t>
      </w:r>
      <w:r w:rsidRPr="006E5269">
        <w:rPr>
          <w:noProof/>
        </w:rPr>
        <w:t>iązania między aspektami humanitarnymi</w:t>
      </w:r>
      <w:r w:rsidR="00FD0C71" w:rsidRPr="006E5269">
        <w:rPr>
          <w:noProof/>
        </w:rPr>
        <w:t xml:space="preserve"> a</w:t>
      </w:r>
      <w:r w:rsidR="00FD0C71">
        <w:rPr>
          <w:noProof/>
        </w:rPr>
        <w:t> </w:t>
      </w:r>
      <w:r w:rsidR="00FD0C71" w:rsidRPr="006E5269">
        <w:rPr>
          <w:noProof/>
        </w:rPr>
        <w:t>roz</w:t>
      </w:r>
      <w:r w:rsidRPr="006E5269">
        <w:rPr>
          <w:noProof/>
        </w:rPr>
        <w:t>wojowymi</w:t>
      </w:r>
      <w:r w:rsidR="00FD0C71" w:rsidRPr="006E5269">
        <w:rPr>
          <w:noProof/>
        </w:rPr>
        <w:t xml:space="preserve"> i</w:t>
      </w:r>
      <w:r w:rsidR="00FD0C71">
        <w:rPr>
          <w:noProof/>
        </w:rPr>
        <w:t> </w:t>
      </w:r>
      <w:r w:rsidR="00FD0C71" w:rsidRPr="006E5269">
        <w:rPr>
          <w:noProof/>
        </w:rPr>
        <w:t>pok</w:t>
      </w:r>
      <w:r w:rsidRPr="006E5269">
        <w:rPr>
          <w:noProof/>
        </w:rPr>
        <w:t>ojowymi.</w:t>
      </w:r>
    </w:p>
    <w:p w:rsidR="00D974B7" w:rsidRPr="006E5269" w:rsidRDefault="00D974B7" w:rsidP="003057BC">
      <w:pPr>
        <w:spacing w:before="240"/>
        <w:jc w:val="both"/>
        <w:rPr>
          <w:bCs/>
          <w:noProof/>
          <w:color w:val="0070C0"/>
        </w:rPr>
      </w:pPr>
      <w:r w:rsidRPr="006E5269">
        <w:rPr>
          <w:b/>
          <w:bCs/>
          <w:noProof/>
          <w:color w:val="0070C0"/>
        </w:rPr>
        <w:t>Ocena unijnej pomocy humanitarnej na Ukrainie (w latach 2014–2018)</w:t>
      </w:r>
      <w:r w:rsidRPr="006E5269">
        <w:rPr>
          <w:bCs/>
          <w:noProof/>
          <w:color w:val="0070C0"/>
        </w:rPr>
        <w:t xml:space="preserve"> </w:t>
      </w:r>
    </w:p>
    <w:p w:rsidR="00D974B7" w:rsidRPr="006E5269" w:rsidRDefault="00287E87" w:rsidP="003057BC">
      <w:pPr>
        <w:spacing w:before="240" w:after="240"/>
        <w:jc w:val="both"/>
        <w:rPr>
          <w:rStyle w:val="Hyperlink"/>
          <w:noProof/>
          <w:sz w:val="20"/>
          <w:szCs w:val="20"/>
        </w:rPr>
      </w:pPr>
      <w:hyperlink r:id="rId22" w:history="1">
        <w:r w:rsidR="00985B85" w:rsidRPr="006E5269">
          <w:rPr>
            <w:rStyle w:val="Hyperlink"/>
            <w:noProof/>
          </w:rPr>
          <w:t>https://ec.europa.eu/echo/sites/echo-site/files/evaluation_eu_humanitarian_assistance_ukraine_2014-2018.pdf</w:t>
        </w:r>
      </w:hyperlink>
    </w:p>
    <w:p w:rsidR="00363AF5" w:rsidRPr="006E5269" w:rsidRDefault="00FB2072" w:rsidP="00B8050C">
      <w:pPr>
        <w:spacing w:before="240" w:after="240"/>
        <w:jc w:val="both"/>
        <w:rPr>
          <w:bCs/>
          <w:noProof/>
        </w:rPr>
      </w:pPr>
      <w:r w:rsidRPr="006E5269">
        <w:rPr>
          <w:noProof/>
        </w:rPr>
        <w:t>Komisja reagowała szybko</w:t>
      </w:r>
      <w:r w:rsidR="00FD0C71" w:rsidRPr="006E5269">
        <w:rPr>
          <w:noProof/>
        </w:rPr>
        <w:t xml:space="preserve"> i</w:t>
      </w:r>
      <w:r w:rsidR="00FD0C71">
        <w:rPr>
          <w:noProof/>
        </w:rPr>
        <w:t> </w:t>
      </w:r>
      <w:r w:rsidR="00FD0C71" w:rsidRPr="006E5269">
        <w:rPr>
          <w:noProof/>
        </w:rPr>
        <w:t>sku</w:t>
      </w:r>
      <w:r w:rsidRPr="006E5269">
        <w:rPr>
          <w:noProof/>
        </w:rPr>
        <w:t>tecznie,</w:t>
      </w:r>
      <w:r w:rsidR="00FD0C71" w:rsidRPr="006E5269">
        <w:rPr>
          <w:noProof/>
        </w:rPr>
        <w:t xml:space="preserve"> w</w:t>
      </w:r>
      <w:r w:rsidR="00FD0C71">
        <w:rPr>
          <w:noProof/>
        </w:rPr>
        <w:t> </w:t>
      </w:r>
      <w:r w:rsidR="00FD0C71" w:rsidRPr="006E5269">
        <w:rPr>
          <w:noProof/>
        </w:rPr>
        <w:t>ogó</w:t>
      </w:r>
      <w:r w:rsidRPr="006E5269">
        <w:rPr>
          <w:noProof/>
        </w:rPr>
        <w:t>lnym rozrachunku osiągnęła bardzo dobre wyniki oraz wykazała się przywództwem na poziomie systemowym pod względem myślenia strategicznego</w:t>
      </w:r>
      <w:r w:rsidR="00FD0C71" w:rsidRPr="006E5269">
        <w:rPr>
          <w:noProof/>
        </w:rPr>
        <w:t xml:space="preserve"> i</w:t>
      </w:r>
      <w:r w:rsidR="00FD0C71">
        <w:rPr>
          <w:noProof/>
        </w:rPr>
        <w:t> </w:t>
      </w:r>
      <w:r w:rsidR="00FD0C71" w:rsidRPr="006E5269">
        <w:rPr>
          <w:noProof/>
        </w:rPr>
        <w:t>koo</w:t>
      </w:r>
      <w:r w:rsidRPr="006E5269">
        <w:rPr>
          <w:noProof/>
        </w:rPr>
        <w:t>rdynacji. Państwa członkowskie chwaliły zespół terenowy</w:t>
      </w:r>
      <w:r w:rsidR="00FD0C71" w:rsidRPr="006E5269">
        <w:rPr>
          <w:noProof/>
        </w:rPr>
        <w:t xml:space="preserve"> i</w:t>
      </w:r>
      <w:r w:rsidR="00FD0C71">
        <w:rPr>
          <w:noProof/>
        </w:rPr>
        <w:t> </w:t>
      </w:r>
      <w:r w:rsidR="00FD0C71" w:rsidRPr="006E5269">
        <w:rPr>
          <w:noProof/>
        </w:rPr>
        <w:t>doc</w:t>
      </w:r>
      <w:r w:rsidRPr="006E5269">
        <w:rPr>
          <w:noProof/>
        </w:rPr>
        <w:t xml:space="preserve">eniły jego dostęp do obszarów poza kontrolą rządu. </w:t>
      </w:r>
    </w:p>
    <w:p w:rsidR="00363AF5" w:rsidRPr="006E5269" w:rsidRDefault="00D974B7" w:rsidP="00B8050C">
      <w:pPr>
        <w:spacing w:before="240" w:after="240"/>
        <w:jc w:val="both"/>
        <w:rPr>
          <w:bCs/>
          <w:noProof/>
        </w:rPr>
      </w:pPr>
      <w:r w:rsidRPr="006E5269">
        <w:rPr>
          <w:noProof/>
        </w:rPr>
        <w:t>Na Ukrainie Komisja wsparła systemowe wspólne</w:t>
      </w:r>
      <w:r w:rsidR="00FD0C71" w:rsidRPr="006E5269">
        <w:rPr>
          <w:noProof/>
        </w:rPr>
        <w:t xml:space="preserve"> i</w:t>
      </w:r>
      <w:r w:rsidR="00FD0C71">
        <w:rPr>
          <w:noProof/>
        </w:rPr>
        <w:t> </w:t>
      </w:r>
      <w:r w:rsidR="00FD0C71" w:rsidRPr="006E5269">
        <w:rPr>
          <w:noProof/>
        </w:rPr>
        <w:t>bez</w:t>
      </w:r>
      <w:r w:rsidRPr="006E5269">
        <w:rPr>
          <w:noProof/>
        </w:rPr>
        <w:t>stronne oceny potrzeb, poczyniła postępy</w:t>
      </w:r>
      <w:r w:rsidR="00FD0C71" w:rsidRPr="006E5269">
        <w:rPr>
          <w:noProof/>
        </w:rPr>
        <w:t xml:space="preserve"> w</w:t>
      </w:r>
      <w:r w:rsidR="00FD0C71">
        <w:rPr>
          <w:noProof/>
        </w:rPr>
        <w:t> </w:t>
      </w:r>
      <w:r w:rsidR="00FD0C71" w:rsidRPr="006E5269">
        <w:rPr>
          <w:noProof/>
        </w:rPr>
        <w:t>zak</w:t>
      </w:r>
      <w:r w:rsidRPr="006E5269">
        <w:rPr>
          <w:noProof/>
        </w:rPr>
        <w:t>resie wyraźnych wspólnych ram pomocy humanitarnej</w:t>
      </w:r>
      <w:r w:rsidR="00FD0C71" w:rsidRPr="006E5269">
        <w:rPr>
          <w:noProof/>
        </w:rPr>
        <w:t xml:space="preserve"> i</w:t>
      </w:r>
      <w:r w:rsidR="00FD0C71">
        <w:rPr>
          <w:noProof/>
        </w:rPr>
        <w:t> </w:t>
      </w:r>
      <w:r w:rsidR="00FD0C71" w:rsidRPr="006E5269">
        <w:rPr>
          <w:noProof/>
        </w:rPr>
        <w:t>roz</w:t>
      </w:r>
      <w:r w:rsidRPr="006E5269">
        <w:rPr>
          <w:noProof/>
        </w:rPr>
        <w:t>wojowej tworzonych łącznie</w:t>
      </w:r>
      <w:r w:rsidR="00FD0C71" w:rsidRPr="006E5269">
        <w:rPr>
          <w:noProof/>
        </w:rPr>
        <w:t xml:space="preserve"> z</w:t>
      </w:r>
      <w:r w:rsidR="00FD0C71">
        <w:rPr>
          <w:noProof/>
        </w:rPr>
        <w:t> </w:t>
      </w:r>
      <w:r w:rsidR="00FD0C71" w:rsidRPr="006E5269">
        <w:rPr>
          <w:noProof/>
        </w:rPr>
        <w:t>inn</w:t>
      </w:r>
      <w:r w:rsidRPr="006E5269">
        <w:rPr>
          <w:noProof/>
        </w:rPr>
        <w:t>ymi służbami UE</w:t>
      </w:r>
      <w:r w:rsidR="00FD0C71" w:rsidRPr="006E5269">
        <w:rPr>
          <w:noProof/>
        </w:rPr>
        <w:t xml:space="preserve"> w</w:t>
      </w:r>
      <w:r w:rsidR="00FD0C71">
        <w:rPr>
          <w:noProof/>
        </w:rPr>
        <w:t> </w:t>
      </w:r>
      <w:r w:rsidR="00FD0C71" w:rsidRPr="006E5269">
        <w:rPr>
          <w:noProof/>
        </w:rPr>
        <w:t>cel</w:t>
      </w:r>
      <w:r w:rsidRPr="006E5269">
        <w:rPr>
          <w:noProof/>
        </w:rPr>
        <w:t>u ułatwienia koordynacji</w:t>
      </w:r>
      <w:r w:rsidR="00FD0C71" w:rsidRPr="006E5269">
        <w:rPr>
          <w:noProof/>
        </w:rPr>
        <w:t xml:space="preserve"> i</w:t>
      </w:r>
      <w:r w:rsidR="00FD0C71">
        <w:rPr>
          <w:noProof/>
        </w:rPr>
        <w:t> </w:t>
      </w:r>
      <w:r w:rsidR="00FD0C71" w:rsidRPr="006E5269">
        <w:rPr>
          <w:noProof/>
        </w:rPr>
        <w:t>prz</w:t>
      </w:r>
      <w:r w:rsidRPr="006E5269">
        <w:rPr>
          <w:noProof/>
        </w:rPr>
        <w:t>ejścia między etapami pomocy humanitarnej, stabilizacji, wczesnej odbudowy</w:t>
      </w:r>
      <w:r w:rsidR="00FD0C71" w:rsidRPr="006E5269">
        <w:rPr>
          <w:noProof/>
        </w:rPr>
        <w:t xml:space="preserve"> i</w:t>
      </w:r>
      <w:r w:rsidR="00FD0C71">
        <w:rPr>
          <w:noProof/>
        </w:rPr>
        <w:t> </w:t>
      </w:r>
      <w:r w:rsidR="00FD0C71" w:rsidRPr="006E5269">
        <w:rPr>
          <w:noProof/>
        </w:rPr>
        <w:t>roz</w:t>
      </w:r>
      <w:r w:rsidRPr="006E5269">
        <w:rPr>
          <w:noProof/>
        </w:rPr>
        <w:t>woju oraz wsparła utworzenie funduszu humanitarnego dla Ukrainy</w:t>
      </w:r>
      <w:r w:rsidRPr="006E5269">
        <w:rPr>
          <w:rStyle w:val="FootnoteReference"/>
          <w:bCs/>
          <w:noProof/>
        </w:rPr>
        <w:footnoteReference w:id="27"/>
      </w:r>
      <w:r w:rsidRPr="006E5269">
        <w:rPr>
          <w:noProof/>
        </w:rPr>
        <w:t xml:space="preserve">. </w:t>
      </w:r>
    </w:p>
    <w:p w:rsidR="00DC1C02" w:rsidRPr="006E5269" w:rsidRDefault="00D974B7" w:rsidP="00B8050C">
      <w:pPr>
        <w:spacing w:before="240" w:after="240"/>
        <w:jc w:val="both"/>
        <w:rPr>
          <w:b/>
          <w:bCs/>
          <w:noProof/>
          <w:color w:val="1F3864" w:themeColor="accent5" w:themeShade="80"/>
          <w:sz w:val="28"/>
          <w:szCs w:val="22"/>
          <w:u w:val="single"/>
        </w:rPr>
      </w:pPr>
      <w:r w:rsidRPr="006E5269">
        <w:rPr>
          <w:noProof/>
        </w:rPr>
        <w:t>Wszyscy darczyńcy,</w:t>
      </w:r>
      <w:r w:rsidR="00FD0C71" w:rsidRPr="006E5269">
        <w:rPr>
          <w:noProof/>
        </w:rPr>
        <w:t xml:space="preserve"> w</w:t>
      </w:r>
      <w:r w:rsidR="00FD0C71">
        <w:rPr>
          <w:noProof/>
        </w:rPr>
        <w:t> </w:t>
      </w:r>
      <w:r w:rsidR="00FD0C71" w:rsidRPr="006E5269">
        <w:rPr>
          <w:noProof/>
        </w:rPr>
        <w:t>tym</w:t>
      </w:r>
      <w:r w:rsidRPr="006E5269">
        <w:rPr>
          <w:noProof/>
        </w:rPr>
        <w:t xml:space="preserve"> UE, zmagali się ze szczególnymi wyzwaniami pod względem dostosowania oferowanego finansowania do niezwykle wysokiego odsetka narażonych osób starszych</w:t>
      </w:r>
      <w:r w:rsidR="00FD0C71" w:rsidRPr="006E5269">
        <w:rPr>
          <w:noProof/>
        </w:rPr>
        <w:t xml:space="preserve"> w</w:t>
      </w:r>
      <w:r w:rsidR="00FD0C71">
        <w:rPr>
          <w:noProof/>
        </w:rPr>
        <w:t> </w:t>
      </w:r>
      <w:r w:rsidR="00FD0C71" w:rsidRPr="006E5269">
        <w:rPr>
          <w:noProof/>
        </w:rPr>
        <w:t>dot</w:t>
      </w:r>
      <w:r w:rsidRPr="006E5269">
        <w:rPr>
          <w:noProof/>
        </w:rPr>
        <w:t>kniętej społeczności. Ponieważ potrzeby na tych obszarach pozostają znaczne, należy</w:t>
      </w:r>
      <w:r w:rsidR="00FD0C71" w:rsidRPr="006E5269">
        <w:rPr>
          <w:noProof/>
        </w:rPr>
        <w:t xml:space="preserve"> w</w:t>
      </w:r>
      <w:r w:rsidR="00FD0C71">
        <w:rPr>
          <w:noProof/>
        </w:rPr>
        <w:t> </w:t>
      </w:r>
      <w:r w:rsidR="00FD0C71" w:rsidRPr="006E5269">
        <w:rPr>
          <w:noProof/>
        </w:rPr>
        <w:t>dal</w:t>
      </w:r>
      <w:r w:rsidRPr="006E5269">
        <w:rPr>
          <w:noProof/>
        </w:rPr>
        <w:t>szym ciągu koncentrować się na rzecznictwie</w:t>
      </w:r>
      <w:r w:rsidR="00FD0C71" w:rsidRPr="006E5269">
        <w:rPr>
          <w:noProof/>
        </w:rPr>
        <w:t xml:space="preserve"> i</w:t>
      </w:r>
      <w:r w:rsidR="00FD0C71">
        <w:rPr>
          <w:noProof/>
        </w:rPr>
        <w:t> </w:t>
      </w:r>
      <w:r w:rsidR="00FD0C71" w:rsidRPr="006E5269">
        <w:rPr>
          <w:noProof/>
        </w:rPr>
        <w:t>fin</w:t>
      </w:r>
      <w:r w:rsidRPr="006E5269">
        <w:rPr>
          <w:noProof/>
        </w:rPr>
        <w:t>ansowaniu</w:t>
      </w:r>
      <w:r w:rsidR="00FD0C71" w:rsidRPr="006E5269">
        <w:rPr>
          <w:noProof/>
        </w:rPr>
        <w:t xml:space="preserve"> w</w:t>
      </w:r>
      <w:r w:rsidR="00FD0C71">
        <w:rPr>
          <w:noProof/>
        </w:rPr>
        <w:t> </w:t>
      </w:r>
      <w:r w:rsidR="00FD0C71" w:rsidRPr="006E5269">
        <w:rPr>
          <w:noProof/>
        </w:rPr>
        <w:t>naj</w:t>
      </w:r>
      <w:r w:rsidRPr="006E5269">
        <w:rPr>
          <w:noProof/>
        </w:rPr>
        <w:t>bliższej przyszłości pomimo utrudnionego dostępu.</w:t>
      </w:r>
      <w:r w:rsidRPr="006E5269">
        <w:rPr>
          <w:noProof/>
        </w:rPr>
        <w:br w:type="page"/>
      </w:r>
    </w:p>
    <w:p w:rsidR="00A1277F" w:rsidRPr="006E5269" w:rsidRDefault="003C5A6F" w:rsidP="00DC1C02">
      <w:pPr>
        <w:pStyle w:val="Heading310"/>
        <w:keepNext/>
        <w:keepLines/>
        <w:shd w:val="clear" w:color="auto" w:fill="auto"/>
        <w:spacing w:after="240" w:line="240" w:lineRule="auto"/>
        <w:ind w:firstLine="0"/>
        <w:jc w:val="left"/>
        <w:rPr>
          <w:noProof/>
          <w:color w:val="1F3864" w:themeColor="accent5" w:themeShade="80"/>
          <w:sz w:val="28"/>
          <w:u w:val="single"/>
        </w:rPr>
      </w:pPr>
      <w:bookmarkStart w:id="10" w:name="_Toc84941898"/>
      <w:r w:rsidRPr="006E5269">
        <w:rPr>
          <w:noProof/>
          <w:color w:val="1F3864" w:themeColor="accent5" w:themeShade="80"/>
          <w:sz w:val="28"/>
          <w:u w:val="single"/>
        </w:rPr>
        <w:t xml:space="preserve">Budżet </w:t>
      </w:r>
      <w:r w:rsidRPr="00FD0C71">
        <w:rPr>
          <w:noProof/>
          <w:color w:val="1F3864" w:themeColor="accent5" w:themeShade="80"/>
          <w:sz w:val="28"/>
          <w:u w:val="single"/>
        </w:rPr>
        <w:t>na</w:t>
      </w:r>
      <w:r w:rsidR="00FD0C71" w:rsidRPr="00FD0C71">
        <w:rPr>
          <w:noProof/>
          <w:color w:val="1F3864" w:themeColor="accent5" w:themeShade="80"/>
          <w:sz w:val="28"/>
          <w:u w:val="single"/>
        </w:rPr>
        <w:t> </w:t>
      </w:r>
      <w:r w:rsidRPr="00FD0C71">
        <w:rPr>
          <w:noProof/>
          <w:color w:val="1F3864" w:themeColor="accent5" w:themeShade="80"/>
          <w:sz w:val="28"/>
          <w:u w:val="single"/>
        </w:rPr>
        <w:t>2</w:t>
      </w:r>
      <w:r w:rsidRPr="006E5269">
        <w:rPr>
          <w:noProof/>
          <w:color w:val="1F3864" w:themeColor="accent5" w:themeShade="80"/>
          <w:sz w:val="28"/>
          <w:u w:val="single"/>
        </w:rPr>
        <w:t>0</w:t>
      </w:r>
      <w:r w:rsidRPr="00FD0C71">
        <w:rPr>
          <w:noProof/>
          <w:color w:val="1F3864" w:themeColor="accent5" w:themeShade="80"/>
          <w:sz w:val="28"/>
          <w:u w:val="single"/>
        </w:rPr>
        <w:t>20</w:t>
      </w:r>
      <w:r w:rsidR="00FD0C71" w:rsidRPr="00FD0C71">
        <w:rPr>
          <w:noProof/>
          <w:color w:val="1F3864" w:themeColor="accent5" w:themeShade="80"/>
          <w:sz w:val="28"/>
          <w:u w:val="single"/>
        </w:rPr>
        <w:t> </w:t>
      </w:r>
      <w:r w:rsidRPr="00FD0C71">
        <w:rPr>
          <w:noProof/>
          <w:color w:val="1F3864" w:themeColor="accent5" w:themeShade="80"/>
          <w:sz w:val="28"/>
          <w:u w:val="single"/>
        </w:rPr>
        <w:t>r.</w:t>
      </w:r>
      <w:bookmarkEnd w:id="3"/>
      <w:bookmarkEnd w:id="10"/>
    </w:p>
    <w:p w:rsidR="00A06000" w:rsidRPr="006E5269" w:rsidRDefault="00BD3EA3" w:rsidP="00DC1C02">
      <w:pPr>
        <w:pStyle w:val="Bodytext20"/>
        <w:shd w:val="clear" w:color="auto" w:fill="auto"/>
        <w:tabs>
          <w:tab w:val="left" w:pos="354"/>
        </w:tabs>
        <w:spacing w:after="240" w:line="240" w:lineRule="auto"/>
        <w:ind w:firstLine="0"/>
        <w:rPr>
          <w:noProof/>
          <w:color w:val="auto"/>
        </w:rPr>
      </w:pPr>
      <w:r w:rsidRPr="006E5269">
        <w:rPr>
          <w:noProof/>
        </w:rPr>
        <w:t>Umowy</w:t>
      </w:r>
      <w:r w:rsidR="00FD0C71" w:rsidRPr="006E5269">
        <w:rPr>
          <w:noProof/>
        </w:rPr>
        <w:t xml:space="preserve"> o</w:t>
      </w:r>
      <w:r w:rsidR="00FD0C71">
        <w:rPr>
          <w:noProof/>
        </w:rPr>
        <w:t> </w:t>
      </w:r>
      <w:r w:rsidR="00FD0C71" w:rsidRPr="006E5269">
        <w:rPr>
          <w:noProof/>
        </w:rPr>
        <w:t>fin</w:t>
      </w:r>
      <w:r w:rsidRPr="006E5269">
        <w:rPr>
          <w:noProof/>
        </w:rPr>
        <w:t>ansowanie</w:t>
      </w:r>
      <w:r w:rsidR="00FD0C71" w:rsidRPr="006E5269">
        <w:rPr>
          <w:noProof/>
        </w:rPr>
        <w:t xml:space="preserve"> w</w:t>
      </w:r>
      <w:r w:rsidR="00FD0C71">
        <w:rPr>
          <w:noProof/>
        </w:rPr>
        <w:t> </w:t>
      </w:r>
      <w:r w:rsidR="00FD0C71" w:rsidRPr="006E5269">
        <w:rPr>
          <w:noProof/>
        </w:rPr>
        <w:t>spr</w:t>
      </w:r>
      <w:r w:rsidRPr="006E5269">
        <w:rPr>
          <w:noProof/>
        </w:rPr>
        <w:t>awie pomocy humanitarnej zawarte przez Komisję</w:t>
      </w:r>
      <w:r w:rsidR="00FD0C71" w:rsidRPr="006E5269">
        <w:rPr>
          <w:noProof/>
        </w:rPr>
        <w:t xml:space="preserve"> w</w:t>
      </w:r>
      <w:r w:rsidR="00FD0C71">
        <w:rPr>
          <w:noProof/>
        </w:rPr>
        <w:t> </w:t>
      </w:r>
      <w:r w:rsidR="00FD0C71" w:rsidRPr="006E5269">
        <w:rPr>
          <w:noProof/>
        </w:rPr>
        <w:t>2</w:t>
      </w:r>
      <w:r w:rsidRPr="006E5269">
        <w:rPr>
          <w:noProof/>
        </w:rPr>
        <w:t>0</w:t>
      </w:r>
      <w:r w:rsidRPr="00FD0C71">
        <w:rPr>
          <w:noProof/>
        </w:rPr>
        <w:t>20</w:t>
      </w:r>
      <w:r w:rsidR="00FD0C71" w:rsidRPr="00FD0C71">
        <w:rPr>
          <w:noProof/>
        </w:rPr>
        <w:t> </w:t>
      </w:r>
      <w:r w:rsidRPr="00FD0C71">
        <w:rPr>
          <w:noProof/>
        </w:rPr>
        <w:t>r.</w:t>
      </w:r>
      <w:r w:rsidRPr="006E5269">
        <w:rPr>
          <w:noProof/>
        </w:rPr>
        <w:t xml:space="preserve"> </w:t>
      </w:r>
      <w:r w:rsidRPr="006E5269">
        <w:rPr>
          <w:noProof/>
          <w:color w:val="auto"/>
        </w:rPr>
        <w:t xml:space="preserve">można znaleźć na stronie internetowej poświęconej </w:t>
      </w:r>
      <w:hyperlink r:id="rId23" w:history="1">
        <w:r w:rsidRPr="006E5269">
          <w:rPr>
            <w:rStyle w:val="Hyperlink"/>
            <w:noProof/>
          </w:rPr>
          <w:t>systemowi przejrzystości finansowej</w:t>
        </w:r>
      </w:hyperlink>
      <w:r w:rsidRPr="006E5269">
        <w:rPr>
          <w:noProof/>
          <w:color w:val="auto"/>
        </w:rPr>
        <w:t xml:space="preserve">. </w:t>
      </w:r>
    </w:p>
    <w:p w:rsidR="0004266A" w:rsidRPr="006E5269" w:rsidRDefault="0004266A" w:rsidP="00DC1C02">
      <w:pPr>
        <w:pStyle w:val="Bodytext20"/>
        <w:shd w:val="clear" w:color="auto" w:fill="auto"/>
        <w:tabs>
          <w:tab w:val="left" w:pos="354"/>
        </w:tabs>
        <w:spacing w:after="240" w:line="240" w:lineRule="auto"/>
        <w:ind w:firstLine="0"/>
        <w:rPr>
          <w:b/>
          <w:noProof/>
          <w:u w:val="single"/>
        </w:rPr>
      </w:pPr>
    </w:p>
    <w:p w:rsidR="00400A44" w:rsidRPr="006E5269" w:rsidRDefault="003370A0" w:rsidP="00DC1C02">
      <w:pPr>
        <w:pStyle w:val="Bodytext20"/>
        <w:shd w:val="clear" w:color="auto" w:fill="auto"/>
        <w:tabs>
          <w:tab w:val="left" w:pos="354"/>
        </w:tabs>
        <w:spacing w:after="240" w:line="240" w:lineRule="auto"/>
        <w:ind w:firstLine="0"/>
        <w:rPr>
          <w:b/>
          <w:noProof/>
          <w:u w:val="single"/>
        </w:rPr>
      </w:pPr>
      <w:r w:rsidRPr="006E5269">
        <w:rPr>
          <w:b/>
          <w:noProof/>
          <w:u w:val="single"/>
        </w:rPr>
        <w:t>Wykonanie budżetu pomocy humanitarnej</w:t>
      </w:r>
    </w:p>
    <w:tbl>
      <w:tblPr>
        <w:tblW w:w="9126" w:type="dxa"/>
        <w:tblCellMar>
          <w:left w:w="0" w:type="dxa"/>
          <w:right w:w="0" w:type="dxa"/>
        </w:tblCellMar>
        <w:tblLook w:val="04A0" w:firstRow="1" w:lastRow="0" w:firstColumn="1" w:lastColumn="0" w:noHBand="0" w:noVBand="1"/>
      </w:tblPr>
      <w:tblGrid>
        <w:gridCol w:w="6385"/>
        <w:gridCol w:w="222"/>
        <w:gridCol w:w="1198"/>
        <w:gridCol w:w="222"/>
        <w:gridCol w:w="1099"/>
      </w:tblGrid>
      <w:tr w:rsidR="00400A44" w:rsidRPr="006E5269" w:rsidTr="00DD4274">
        <w:trPr>
          <w:trHeight w:val="511"/>
        </w:trPr>
        <w:tc>
          <w:tcPr>
            <w:tcW w:w="9126" w:type="dxa"/>
            <w:gridSpan w:val="5"/>
            <w:tcBorders>
              <w:top w:val="nil"/>
              <w:left w:val="nil"/>
              <w:bottom w:val="nil"/>
              <w:right w:val="nil"/>
            </w:tcBorders>
            <w:shd w:val="clear" w:color="000000" w:fill="FF6600"/>
            <w:noWrap/>
            <w:tcMar>
              <w:top w:w="15" w:type="dxa"/>
              <w:left w:w="15" w:type="dxa"/>
              <w:bottom w:w="0" w:type="dxa"/>
              <w:right w:w="15" w:type="dxa"/>
            </w:tcMar>
            <w:vAlign w:val="center"/>
            <w:hideMark/>
          </w:tcPr>
          <w:p w:rsidR="00400A44" w:rsidRPr="006E5269" w:rsidRDefault="003270B4" w:rsidP="00DC1C02">
            <w:pPr>
              <w:widowControl/>
              <w:jc w:val="center"/>
              <w:rPr>
                <w:rFonts w:ascii="Arial Narrow" w:hAnsi="Arial Narrow" w:cs="Arial"/>
                <w:b/>
                <w:bCs/>
                <w:noProof/>
                <w:sz w:val="32"/>
                <w:szCs w:val="32"/>
              </w:rPr>
            </w:pPr>
            <w:r w:rsidRPr="006E5269">
              <w:rPr>
                <w:rFonts w:ascii="Arial Narrow" w:hAnsi="Arial Narrow"/>
                <w:b/>
                <w:bCs/>
                <w:noProof/>
                <w:sz w:val="32"/>
                <w:szCs w:val="32"/>
              </w:rPr>
              <w:t>WYKONANIE BUDŻETU POMOCY HUMANITARNEJ NA 2020 R.</w:t>
            </w:r>
          </w:p>
          <w:p w:rsidR="00DC1C02" w:rsidRPr="006E5269" w:rsidRDefault="00DC1C02" w:rsidP="00DC1C02">
            <w:pPr>
              <w:widowControl/>
              <w:jc w:val="center"/>
              <w:rPr>
                <w:rFonts w:ascii="Arial Narrow" w:hAnsi="Arial Narrow" w:cs="Arial"/>
                <w:b/>
                <w:bCs/>
                <w:noProof/>
                <w:sz w:val="32"/>
                <w:szCs w:val="32"/>
              </w:rPr>
            </w:pPr>
            <w:r w:rsidRPr="006E5269">
              <w:rPr>
                <w:rFonts w:ascii="Arial Narrow" w:hAnsi="Arial Narrow"/>
                <w:i/>
                <w:iCs/>
                <w:noProof/>
                <w:sz w:val="22"/>
                <w:szCs w:val="22"/>
              </w:rPr>
              <w:t>Z wyłączeniem zewnętrznych dochodów przeznaczonych na określony cel od państw członkowskich</w:t>
            </w:r>
          </w:p>
        </w:tc>
      </w:tr>
      <w:tr w:rsidR="00400A44" w:rsidRPr="006E5269" w:rsidTr="00DD4274">
        <w:tblPrEx>
          <w:tblCellMar>
            <w:left w:w="108" w:type="dxa"/>
            <w:right w:w="108" w:type="dxa"/>
          </w:tblCellMar>
        </w:tblPrEx>
        <w:trPr>
          <w:trHeight w:val="85"/>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jc w:val="center"/>
              <w:rPr>
                <w:rFonts w:ascii="Arial Narrow" w:hAnsi="Arial Narrow" w:cs="Arial"/>
                <w:b/>
                <w:bCs/>
                <w:noProof/>
                <w:sz w:val="32"/>
                <w:szCs w:val="3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411"/>
        </w:trPr>
        <w:tc>
          <w:tcPr>
            <w:tcW w:w="6385" w:type="dxa"/>
            <w:tcBorders>
              <w:top w:val="nil"/>
              <w:left w:val="nil"/>
              <w:bottom w:val="nil"/>
              <w:right w:val="nil"/>
            </w:tcBorders>
            <w:shd w:val="clear" w:color="000000" w:fill="FF6600"/>
            <w:noWrap/>
            <w:vAlign w:val="center"/>
            <w:hideMark/>
          </w:tcPr>
          <w:p w:rsidR="00400A44" w:rsidRPr="006E5269" w:rsidRDefault="00400A44" w:rsidP="00DC1C02">
            <w:pPr>
              <w:widowControl/>
              <w:jc w:val="center"/>
              <w:rPr>
                <w:rFonts w:ascii="Arial Narrow" w:hAnsi="Arial Narrow" w:cs="Arial"/>
                <w:b/>
                <w:bCs/>
                <w:noProof/>
                <w:sz w:val="22"/>
                <w:szCs w:val="22"/>
              </w:rPr>
            </w:pPr>
            <w:r w:rsidRPr="006E5269">
              <w:rPr>
                <w:rFonts w:ascii="Arial Narrow" w:hAnsi="Arial Narrow"/>
                <w:b/>
                <w:bCs/>
                <w:noProof/>
                <w:sz w:val="22"/>
                <w:szCs w:val="22"/>
              </w:rPr>
              <w:t>Region/państwo</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center"/>
              <w:rPr>
                <w:rFonts w:ascii="Arial Narrow" w:hAnsi="Arial Narrow" w:cs="Arial"/>
                <w:b/>
                <w:bCs/>
                <w:noProof/>
                <w:sz w:val="22"/>
                <w:szCs w:val="22"/>
                <w:lang w:bidi="ar-SA"/>
              </w:rPr>
            </w:pPr>
          </w:p>
        </w:tc>
        <w:tc>
          <w:tcPr>
            <w:tcW w:w="1198" w:type="dxa"/>
            <w:tcBorders>
              <w:top w:val="nil"/>
              <w:left w:val="nil"/>
              <w:bottom w:val="nil"/>
              <w:right w:val="nil"/>
            </w:tcBorders>
            <w:shd w:val="clear" w:color="000000" w:fill="FF6600"/>
            <w:noWrap/>
            <w:vAlign w:val="center"/>
            <w:hideMark/>
          </w:tcPr>
          <w:p w:rsidR="00400A44" w:rsidRPr="006E5269" w:rsidRDefault="00400A44" w:rsidP="00DC1C02">
            <w:pPr>
              <w:widowControl/>
              <w:jc w:val="center"/>
              <w:rPr>
                <w:rFonts w:ascii="Arial Narrow" w:hAnsi="Arial Narrow" w:cs="Arial"/>
                <w:b/>
                <w:bCs/>
                <w:noProof/>
                <w:sz w:val="22"/>
                <w:szCs w:val="22"/>
              </w:rPr>
            </w:pPr>
            <w:r w:rsidRPr="006E5269">
              <w:rPr>
                <w:rFonts w:ascii="Arial Narrow" w:hAnsi="Arial Narrow"/>
                <w:b/>
                <w:bCs/>
                <w:noProof/>
                <w:sz w:val="22"/>
                <w:szCs w:val="22"/>
              </w:rPr>
              <w:t>Kwota</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center"/>
              <w:rPr>
                <w:rFonts w:ascii="Arial Narrow" w:hAnsi="Arial Narrow" w:cs="Arial"/>
                <w:b/>
                <w:bCs/>
                <w:noProof/>
                <w:sz w:val="22"/>
                <w:szCs w:val="22"/>
                <w:lang w:bidi="ar-SA"/>
              </w:rPr>
            </w:pPr>
          </w:p>
        </w:tc>
        <w:tc>
          <w:tcPr>
            <w:tcW w:w="1099" w:type="dxa"/>
            <w:tcBorders>
              <w:top w:val="nil"/>
              <w:left w:val="nil"/>
              <w:bottom w:val="nil"/>
              <w:right w:val="nil"/>
            </w:tcBorders>
            <w:shd w:val="clear" w:color="000000" w:fill="FF6600"/>
            <w:noWrap/>
            <w:vAlign w:val="center"/>
            <w:hideMark/>
          </w:tcPr>
          <w:p w:rsidR="00400A44" w:rsidRPr="006E5269" w:rsidRDefault="00400A44" w:rsidP="00DC1C02">
            <w:pPr>
              <w:widowControl/>
              <w:jc w:val="center"/>
              <w:rPr>
                <w:rFonts w:ascii="Arial Narrow" w:hAnsi="Arial Narrow" w:cs="Arial"/>
                <w:b/>
                <w:bCs/>
                <w:noProof/>
                <w:sz w:val="22"/>
                <w:szCs w:val="22"/>
              </w:rPr>
            </w:pPr>
            <w:r w:rsidRPr="006E5269">
              <w:rPr>
                <w:rFonts w:ascii="Arial Narrow" w:hAnsi="Arial Narrow"/>
                <w:b/>
                <w:bCs/>
                <w:noProof/>
                <w:sz w:val="22"/>
                <w:szCs w:val="22"/>
              </w:rPr>
              <w:t>%</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jc w:val="center"/>
              <w:rPr>
                <w:rFonts w:ascii="Arial Narrow" w:hAnsi="Arial Narrow" w:cs="Arial"/>
                <w:b/>
                <w:bCs/>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center"/>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jc w:val="center"/>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center"/>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jc w:val="center"/>
              <w:rPr>
                <w:noProof/>
                <w:color w:val="auto"/>
                <w:sz w:val="20"/>
                <w:szCs w:val="20"/>
                <w:lang w:bidi="ar-SA"/>
              </w:rPr>
            </w:pPr>
          </w:p>
        </w:tc>
      </w:tr>
      <w:tr w:rsidR="00400A44" w:rsidRPr="006E5269" w:rsidTr="00DD4274">
        <w:tblPrEx>
          <w:tblCellMar>
            <w:left w:w="108" w:type="dxa"/>
            <w:right w:w="108" w:type="dxa"/>
          </w:tblCellMar>
        </w:tblPrEx>
        <w:trPr>
          <w:trHeight w:val="283"/>
        </w:trPr>
        <w:tc>
          <w:tcPr>
            <w:tcW w:w="6385" w:type="dxa"/>
            <w:tcBorders>
              <w:top w:val="nil"/>
              <w:left w:val="nil"/>
              <w:bottom w:val="nil"/>
              <w:right w:val="nil"/>
            </w:tcBorders>
            <w:shd w:val="clear" w:color="000000" w:fill="FFCC99"/>
            <w:noWrap/>
            <w:vAlign w:val="center"/>
            <w:hideMark/>
          </w:tcPr>
          <w:p w:rsidR="00400A44" w:rsidRPr="006E5269" w:rsidRDefault="00400A44" w:rsidP="00DC1C02">
            <w:pPr>
              <w:widowControl/>
              <w:rPr>
                <w:rFonts w:ascii="Arial Narrow" w:hAnsi="Arial Narrow" w:cs="Arial"/>
                <w:b/>
                <w:bCs/>
                <w:noProof/>
                <w:sz w:val="22"/>
                <w:szCs w:val="22"/>
              </w:rPr>
            </w:pPr>
            <w:r w:rsidRPr="006E5269">
              <w:rPr>
                <w:rFonts w:ascii="Arial Narrow" w:hAnsi="Arial Narrow"/>
                <w:b/>
                <w:bCs/>
                <w:noProof/>
                <w:sz w:val="22"/>
                <w:szCs w:val="22"/>
              </w:rPr>
              <w:t>Afryka</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b/>
                <w:bCs/>
                <w:noProof/>
                <w:sz w:val="22"/>
                <w:szCs w:val="22"/>
                <w:lang w:bidi="ar-SA"/>
              </w:rPr>
            </w:pPr>
          </w:p>
        </w:tc>
        <w:tc>
          <w:tcPr>
            <w:tcW w:w="1198" w:type="dxa"/>
            <w:tcBorders>
              <w:top w:val="nil"/>
              <w:left w:val="nil"/>
              <w:bottom w:val="nil"/>
              <w:right w:val="nil"/>
            </w:tcBorders>
            <w:shd w:val="clear" w:color="000000" w:fill="FFCC99"/>
            <w:noWrap/>
            <w:vAlign w:val="center"/>
            <w:hideMark/>
          </w:tcPr>
          <w:p w:rsidR="00400A44" w:rsidRPr="006E5269" w:rsidRDefault="00400A44" w:rsidP="00DC1C02">
            <w:pPr>
              <w:widowControl/>
              <w:jc w:val="right"/>
              <w:rPr>
                <w:rFonts w:ascii="Arial Narrow" w:hAnsi="Arial Narrow" w:cs="Arial"/>
                <w:b/>
                <w:bCs/>
                <w:noProof/>
                <w:sz w:val="22"/>
                <w:szCs w:val="22"/>
              </w:rPr>
            </w:pPr>
            <w:r w:rsidRPr="006E5269">
              <w:rPr>
                <w:rFonts w:ascii="Arial Narrow" w:hAnsi="Arial Narrow"/>
                <w:b/>
                <w:bCs/>
                <w:noProof/>
                <w:sz w:val="22"/>
                <w:szCs w:val="22"/>
              </w:rPr>
              <w:t>637</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b/>
                <w:bCs/>
                <w:noProof/>
                <w:sz w:val="22"/>
                <w:szCs w:val="22"/>
                <w:lang w:bidi="ar-SA"/>
              </w:rPr>
            </w:pPr>
          </w:p>
        </w:tc>
        <w:tc>
          <w:tcPr>
            <w:tcW w:w="1099" w:type="dxa"/>
            <w:tcBorders>
              <w:top w:val="nil"/>
              <w:left w:val="nil"/>
              <w:bottom w:val="nil"/>
              <w:right w:val="nil"/>
            </w:tcBorders>
            <w:shd w:val="clear" w:color="000000" w:fill="FFCC99"/>
            <w:noWrap/>
            <w:vAlign w:val="center"/>
            <w:hideMark/>
          </w:tcPr>
          <w:p w:rsidR="00400A44" w:rsidRPr="006E5269" w:rsidRDefault="00E50E3C" w:rsidP="00DC1C02">
            <w:pPr>
              <w:widowControl/>
              <w:jc w:val="right"/>
              <w:rPr>
                <w:rFonts w:ascii="Arial Narrow" w:hAnsi="Arial Narrow" w:cs="Arial"/>
                <w:b/>
                <w:bCs/>
                <w:noProof/>
                <w:sz w:val="22"/>
                <w:szCs w:val="22"/>
              </w:rPr>
            </w:pPr>
            <w:r w:rsidRPr="006E5269">
              <w:rPr>
                <w:rFonts w:ascii="Arial Narrow" w:hAnsi="Arial Narrow"/>
                <w:b/>
                <w:bCs/>
                <w:noProof/>
                <w:sz w:val="22"/>
                <w:szCs w:val="22"/>
              </w:rPr>
              <w:t>3</w:t>
            </w:r>
            <w:r w:rsidRPr="00FD0C71">
              <w:rPr>
                <w:rFonts w:ascii="Arial Narrow" w:hAnsi="Arial Narrow"/>
                <w:b/>
                <w:bCs/>
                <w:noProof/>
                <w:sz w:val="22"/>
                <w:szCs w:val="22"/>
              </w:rPr>
              <w:t>0</w:t>
            </w:r>
            <w:r w:rsidR="00FD0C71" w:rsidRPr="00FD0C71">
              <w:rPr>
                <w:rFonts w:ascii="Arial Narrow" w:hAnsi="Arial Narrow"/>
                <w:b/>
                <w:bCs/>
                <w:noProof/>
                <w:sz w:val="22"/>
                <w:szCs w:val="22"/>
              </w:rPr>
              <w:t> </w:t>
            </w:r>
            <w:r w:rsidRPr="00FD0C71">
              <w:rPr>
                <w:rFonts w:ascii="Arial Narrow" w:hAnsi="Arial Narrow"/>
                <w:b/>
                <w:bCs/>
                <w:noProof/>
                <w:sz w:val="22"/>
                <w:szCs w:val="22"/>
              </w:rPr>
              <w:t>%</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b/>
                <w:bCs/>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65"/>
        </w:trPr>
        <w:tc>
          <w:tcPr>
            <w:tcW w:w="6385"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Górne dorzecze Nilu</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1198" w:type="dxa"/>
            <w:tcBorders>
              <w:top w:val="nil"/>
              <w:left w:val="nil"/>
              <w:bottom w:val="nil"/>
              <w:right w:val="nil"/>
            </w:tcBorders>
            <w:shd w:val="clear" w:color="000000" w:fill="FFFF99"/>
            <w:noWrap/>
            <w:vAlign w:val="center"/>
            <w:hideMark/>
          </w:tcPr>
          <w:p w:rsidR="00400A44" w:rsidRPr="006E5269" w:rsidRDefault="00400A44" w:rsidP="00DC1C02">
            <w:pPr>
              <w:widowControl/>
              <w:jc w:val="right"/>
              <w:rPr>
                <w:rFonts w:ascii="Arial Narrow" w:hAnsi="Arial Narrow" w:cs="Arial"/>
                <w:noProof/>
                <w:sz w:val="22"/>
                <w:szCs w:val="22"/>
              </w:rPr>
            </w:pPr>
            <w:r w:rsidRPr="006E5269">
              <w:rPr>
                <w:rFonts w:ascii="Arial Narrow" w:hAnsi="Arial Narrow"/>
                <w:noProof/>
                <w:sz w:val="22"/>
                <w:szCs w:val="22"/>
              </w:rPr>
              <w:t>158</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noProof/>
                <w:sz w:val="22"/>
                <w:szCs w:val="22"/>
                <w:lang w:bidi="ar-SA"/>
              </w:rPr>
            </w:pPr>
          </w:p>
        </w:tc>
        <w:tc>
          <w:tcPr>
            <w:tcW w:w="1099"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 xml:space="preserve"> </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65"/>
        </w:trPr>
        <w:tc>
          <w:tcPr>
            <w:tcW w:w="6385"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Afryka Środkowa</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1198" w:type="dxa"/>
            <w:tcBorders>
              <w:top w:val="nil"/>
              <w:left w:val="nil"/>
              <w:bottom w:val="nil"/>
              <w:right w:val="nil"/>
            </w:tcBorders>
            <w:shd w:val="clear" w:color="000000" w:fill="FFFF99"/>
            <w:noWrap/>
            <w:vAlign w:val="center"/>
            <w:hideMark/>
          </w:tcPr>
          <w:p w:rsidR="00400A44" w:rsidRPr="006E5269" w:rsidRDefault="00400A44" w:rsidP="00DC1C02">
            <w:pPr>
              <w:widowControl/>
              <w:jc w:val="right"/>
              <w:rPr>
                <w:rFonts w:ascii="Arial Narrow" w:hAnsi="Arial Narrow" w:cs="Arial"/>
                <w:noProof/>
                <w:sz w:val="22"/>
                <w:szCs w:val="22"/>
              </w:rPr>
            </w:pPr>
            <w:r w:rsidRPr="006E5269">
              <w:rPr>
                <w:rFonts w:ascii="Arial Narrow" w:hAnsi="Arial Narrow"/>
                <w:noProof/>
                <w:sz w:val="22"/>
                <w:szCs w:val="22"/>
              </w:rPr>
              <w:t>117</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noProof/>
                <w:sz w:val="22"/>
                <w:szCs w:val="22"/>
                <w:lang w:bidi="ar-SA"/>
              </w:rPr>
            </w:pPr>
          </w:p>
        </w:tc>
        <w:tc>
          <w:tcPr>
            <w:tcW w:w="1099"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 xml:space="preserve"> </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65"/>
        </w:trPr>
        <w:tc>
          <w:tcPr>
            <w:tcW w:w="6385"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Region Wielkich Jezior</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1198" w:type="dxa"/>
            <w:tcBorders>
              <w:top w:val="nil"/>
              <w:left w:val="nil"/>
              <w:bottom w:val="nil"/>
              <w:right w:val="nil"/>
            </w:tcBorders>
            <w:shd w:val="clear" w:color="000000" w:fill="FFFF99"/>
            <w:noWrap/>
            <w:vAlign w:val="center"/>
            <w:hideMark/>
          </w:tcPr>
          <w:p w:rsidR="00400A44" w:rsidRPr="006E5269" w:rsidRDefault="00400A44" w:rsidP="00DC1C02">
            <w:pPr>
              <w:widowControl/>
              <w:jc w:val="right"/>
              <w:rPr>
                <w:rFonts w:ascii="Arial Narrow" w:hAnsi="Arial Narrow" w:cs="Arial"/>
                <w:noProof/>
                <w:sz w:val="22"/>
                <w:szCs w:val="22"/>
              </w:rPr>
            </w:pPr>
            <w:r w:rsidRPr="006E5269">
              <w:rPr>
                <w:rFonts w:ascii="Arial Narrow" w:hAnsi="Arial Narrow"/>
                <w:noProof/>
                <w:sz w:val="22"/>
                <w:szCs w:val="22"/>
              </w:rPr>
              <w:t>47</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noProof/>
                <w:sz w:val="22"/>
                <w:szCs w:val="22"/>
                <w:lang w:bidi="ar-SA"/>
              </w:rPr>
            </w:pPr>
          </w:p>
        </w:tc>
        <w:tc>
          <w:tcPr>
            <w:tcW w:w="1099"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 xml:space="preserve"> </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65"/>
        </w:trPr>
        <w:tc>
          <w:tcPr>
            <w:tcW w:w="6385"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Róg Afryki</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1198" w:type="dxa"/>
            <w:tcBorders>
              <w:top w:val="nil"/>
              <w:left w:val="nil"/>
              <w:bottom w:val="nil"/>
              <w:right w:val="nil"/>
            </w:tcBorders>
            <w:shd w:val="clear" w:color="000000" w:fill="FFFF99"/>
            <w:noWrap/>
            <w:vAlign w:val="center"/>
            <w:hideMark/>
          </w:tcPr>
          <w:p w:rsidR="00400A44" w:rsidRPr="006E5269" w:rsidRDefault="00400A44" w:rsidP="00DC1C02">
            <w:pPr>
              <w:widowControl/>
              <w:jc w:val="right"/>
              <w:rPr>
                <w:rFonts w:ascii="Arial Narrow" w:hAnsi="Arial Narrow" w:cs="Arial"/>
                <w:noProof/>
                <w:sz w:val="22"/>
                <w:szCs w:val="22"/>
              </w:rPr>
            </w:pPr>
            <w:r w:rsidRPr="006E5269">
              <w:rPr>
                <w:rFonts w:ascii="Arial Narrow" w:hAnsi="Arial Narrow"/>
                <w:noProof/>
                <w:sz w:val="22"/>
                <w:szCs w:val="22"/>
              </w:rPr>
              <w:t>127</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noProof/>
                <w:sz w:val="22"/>
                <w:szCs w:val="22"/>
                <w:lang w:bidi="ar-SA"/>
              </w:rPr>
            </w:pPr>
          </w:p>
        </w:tc>
        <w:tc>
          <w:tcPr>
            <w:tcW w:w="1099"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 xml:space="preserve"> </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65"/>
        </w:trPr>
        <w:tc>
          <w:tcPr>
            <w:tcW w:w="6385"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Afryka Południowa, Ocean Indyjski</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1198" w:type="dxa"/>
            <w:tcBorders>
              <w:top w:val="nil"/>
              <w:left w:val="nil"/>
              <w:bottom w:val="nil"/>
              <w:right w:val="nil"/>
            </w:tcBorders>
            <w:shd w:val="clear" w:color="000000" w:fill="FFFF99"/>
            <w:noWrap/>
            <w:vAlign w:val="center"/>
            <w:hideMark/>
          </w:tcPr>
          <w:p w:rsidR="00400A44" w:rsidRPr="006E5269" w:rsidRDefault="00400A44" w:rsidP="00DC1C02">
            <w:pPr>
              <w:widowControl/>
              <w:jc w:val="right"/>
              <w:rPr>
                <w:rFonts w:ascii="Arial Narrow" w:hAnsi="Arial Narrow" w:cs="Arial"/>
                <w:noProof/>
                <w:sz w:val="22"/>
                <w:szCs w:val="22"/>
              </w:rPr>
            </w:pPr>
            <w:r w:rsidRPr="006E5269">
              <w:rPr>
                <w:rFonts w:ascii="Arial Narrow" w:hAnsi="Arial Narrow"/>
                <w:noProof/>
                <w:sz w:val="22"/>
                <w:szCs w:val="22"/>
              </w:rPr>
              <w:t>65</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noProof/>
                <w:sz w:val="22"/>
                <w:szCs w:val="22"/>
                <w:lang w:bidi="ar-SA"/>
              </w:rPr>
            </w:pPr>
          </w:p>
        </w:tc>
        <w:tc>
          <w:tcPr>
            <w:tcW w:w="1099"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 xml:space="preserve"> </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65"/>
        </w:trPr>
        <w:tc>
          <w:tcPr>
            <w:tcW w:w="6385"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Afryka Zachodnia</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1198" w:type="dxa"/>
            <w:tcBorders>
              <w:top w:val="nil"/>
              <w:left w:val="nil"/>
              <w:bottom w:val="nil"/>
              <w:right w:val="nil"/>
            </w:tcBorders>
            <w:shd w:val="clear" w:color="000000" w:fill="FFFF99"/>
            <w:noWrap/>
            <w:vAlign w:val="center"/>
            <w:hideMark/>
          </w:tcPr>
          <w:p w:rsidR="00400A44" w:rsidRPr="006E5269" w:rsidRDefault="00400A44" w:rsidP="00DC1C02">
            <w:pPr>
              <w:widowControl/>
              <w:jc w:val="right"/>
              <w:rPr>
                <w:rFonts w:ascii="Arial Narrow" w:hAnsi="Arial Narrow" w:cs="Arial"/>
                <w:noProof/>
                <w:sz w:val="22"/>
                <w:szCs w:val="22"/>
              </w:rPr>
            </w:pPr>
            <w:r w:rsidRPr="006E5269">
              <w:rPr>
                <w:rFonts w:ascii="Arial Narrow" w:hAnsi="Arial Narrow"/>
                <w:noProof/>
                <w:sz w:val="22"/>
                <w:szCs w:val="22"/>
              </w:rPr>
              <w:t>90</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noProof/>
                <w:sz w:val="22"/>
                <w:szCs w:val="22"/>
                <w:lang w:bidi="ar-SA"/>
              </w:rPr>
            </w:pPr>
          </w:p>
        </w:tc>
        <w:tc>
          <w:tcPr>
            <w:tcW w:w="1099"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 xml:space="preserve"> </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65"/>
        </w:trPr>
        <w:tc>
          <w:tcPr>
            <w:tcW w:w="6385"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Afryka Północna</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1198" w:type="dxa"/>
            <w:tcBorders>
              <w:top w:val="nil"/>
              <w:left w:val="nil"/>
              <w:bottom w:val="nil"/>
              <w:right w:val="nil"/>
            </w:tcBorders>
            <w:shd w:val="clear" w:color="000000" w:fill="FFFF99"/>
            <w:noWrap/>
            <w:vAlign w:val="center"/>
            <w:hideMark/>
          </w:tcPr>
          <w:p w:rsidR="00400A44" w:rsidRPr="006E5269" w:rsidRDefault="00400A44" w:rsidP="00DC1C02">
            <w:pPr>
              <w:widowControl/>
              <w:jc w:val="right"/>
              <w:rPr>
                <w:rFonts w:ascii="Arial Narrow" w:hAnsi="Arial Narrow" w:cs="Arial"/>
                <w:noProof/>
                <w:sz w:val="22"/>
                <w:szCs w:val="22"/>
              </w:rPr>
            </w:pPr>
            <w:r w:rsidRPr="006E5269">
              <w:rPr>
                <w:rFonts w:ascii="Arial Narrow" w:hAnsi="Arial Narrow"/>
                <w:noProof/>
                <w:sz w:val="22"/>
                <w:szCs w:val="22"/>
              </w:rPr>
              <w:t>23</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noProof/>
                <w:sz w:val="22"/>
                <w:szCs w:val="22"/>
                <w:lang w:bidi="ar-SA"/>
              </w:rPr>
            </w:pPr>
          </w:p>
        </w:tc>
        <w:tc>
          <w:tcPr>
            <w:tcW w:w="1099"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 xml:space="preserve"> </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65"/>
        </w:trPr>
        <w:tc>
          <w:tcPr>
            <w:tcW w:w="6385" w:type="dxa"/>
            <w:tcBorders>
              <w:top w:val="nil"/>
              <w:left w:val="nil"/>
              <w:bottom w:val="nil"/>
              <w:right w:val="nil"/>
            </w:tcBorders>
            <w:shd w:val="clear" w:color="000000" w:fill="FFFF99"/>
            <w:noWrap/>
            <w:vAlign w:val="center"/>
            <w:hideMark/>
          </w:tcPr>
          <w:p w:rsidR="00400A44" w:rsidRPr="006E5269" w:rsidRDefault="002E715D" w:rsidP="00DC1C02">
            <w:pPr>
              <w:widowControl/>
              <w:rPr>
                <w:rFonts w:ascii="Arial Narrow" w:hAnsi="Arial Narrow" w:cs="Arial"/>
                <w:noProof/>
                <w:sz w:val="22"/>
                <w:szCs w:val="22"/>
              </w:rPr>
            </w:pPr>
            <w:r w:rsidRPr="006E5269">
              <w:rPr>
                <w:rFonts w:ascii="Arial Narrow" w:hAnsi="Arial Narrow"/>
                <w:noProof/>
                <w:sz w:val="22"/>
                <w:szCs w:val="22"/>
              </w:rPr>
              <w:t>Fundusz powierniczy UE dla Afryki</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1198" w:type="dxa"/>
            <w:tcBorders>
              <w:top w:val="nil"/>
              <w:left w:val="nil"/>
              <w:bottom w:val="nil"/>
              <w:right w:val="nil"/>
            </w:tcBorders>
            <w:shd w:val="clear" w:color="000000" w:fill="FFFF99"/>
            <w:noWrap/>
            <w:vAlign w:val="center"/>
            <w:hideMark/>
          </w:tcPr>
          <w:p w:rsidR="00400A44" w:rsidRPr="006E5269" w:rsidRDefault="00400A44" w:rsidP="00DC1C02">
            <w:pPr>
              <w:widowControl/>
              <w:jc w:val="right"/>
              <w:rPr>
                <w:rFonts w:ascii="Arial Narrow" w:hAnsi="Arial Narrow" w:cs="Arial"/>
                <w:noProof/>
                <w:sz w:val="22"/>
                <w:szCs w:val="22"/>
              </w:rPr>
            </w:pPr>
            <w:r w:rsidRPr="006E5269">
              <w:rPr>
                <w:rFonts w:ascii="Arial Narrow" w:hAnsi="Arial Narrow"/>
                <w:noProof/>
                <w:sz w:val="22"/>
                <w:szCs w:val="22"/>
              </w:rPr>
              <w:t>10</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noProof/>
                <w:sz w:val="22"/>
                <w:szCs w:val="22"/>
                <w:lang w:bidi="ar-SA"/>
              </w:rPr>
            </w:pPr>
          </w:p>
        </w:tc>
        <w:tc>
          <w:tcPr>
            <w:tcW w:w="1099"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 xml:space="preserve"> </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83"/>
        </w:trPr>
        <w:tc>
          <w:tcPr>
            <w:tcW w:w="6385" w:type="dxa"/>
            <w:tcBorders>
              <w:top w:val="nil"/>
              <w:left w:val="nil"/>
              <w:bottom w:val="nil"/>
              <w:right w:val="nil"/>
            </w:tcBorders>
            <w:shd w:val="clear" w:color="000000" w:fill="FFCC99"/>
            <w:noWrap/>
            <w:vAlign w:val="center"/>
            <w:hideMark/>
          </w:tcPr>
          <w:p w:rsidR="00400A44" w:rsidRPr="006E5269" w:rsidRDefault="00400A44" w:rsidP="00DC1C02">
            <w:pPr>
              <w:widowControl/>
              <w:rPr>
                <w:rFonts w:ascii="Arial Narrow" w:hAnsi="Arial Narrow" w:cs="Arial"/>
                <w:b/>
                <w:bCs/>
                <w:noProof/>
                <w:sz w:val="22"/>
                <w:szCs w:val="22"/>
              </w:rPr>
            </w:pPr>
            <w:r w:rsidRPr="006E5269">
              <w:rPr>
                <w:rFonts w:ascii="Arial Narrow" w:hAnsi="Arial Narrow"/>
                <w:b/>
                <w:bCs/>
                <w:noProof/>
                <w:sz w:val="22"/>
                <w:szCs w:val="22"/>
              </w:rPr>
              <w:t>Bliski Wschód, Europa Południowo-Wschodnia</w:t>
            </w:r>
            <w:r w:rsidR="00FD0C71" w:rsidRPr="006E5269">
              <w:rPr>
                <w:rFonts w:ascii="Arial Narrow" w:hAnsi="Arial Narrow"/>
                <w:b/>
                <w:bCs/>
                <w:noProof/>
                <w:sz w:val="22"/>
                <w:szCs w:val="22"/>
              </w:rPr>
              <w:t xml:space="preserve"> i</w:t>
            </w:r>
            <w:r w:rsidR="00FD0C71">
              <w:rPr>
                <w:rFonts w:ascii="Arial Narrow" w:hAnsi="Arial Narrow"/>
                <w:b/>
                <w:bCs/>
                <w:noProof/>
                <w:sz w:val="22"/>
                <w:szCs w:val="22"/>
              </w:rPr>
              <w:t> </w:t>
            </w:r>
            <w:r w:rsidR="00FD0C71" w:rsidRPr="006E5269">
              <w:rPr>
                <w:rFonts w:ascii="Arial Narrow" w:hAnsi="Arial Narrow"/>
                <w:b/>
                <w:bCs/>
                <w:noProof/>
                <w:sz w:val="22"/>
                <w:szCs w:val="22"/>
              </w:rPr>
              <w:t>wsc</w:t>
            </w:r>
            <w:r w:rsidRPr="006E5269">
              <w:rPr>
                <w:rFonts w:ascii="Arial Narrow" w:hAnsi="Arial Narrow"/>
                <w:b/>
                <w:bCs/>
                <w:noProof/>
                <w:sz w:val="22"/>
                <w:szCs w:val="22"/>
              </w:rPr>
              <w:t>hodnie sąsiedztwo</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b/>
                <w:bCs/>
                <w:noProof/>
                <w:sz w:val="22"/>
                <w:szCs w:val="22"/>
                <w:lang w:bidi="ar-SA"/>
              </w:rPr>
            </w:pPr>
          </w:p>
        </w:tc>
        <w:tc>
          <w:tcPr>
            <w:tcW w:w="1198" w:type="dxa"/>
            <w:tcBorders>
              <w:top w:val="nil"/>
              <w:left w:val="nil"/>
              <w:bottom w:val="nil"/>
              <w:right w:val="nil"/>
            </w:tcBorders>
            <w:shd w:val="clear" w:color="000000" w:fill="FFCC99"/>
            <w:noWrap/>
            <w:vAlign w:val="center"/>
            <w:hideMark/>
          </w:tcPr>
          <w:p w:rsidR="00400A44" w:rsidRPr="006E5269" w:rsidRDefault="00400A44">
            <w:pPr>
              <w:widowControl/>
              <w:jc w:val="right"/>
              <w:rPr>
                <w:rFonts w:ascii="Arial Narrow" w:hAnsi="Arial Narrow" w:cs="Arial"/>
                <w:b/>
                <w:bCs/>
                <w:noProof/>
                <w:sz w:val="22"/>
                <w:szCs w:val="22"/>
              </w:rPr>
            </w:pPr>
            <w:r w:rsidRPr="006E5269">
              <w:rPr>
                <w:rFonts w:ascii="Arial Narrow" w:hAnsi="Arial Narrow"/>
                <w:b/>
                <w:bCs/>
                <w:noProof/>
                <w:sz w:val="22"/>
                <w:szCs w:val="22"/>
              </w:rPr>
              <w:t>1 033</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b/>
                <w:bCs/>
                <w:noProof/>
                <w:sz w:val="22"/>
                <w:szCs w:val="22"/>
                <w:lang w:bidi="ar-SA"/>
              </w:rPr>
            </w:pPr>
          </w:p>
        </w:tc>
        <w:tc>
          <w:tcPr>
            <w:tcW w:w="1099" w:type="dxa"/>
            <w:tcBorders>
              <w:top w:val="nil"/>
              <w:left w:val="nil"/>
              <w:bottom w:val="nil"/>
              <w:right w:val="nil"/>
            </w:tcBorders>
            <w:shd w:val="clear" w:color="000000" w:fill="FFCC99"/>
            <w:noWrap/>
            <w:vAlign w:val="center"/>
            <w:hideMark/>
          </w:tcPr>
          <w:p w:rsidR="00400A44" w:rsidRPr="006E5269" w:rsidRDefault="004F2759" w:rsidP="00DC1C02">
            <w:pPr>
              <w:widowControl/>
              <w:jc w:val="right"/>
              <w:rPr>
                <w:rFonts w:ascii="Arial Narrow" w:hAnsi="Arial Narrow" w:cs="Arial"/>
                <w:b/>
                <w:bCs/>
                <w:noProof/>
                <w:sz w:val="22"/>
                <w:szCs w:val="22"/>
              </w:rPr>
            </w:pPr>
            <w:r w:rsidRPr="006E5269">
              <w:rPr>
                <w:rFonts w:ascii="Arial Narrow" w:hAnsi="Arial Narrow"/>
                <w:b/>
                <w:bCs/>
                <w:noProof/>
                <w:sz w:val="22"/>
                <w:szCs w:val="22"/>
              </w:rPr>
              <w:t>4</w:t>
            </w:r>
            <w:r w:rsidRPr="00FD0C71">
              <w:rPr>
                <w:rFonts w:ascii="Arial Narrow" w:hAnsi="Arial Narrow"/>
                <w:b/>
                <w:bCs/>
                <w:noProof/>
                <w:sz w:val="22"/>
                <w:szCs w:val="22"/>
              </w:rPr>
              <w:t>8</w:t>
            </w:r>
            <w:r w:rsidR="00FD0C71" w:rsidRPr="00FD0C71">
              <w:rPr>
                <w:rFonts w:ascii="Arial Narrow" w:hAnsi="Arial Narrow"/>
                <w:b/>
                <w:bCs/>
                <w:noProof/>
                <w:sz w:val="22"/>
                <w:szCs w:val="22"/>
              </w:rPr>
              <w:t> </w:t>
            </w:r>
            <w:r w:rsidRPr="00FD0C71">
              <w:rPr>
                <w:rFonts w:ascii="Arial Narrow" w:hAnsi="Arial Narrow"/>
                <w:b/>
                <w:bCs/>
                <w:noProof/>
                <w:sz w:val="22"/>
                <w:szCs w:val="22"/>
              </w:rPr>
              <w:t>%</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b/>
                <w:bCs/>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65"/>
        </w:trPr>
        <w:tc>
          <w:tcPr>
            <w:tcW w:w="6385"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Bliski Wschód</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1198" w:type="dxa"/>
            <w:tcBorders>
              <w:top w:val="nil"/>
              <w:left w:val="nil"/>
              <w:bottom w:val="nil"/>
              <w:right w:val="nil"/>
            </w:tcBorders>
            <w:shd w:val="clear" w:color="000000" w:fill="FFFF99"/>
            <w:noWrap/>
            <w:vAlign w:val="center"/>
            <w:hideMark/>
          </w:tcPr>
          <w:p w:rsidR="00400A44" w:rsidRPr="006E5269" w:rsidRDefault="00400A44" w:rsidP="00DC1C02">
            <w:pPr>
              <w:widowControl/>
              <w:jc w:val="right"/>
              <w:rPr>
                <w:rFonts w:ascii="Arial Narrow" w:hAnsi="Arial Narrow" w:cs="Arial"/>
                <w:noProof/>
                <w:sz w:val="22"/>
                <w:szCs w:val="22"/>
              </w:rPr>
            </w:pPr>
            <w:r w:rsidRPr="006E5269">
              <w:rPr>
                <w:rFonts w:ascii="Arial Narrow" w:hAnsi="Arial Narrow"/>
                <w:noProof/>
                <w:sz w:val="22"/>
                <w:szCs w:val="22"/>
              </w:rPr>
              <w:t>470</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noProof/>
                <w:sz w:val="22"/>
                <w:szCs w:val="22"/>
                <w:lang w:bidi="ar-SA"/>
              </w:rPr>
            </w:pPr>
          </w:p>
        </w:tc>
        <w:tc>
          <w:tcPr>
            <w:tcW w:w="1099"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 xml:space="preserve"> </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65"/>
        </w:trPr>
        <w:tc>
          <w:tcPr>
            <w:tcW w:w="6385"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Europa Południowo-Wschodnia</w:t>
            </w:r>
            <w:r w:rsidR="00FD0C71" w:rsidRPr="006E5269">
              <w:rPr>
                <w:rFonts w:ascii="Arial Narrow" w:hAnsi="Arial Narrow"/>
                <w:noProof/>
                <w:sz w:val="22"/>
                <w:szCs w:val="22"/>
              </w:rPr>
              <w:t xml:space="preserve"> i</w:t>
            </w:r>
            <w:r w:rsidR="00FD0C71">
              <w:rPr>
                <w:rFonts w:ascii="Arial Narrow" w:hAnsi="Arial Narrow"/>
                <w:noProof/>
                <w:sz w:val="22"/>
                <w:szCs w:val="22"/>
              </w:rPr>
              <w:t> </w:t>
            </w:r>
            <w:r w:rsidR="00FD0C71" w:rsidRPr="006E5269">
              <w:rPr>
                <w:rFonts w:ascii="Arial Narrow" w:hAnsi="Arial Narrow"/>
                <w:noProof/>
                <w:sz w:val="22"/>
                <w:szCs w:val="22"/>
              </w:rPr>
              <w:t>wsc</w:t>
            </w:r>
            <w:r w:rsidRPr="006E5269">
              <w:rPr>
                <w:rFonts w:ascii="Arial Narrow" w:hAnsi="Arial Narrow"/>
                <w:noProof/>
                <w:sz w:val="22"/>
                <w:szCs w:val="22"/>
              </w:rPr>
              <w:t>hodnie sąsiedztwo</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1198" w:type="dxa"/>
            <w:tcBorders>
              <w:top w:val="nil"/>
              <w:left w:val="nil"/>
              <w:bottom w:val="nil"/>
              <w:right w:val="nil"/>
            </w:tcBorders>
            <w:shd w:val="clear" w:color="000000" w:fill="FFFF99"/>
            <w:noWrap/>
            <w:vAlign w:val="center"/>
            <w:hideMark/>
          </w:tcPr>
          <w:p w:rsidR="00400A44" w:rsidRPr="006E5269" w:rsidRDefault="00400A44" w:rsidP="00DC1C02">
            <w:pPr>
              <w:widowControl/>
              <w:jc w:val="right"/>
              <w:rPr>
                <w:rFonts w:ascii="Arial Narrow" w:hAnsi="Arial Narrow" w:cs="Arial"/>
                <w:noProof/>
                <w:sz w:val="22"/>
                <w:szCs w:val="22"/>
              </w:rPr>
            </w:pPr>
            <w:r w:rsidRPr="006E5269">
              <w:rPr>
                <w:rFonts w:ascii="Arial Narrow" w:hAnsi="Arial Narrow"/>
                <w:noProof/>
                <w:sz w:val="22"/>
                <w:szCs w:val="22"/>
              </w:rPr>
              <w:t>563</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noProof/>
                <w:sz w:val="22"/>
                <w:szCs w:val="22"/>
                <w:lang w:bidi="ar-SA"/>
              </w:rPr>
            </w:pPr>
          </w:p>
        </w:tc>
        <w:tc>
          <w:tcPr>
            <w:tcW w:w="1099"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 xml:space="preserve"> </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83"/>
        </w:trPr>
        <w:tc>
          <w:tcPr>
            <w:tcW w:w="6385" w:type="dxa"/>
            <w:tcBorders>
              <w:top w:val="nil"/>
              <w:left w:val="nil"/>
              <w:bottom w:val="nil"/>
              <w:right w:val="nil"/>
            </w:tcBorders>
            <w:shd w:val="clear" w:color="000000" w:fill="FFCC99"/>
            <w:noWrap/>
            <w:vAlign w:val="center"/>
            <w:hideMark/>
          </w:tcPr>
          <w:p w:rsidR="00400A44" w:rsidRPr="006E5269" w:rsidRDefault="00400A44" w:rsidP="00DC1C02">
            <w:pPr>
              <w:widowControl/>
              <w:rPr>
                <w:rFonts w:ascii="Arial Narrow" w:hAnsi="Arial Narrow" w:cs="Arial"/>
                <w:b/>
                <w:bCs/>
                <w:noProof/>
                <w:sz w:val="22"/>
                <w:szCs w:val="22"/>
              </w:rPr>
            </w:pPr>
            <w:r w:rsidRPr="006E5269">
              <w:rPr>
                <w:rFonts w:ascii="Arial Narrow" w:hAnsi="Arial Narrow"/>
                <w:b/>
                <w:bCs/>
                <w:noProof/>
                <w:sz w:val="22"/>
                <w:szCs w:val="22"/>
              </w:rPr>
              <w:t>Azja, Pacyfik</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b/>
                <w:bCs/>
                <w:noProof/>
                <w:sz w:val="22"/>
                <w:szCs w:val="22"/>
                <w:lang w:bidi="ar-SA"/>
              </w:rPr>
            </w:pPr>
          </w:p>
        </w:tc>
        <w:tc>
          <w:tcPr>
            <w:tcW w:w="1198" w:type="dxa"/>
            <w:tcBorders>
              <w:top w:val="nil"/>
              <w:left w:val="nil"/>
              <w:bottom w:val="nil"/>
              <w:right w:val="nil"/>
            </w:tcBorders>
            <w:shd w:val="clear" w:color="000000" w:fill="FFCC99"/>
            <w:noWrap/>
            <w:vAlign w:val="center"/>
            <w:hideMark/>
          </w:tcPr>
          <w:p w:rsidR="00400A44" w:rsidRPr="006E5269" w:rsidRDefault="00400A44" w:rsidP="00DC1C02">
            <w:pPr>
              <w:widowControl/>
              <w:jc w:val="right"/>
              <w:rPr>
                <w:rFonts w:ascii="Arial Narrow" w:hAnsi="Arial Narrow" w:cs="Arial"/>
                <w:b/>
                <w:bCs/>
                <w:noProof/>
                <w:sz w:val="22"/>
                <w:szCs w:val="22"/>
              </w:rPr>
            </w:pPr>
            <w:r w:rsidRPr="006E5269">
              <w:rPr>
                <w:rFonts w:ascii="Arial Narrow" w:hAnsi="Arial Narrow"/>
                <w:b/>
                <w:bCs/>
                <w:noProof/>
                <w:sz w:val="22"/>
                <w:szCs w:val="22"/>
              </w:rPr>
              <w:t>197</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b/>
                <w:bCs/>
                <w:noProof/>
                <w:sz w:val="22"/>
                <w:szCs w:val="22"/>
                <w:lang w:bidi="ar-SA"/>
              </w:rPr>
            </w:pPr>
          </w:p>
        </w:tc>
        <w:tc>
          <w:tcPr>
            <w:tcW w:w="1099" w:type="dxa"/>
            <w:tcBorders>
              <w:top w:val="nil"/>
              <w:left w:val="nil"/>
              <w:bottom w:val="nil"/>
              <w:right w:val="nil"/>
            </w:tcBorders>
            <w:shd w:val="clear" w:color="000000" w:fill="FFCC99"/>
            <w:noWrap/>
            <w:vAlign w:val="center"/>
            <w:hideMark/>
          </w:tcPr>
          <w:p w:rsidR="00400A44" w:rsidRPr="006E5269" w:rsidRDefault="00E50E3C" w:rsidP="00DC1C02">
            <w:pPr>
              <w:widowControl/>
              <w:jc w:val="right"/>
              <w:rPr>
                <w:rFonts w:ascii="Arial Narrow" w:hAnsi="Arial Narrow" w:cs="Arial"/>
                <w:b/>
                <w:bCs/>
                <w:noProof/>
                <w:sz w:val="22"/>
                <w:szCs w:val="22"/>
              </w:rPr>
            </w:pPr>
            <w:r w:rsidRPr="00FD0C71">
              <w:rPr>
                <w:rFonts w:ascii="Arial Narrow" w:hAnsi="Arial Narrow"/>
                <w:b/>
                <w:bCs/>
                <w:noProof/>
                <w:sz w:val="22"/>
                <w:szCs w:val="22"/>
              </w:rPr>
              <w:t>9</w:t>
            </w:r>
            <w:r w:rsidR="00FD0C71" w:rsidRPr="00FD0C71">
              <w:rPr>
                <w:rFonts w:ascii="Arial Narrow" w:hAnsi="Arial Narrow"/>
                <w:b/>
                <w:bCs/>
                <w:noProof/>
                <w:sz w:val="22"/>
                <w:szCs w:val="22"/>
              </w:rPr>
              <w:t> </w:t>
            </w:r>
            <w:r w:rsidRPr="00FD0C71">
              <w:rPr>
                <w:rFonts w:ascii="Arial Narrow" w:hAnsi="Arial Narrow"/>
                <w:b/>
                <w:bCs/>
                <w:noProof/>
                <w:sz w:val="22"/>
                <w:szCs w:val="22"/>
              </w:rPr>
              <w:t>%</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b/>
                <w:bCs/>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65"/>
        </w:trPr>
        <w:tc>
          <w:tcPr>
            <w:tcW w:w="6385"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Azja Południowo-Zachodnia</w:t>
            </w:r>
            <w:r w:rsidR="00FD0C71" w:rsidRPr="006E5269">
              <w:rPr>
                <w:rFonts w:ascii="Arial Narrow" w:hAnsi="Arial Narrow"/>
                <w:noProof/>
                <w:sz w:val="22"/>
                <w:szCs w:val="22"/>
              </w:rPr>
              <w:t xml:space="preserve"> i</w:t>
            </w:r>
            <w:r w:rsidR="00FD0C71">
              <w:rPr>
                <w:rFonts w:ascii="Arial Narrow" w:hAnsi="Arial Narrow"/>
                <w:noProof/>
                <w:sz w:val="22"/>
                <w:szCs w:val="22"/>
              </w:rPr>
              <w:t> </w:t>
            </w:r>
            <w:r w:rsidR="00FD0C71" w:rsidRPr="006E5269">
              <w:rPr>
                <w:rFonts w:ascii="Arial Narrow" w:hAnsi="Arial Narrow"/>
                <w:noProof/>
                <w:sz w:val="22"/>
                <w:szCs w:val="22"/>
              </w:rPr>
              <w:t>Śro</w:t>
            </w:r>
            <w:r w:rsidRPr="006E5269">
              <w:rPr>
                <w:rFonts w:ascii="Arial Narrow" w:hAnsi="Arial Narrow"/>
                <w:noProof/>
                <w:sz w:val="22"/>
                <w:szCs w:val="22"/>
              </w:rPr>
              <w:t>dkowa</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1198" w:type="dxa"/>
            <w:tcBorders>
              <w:top w:val="nil"/>
              <w:left w:val="nil"/>
              <w:bottom w:val="nil"/>
              <w:right w:val="nil"/>
            </w:tcBorders>
            <w:shd w:val="clear" w:color="000000" w:fill="FFFF99"/>
            <w:noWrap/>
            <w:vAlign w:val="center"/>
            <w:hideMark/>
          </w:tcPr>
          <w:p w:rsidR="00400A44" w:rsidRPr="006E5269" w:rsidRDefault="00400A44" w:rsidP="00DC1C02">
            <w:pPr>
              <w:widowControl/>
              <w:jc w:val="right"/>
              <w:rPr>
                <w:rFonts w:ascii="Arial Narrow" w:hAnsi="Arial Narrow" w:cs="Arial"/>
                <w:noProof/>
                <w:sz w:val="22"/>
                <w:szCs w:val="22"/>
              </w:rPr>
            </w:pPr>
            <w:r w:rsidRPr="006E5269">
              <w:rPr>
                <w:rFonts w:ascii="Arial Narrow" w:hAnsi="Arial Narrow"/>
                <w:noProof/>
                <w:sz w:val="22"/>
                <w:szCs w:val="22"/>
              </w:rPr>
              <w:t>130</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noProof/>
                <w:sz w:val="22"/>
                <w:szCs w:val="22"/>
                <w:lang w:bidi="ar-SA"/>
              </w:rPr>
            </w:pPr>
          </w:p>
        </w:tc>
        <w:tc>
          <w:tcPr>
            <w:tcW w:w="1099"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 xml:space="preserve"> </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65"/>
        </w:trPr>
        <w:tc>
          <w:tcPr>
            <w:tcW w:w="6385"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Azja Południowo-Wschodnia</w:t>
            </w:r>
            <w:r w:rsidR="00FD0C71" w:rsidRPr="006E5269">
              <w:rPr>
                <w:rFonts w:ascii="Arial Narrow" w:hAnsi="Arial Narrow"/>
                <w:noProof/>
                <w:sz w:val="22"/>
                <w:szCs w:val="22"/>
              </w:rPr>
              <w:t xml:space="preserve"> i</w:t>
            </w:r>
            <w:r w:rsidR="00FD0C71">
              <w:rPr>
                <w:rFonts w:ascii="Arial Narrow" w:hAnsi="Arial Narrow"/>
                <w:noProof/>
                <w:sz w:val="22"/>
                <w:szCs w:val="22"/>
              </w:rPr>
              <w:t> </w:t>
            </w:r>
            <w:r w:rsidR="00FD0C71" w:rsidRPr="006E5269">
              <w:rPr>
                <w:rFonts w:ascii="Arial Narrow" w:hAnsi="Arial Narrow"/>
                <w:noProof/>
                <w:sz w:val="22"/>
                <w:szCs w:val="22"/>
              </w:rPr>
              <w:t>Pac</w:t>
            </w:r>
            <w:r w:rsidRPr="006E5269">
              <w:rPr>
                <w:rFonts w:ascii="Arial Narrow" w:hAnsi="Arial Narrow"/>
                <w:noProof/>
                <w:sz w:val="22"/>
                <w:szCs w:val="22"/>
              </w:rPr>
              <w:t>yfik</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1198" w:type="dxa"/>
            <w:tcBorders>
              <w:top w:val="nil"/>
              <w:left w:val="nil"/>
              <w:bottom w:val="nil"/>
              <w:right w:val="nil"/>
            </w:tcBorders>
            <w:shd w:val="clear" w:color="000000" w:fill="FFFF99"/>
            <w:noWrap/>
            <w:vAlign w:val="center"/>
            <w:hideMark/>
          </w:tcPr>
          <w:p w:rsidR="00400A44" w:rsidRPr="006E5269" w:rsidRDefault="00400A44" w:rsidP="00DC1C02">
            <w:pPr>
              <w:widowControl/>
              <w:jc w:val="right"/>
              <w:rPr>
                <w:rFonts w:ascii="Arial Narrow" w:hAnsi="Arial Narrow" w:cs="Arial"/>
                <w:noProof/>
                <w:sz w:val="22"/>
                <w:szCs w:val="22"/>
              </w:rPr>
            </w:pPr>
            <w:r w:rsidRPr="006E5269">
              <w:rPr>
                <w:rFonts w:ascii="Arial Narrow" w:hAnsi="Arial Narrow"/>
                <w:noProof/>
                <w:sz w:val="22"/>
                <w:szCs w:val="22"/>
              </w:rPr>
              <w:t>67</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noProof/>
                <w:sz w:val="22"/>
                <w:szCs w:val="22"/>
                <w:lang w:bidi="ar-SA"/>
              </w:rPr>
            </w:pPr>
          </w:p>
        </w:tc>
        <w:tc>
          <w:tcPr>
            <w:tcW w:w="1099"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 xml:space="preserve"> </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83"/>
        </w:trPr>
        <w:tc>
          <w:tcPr>
            <w:tcW w:w="6385" w:type="dxa"/>
            <w:tcBorders>
              <w:top w:val="nil"/>
              <w:left w:val="nil"/>
              <w:bottom w:val="nil"/>
              <w:right w:val="nil"/>
            </w:tcBorders>
            <w:shd w:val="clear" w:color="000000" w:fill="FFCC99"/>
            <w:noWrap/>
            <w:vAlign w:val="center"/>
            <w:hideMark/>
          </w:tcPr>
          <w:p w:rsidR="00400A44" w:rsidRPr="006E5269" w:rsidRDefault="00400A44" w:rsidP="00DC1C02">
            <w:pPr>
              <w:widowControl/>
              <w:rPr>
                <w:rFonts w:ascii="Arial Narrow" w:hAnsi="Arial Narrow" w:cs="Arial"/>
                <w:b/>
                <w:bCs/>
                <w:noProof/>
                <w:sz w:val="22"/>
                <w:szCs w:val="22"/>
              </w:rPr>
            </w:pPr>
            <w:r w:rsidRPr="006E5269">
              <w:rPr>
                <w:rFonts w:ascii="Arial Narrow" w:hAnsi="Arial Narrow"/>
                <w:b/>
                <w:bCs/>
                <w:noProof/>
                <w:sz w:val="22"/>
                <w:szCs w:val="22"/>
              </w:rPr>
              <w:t>Ameryka Łacińska, Karaiby</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b/>
                <w:bCs/>
                <w:noProof/>
                <w:sz w:val="22"/>
                <w:szCs w:val="22"/>
                <w:lang w:bidi="ar-SA"/>
              </w:rPr>
            </w:pPr>
          </w:p>
        </w:tc>
        <w:tc>
          <w:tcPr>
            <w:tcW w:w="1198" w:type="dxa"/>
            <w:tcBorders>
              <w:top w:val="nil"/>
              <w:left w:val="nil"/>
              <w:bottom w:val="nil"/>
              <w:right w:val="nil"/>
            </w:tcBorders>
            <w:shd w:val="clear" w:color="000000" w:fill="FFCC99"/>
            <w:noWrap/>
            <w:vAlign w:val="center"/>
            <w:hideMark/>
          </w:tcPr>
          <w:p w:rsidR="00400A44" w:rsidRPr="006E5269" w:rsidRDefault="00400A44" w:rsidP="00DC1C02">
            <w:pPr>
              <w:widowControl/>
              <w:jc w:val="right"/>
              <w:rPr>
                <w:rFonts w:ascii="Arial Narrow" w:hAnsi="Arial Narrow" w:cs="Arial"/>
                <w:b/>
                <w:bCs/>
                <w:noProof/>
                <w:sz w:val="22"/>
                <w:szCs w:val="22"/>
              </w:rPr>
            </w:pPr>
            <w:r w:rsidRPr="006E5269">
              <w:rPr>
                <w:rFonts w:ascii="Arial Narrow" w:hAnsi="Arial Narrow"/>
                <w:b/>
                <w:bCs/>
                <w:noProof/>
                <w:sz w:val="22"/>
                <w:szCs w:val="22"/>
              </w:rPr>
              <w:t>115</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b/>
                <w:bCs/>
                <w:noProof/>
                <w:sz w:val="22"/>
                <w:szCs w:val="22"/>
                <w:lang w:bidi="ar-SA"/>
              </w:rPr>
            </w:pPr>
          </w:p>
        </w:tc>
        <w:tc>
          <w:tcPr>
            <w:tcW w:w="1099" w:type="dxa"/>
            <w:tcBorders>
              <w:top w:val="nil"/>
              <w:left w:val="nil"/>
              <w:bottom w:val="nil"/>
              <w:right w:val="nil"/>
            </w:tcBorders>
            <w:shd w:val="clear" w:color="000000" w:fill="FFCC99"/>
            <w:noWrap/>
            <w:vAlign w:val="center"/>
            <w:hideMark/>
          </w:tcPr>
          <w:p w:rsidR="00400A44" w:rsidRPr="006E5269" w:rsidRDefault="00DD4274" w:rsidP="00DC1C02">
            <w:pPr>
              <w:widowControl/>
              <w:jc w:val="right"/>
              <w:rPr>
                <w:rFonts w:ascii="Arial Narrow" w:hAnsi="Arial Narrow" w:cs="Arial"/>
                <w:b/>
                <w:bCs/>
                <w:noProof/>
                <w:sz w:val="22"/>
                <w:szCs w:val="22"/>
              </w:rPr>
            </w:pPr>
            <w:r w:rsidRPr="006E5269">
              <w:rPr>
                <w:rFonts w:ascii="Arial Narrow" w:hAnsi="Arial Narrow"/>
                <w:b/>
                <w:bCs/>
                <w:noProof/>
                <w:sz w:val="22"/>
                <w:szCs w:val="22"/>
              </w:rPr>
              <w:t>5,</w:t>
            </w:r>
            <w:r w:rsidRPr="00FD0C71">
              <w:rPr>
                <w:rFonts w:ascii="Arial Narrow" w:hAnsi="Arial Narrow"/>
                <w:b/>
                <w:bCs/>
                <w:noProof/>
                <w:sz w:val="22"/>
                <w:szCs w:val="22"/>
              </w:rPr>
              <w:t>5</w:t>
            </w:r>
            <w:r w:rsidR="00FD0C71" w:rsidRPr="00FD0C71">
              <w:rPr>
                <w:rFonts w:ascii="Arial Narrow" w:hAnsi="Arial Narrow"/>
                <w:b/>
                <w:bCs/>
                <w:noProof/>
                <w:sz w:val="22"/>
                <w:szCs w:val="22"/>
              </w:rPr>
              <w:t> </w:t>
            </w:r>
            <w:r w:rsidRPr="00FD0C71">
              <w:rPr>
                <w:rFonts w:ascii="Arial Narrow" w:hAnsi="Arial Narrow"/>
                <w:b/>
                <w:bCs/>
                <w:noProof/>
                <w:sz w:val="22"/>
                <w:szCs w:val="22"/>
              </w:rPr>
              <w:t>%</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b/>
                <w:bCs/>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65"/>
        </w:trPr>
        <w:tc>
          <w:tcPr>
            <w:tcW w:w="6385"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Ameryka Łacińska</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1198" w:type="dxa"/>
            <w:tcBorders>
              <w:top w:val="nil"/>
              <w:left w:val="nil"/>
              <w:bottom w:val="nil"/>
              <w:right w:val="nil"/>
            </w:tcBorders>
            <w:shd w:val="clear" w:color="000000" w:fill="FFFF99"/>
            <w:noWrap/>
            <w:vAlign w:val="center"/>
            <w:hideMark/>
          </w:tcPr>
          <w:p w:rsidR="00400A44" w:rsidRPr="006E5269" w:rsidRDefault="00400A44" w:rsidP="00DC1C02">
            <w:pPr>
              <w:widowControl/>
              <w:jc w:val="right"/>
              <w:rPr>
                <w:rFonts w:ascii="Arial Narrow" w:hAnsi="Arial Narrow" w:cs="Arial"/>
                <w:noProof/>
                <w:sz w:val="22"/>
                <w:szCs w:val="22"/>
              </w:rPr>
            </w:pPr>
            <w:r w:rsidRPr="006E5269">
              <w:rPr>
                <w:rFonts w:ascii="Arial Narrow" w:hAnsi="Arial Narrow"/>
                <w:noProof/>
                <w:sz w:val="22"/>
                <w:szCs w:val="22"/>
              </w:rPr>
              <w:t>91</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noProof/>
                <w:sz w:val="22"/>
                <w:szCs w:val="22"/>
                <w:lang w:bidi="ar-SA"/>
              </w:rPr>
            </w:pPr>
          </w:p>
        </w:tc>
        <w:tc>
          <w:tcPr>
            <w:tcW w:w="1099"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 xml:space="preserve"> </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65"/>
        </w:trPr>
        <w:tc>
          <w:tcPr>
            <w:tcW w:w="6385"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Karaiby</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1198" w:type="dxa"/>
            <w:tcBorders>
              <w:top w:val="nil"/>
              <w:left w:val="nil"/>
              <w:bottom w:val="nil"/>
              <w:right w:val="nil"/>
            </w:tcBorders>
            <w:shd w:val="clear" w:color="000000" w:fill="FFFF99"/>
            <w:noWrap/>
            <w:vAlign w:val="center"/>
            <w:hideMark/>
          </w:tcPr>
          <w:p w:rsidR="00400A44" w:rsidRPr="006E5269" w:rsidRDefault="00400A44" w:rsidP="00DC1C02">
            <w:pPr>
              <w:widowControl/>
              <w:jc w:val="right"/>
              <w:rPr>
                <w:rFonts w:ascii="Arial Narrow" w:hAnsi="Arial Narrow" w:cs="Arial"/>
                <w:noProof/>
                <w:sz w:val="22"/>
                <w:szCs w:val="22"/>
              </w:rPr>
            </w:pPr>
            <w:r w:rsidRPr="006E5269">
              <w:rPr>
                <w:rFonts w:ascii="Arial Narrow" w:hAnsi="Arial Narrow"/>
                <w:noProof/>
                <w:sz w:val="22"/>
                <w:szCs w:val="22"/>
              </w:rPr>
              <w:t>24</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noProof/>
                <w:sz w:val="22"/>
                <w:szCs w:val="22"/>
                <w:lang w:bidi="ar-SA"/>
              </w:rPr>
            </w:pPr>
          </w:p>
        </w:tc>
        <w:tc>
          <w:tcPr>
            <w:tcW w:w="1099" w:type="dxa"/>
            <w:tcBorders>
              <w:top w:val="nil"/>
              <w:left w:val="nil"/>
              <w:bottom w:val="nil"/>
              <w:right w:val="nil"/>
            </w:tcBorders>
            <w:shd w:val="clear" w:color="000000" w:fill="FFFF99"/>
            <w:noWrap/>
            <w:vAlign w:val="center"/>
            <w:hideMark/>
          </w:tcPr>
          <w:p w:rsidR="00400A44" w:rsidRPr="006E5269" w:rsidRDefault="00400A44" w:rsidP="00DC1C02">
            <w:pPr>
              <w:widowControl/>
              <w:rPr>
                <w:rFonts w:ascii="Arial Narrow" w:hAnsi="Arial Narrow" w:cs="Arial"/>
                <w:noProof/>
                <w:sz w:val="22"/>
                <w:szCs w:val="22"/>
              </w:rPr>
            </w:pPr>
            <w:r w:rsidRPr="006E5269">
              <w:rPr>
                <w:rFonts w:ascii="Arial Narrow" w:hAnsi="Arial Narrow"/>
                <w:noProof/>
                <w:sz w:val="22"/>
                <w:szCs w:val="22"/>
              </w:rPr>
              <w:t xml:space="preserve"> </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83"/>
        </w:trPr>
        <w:tc>
          <w:tcPr>
            <w:tcW w:w="6385" w:type="dxa"/>
            <w:tcBorders>
              <w:top w:val="nil"/>
              <w:left w:val="nil"/>
              <w:bottom w:val="nil"/>
              <w:right w:val="nil"/>
            </w:tcBorders>
            <w:shd w:val="clear" w:color="000000" w:fill="FFCC99"/>
            <w:noWrap/>
            <w:vAlign w:val="center"/>
            <w:hideMark/>
          </w:tcPr>
          <w:p w:rsidR="00400A44" w:rsidRPr="006E5269" w:rsidRDefault="00400A44" w:rsidP="00DC1C02">
            <w:pPr>
              <w:widowControl/>
              <w:rPr>
                <w:rFonts w:ascii="Arial Narrow" w:hAnsi="Arial Narrow" w:cs="Arial"/>
                <w:b/>
                <w:bCs/>
                <w:noProof/>
                <w:sz w:val="22"/>
                <w:szCs w:val="22"/>
              </w:rPr>
            </w:pPr>
            <w:r w:rsidRPr="006E5269">
              <w:rPr>
                <w:rFonts w:ascii="Arial Narrow" w:hAnsi="Arial Narrow"/>
                <w:b/>
                <w:bCs/>
                <w:noProof/>
                <w:sz w:val="22"/>
                <w:szCs w:val="22"/>
              </w:rPr>
              <w:t>Klęski żywiołowe na świecie</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b/>
                <w:bCs/>
                <w:noProof/>
                <w:sz w:val="22"/>
                <w:szCs w:val="22"/>
                <w:lang w:bidi="ar-SA"/>
              </w:rPr>
            </w:pPr>
          </w:p>
        </w:tc>
        <w:tc>
          <w:tcPr>
            <w:tcW w:w="1198" w:type="dxa"/>
            <w:tcBorders>
              <w:top w:val="nil"/>
              <w:left w:val="nil"/>
              <w:bottom w:val="nil"/>
              <w:right w:val="nil"/>
            </w:tcBorders>
            <w:shd w:val="clear" w:color="000000" w:fill="FFCC99"/>
            <w:noWrap/>
            <w:vAlign w:val="center"/>
            <w:hideMark/>
          </w:tcPr>
          <w:p w:rsidR="00400A44" w:rsidRPr="006E5269" w:rsidRDefault="00400A44" w:rsidP="00DC1C02">
            <w:pPr>
              <w:widowControl/>
              <w:jc w:val="right"/>
              <w:rPr>
                <w:rFonts w:ascii="Arial Narrow" w:hAnsi="Arial Narrow" w:cs="Arial"/>
                <w:b/>
                <w:bCs/>
                <w:noProof/>
                <w:sz w:val="22"/>
                <w:szCs w:val="22"/>
              </w:rPr>
            </w:pPr>
            <w:r w:rsidRPr="006E5269">
              <w:rPr>
                <w:rFonts w:ascii="Arial Narrow" w:hAnsi="Arial Narrow"/>
                <w:b/>
                <w:bCs/>
                <w:noProof/>
                <w:sz w:val="22"/>
                <w:szCs w:val="22"/>
              </w:rPr>
              <w:t>95</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b/>
                <w:bCs/>
                <w:noProof/>
                <w:sz w:val="22"/>
                <w:szCs w:val="22"/>
                <w:lang w:bidi="ar-SA"/>
              </w:rPr>
            </w:pPr>
          </w:p>
        </w:tc>
        <w:tc>
          <w:tcPr>
            <w:tcW w:w="1099" w:type="dxa"/>
            <w:tcBorders>
              <w:top w:val="nil"/>
              <w:left w:val="nil"/>
              <w:bottom w:val="nil"/>
              <w:right w:val="nil"/>
            </w:tcBorders>
            <w:shd w:val="clear" w:color="000000" w:fill="FFCC99"/>
            <w:noWrap/>
            <w:vAlign w:val="center"/>
            <w:hideMark/>
          </w:tcPr>
          <w:p w:rsidR="00400A44" w:rsidRPr="006E5269" w:rsidRDefault="004F2759" w:rsidP="00DC1C02">
            <w:pPr>
              <w:widowControl/>
              <w:jc w:val="right"/>
              <w:rPr>
                <w:rFonts w:ascii="Arial Narrow" w:hAnsi="Arial Narrow" w:cs="Arial"/>
                <w:b/>
                <w:bCs/>
                <w:noProof/>
                <w:sz w:val="22"/>
                <w:szCs w:val="22"/>
              </w:rPr>
            </w:pPr>
            <w:r w:rsidRPr="006E5269">
              <w:rPr>
                <w:rFonts w:ascii="Arial Narrow" w:hAnsi="Arial Narrow"/>
                <w:b/>
                <w:bCs/>
                <w:noProof/>
                <w:sz w:val="22"/>
                <w:szCs w:val="22"/>
              </w:rPr>
              <w:t>4,</w:t>
            </w:r>
            <w:r w:rsidRPr="00FD0C71">
              <w:rPr>
                <w:rFonts w:ascii="Arial Narrow" w:hAnsi="Arial Narrow"/>
                <w:b/>
                <w:bCs/>
                <w:noProof/>
                <w:sz w:val="22"/>
                <w:szCs w:val="22"/>
              </w:rPr>
              <w:t>5</w:t>
            </w:r>
            <w:r w:rsidR="00FD0C71" w:rsidRPr="00FD0C71">
              <w:rPr>
                <w:rFonts w:ascii="Arial Narrow" w:hAnsi="Arial Narrow"/>
                <w:b/>
                <w:bCs/>
                <w:noProof/>
                <w:sz w:val="22"/>
                <w:szCs w:val="22"/>
              </w:rPr>
              <w:t> </w:t>
            </w:r>
            <w:r w:rsidRPr="00FD0C71">
              <w:rPr>
                <w:rFonts w:ascii="Arial Narrow" w:hAnsi="Arial Narrow"/>
                <w:b/>
                <w:bCs/>
                <w:noProof/>
                <w:sz w:val="22"/>
                <w:szCs w:val="22"/>
              </w:rPr>
              <w:t>%</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b/>
                <w:bCs/>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83"/>
        </w:trPr>
        <w:tc>
          <w:tcPr>
            <w:tcW w:w="6385" w:type="dxa"/>
            <w:tcBorders>
              <w:top w:val="nil"/>
              <w:left w:val="nil"/>
              <w:bottom w:val="nil"/>
              <w:right w:val="nil"/>
            </w:tcBorders>
            <w:shd w:val="clear" w:color="000000" w:fill="FFCC99"/>
            <w:noWrap/>
            <w:vAlign w:val="center"/>
            <w:hideMark/>
          </w:tcPr>
          <w:p w:rsidR="00400A44" w:rsidRPr="006E5269" w:rsidRDefault="00400A44" w:rsidP="00DC1C02">
            <w:pPr>
              <w:widowControl/>
              <w:rPr>
                <w:rFonts w:ascii="Arial Narrow" w:hAnsi="Arial Narrow" w:cs="Arial"/>
                <w:b/>
                <w:bCs/>
                <w:noProof/>
                <w:sz w:val="22"/>
                <w:szCs w:val="22"/>
              </w:rPr>
            </w:pPr>
            <w:r w:rsidRPr="006E5269">
              <w:rPr>
                <w:rFonts w:ascii="Arial Narrow" w:hAnsi="Arial Narrow"/>
                <w:b/>
                <w:bCs/>
                <w:noProof/>
                <w:sz w:val="22"/>
                <w:szCs w:val="22"/>
              </w:rPr>
              <w:t>Działania uzupełniające</w:t>
            </w:r>
            <w:r w:rsidR="00FD0C71" w:rsidRPr="006E5269">
              <w:rPr>
                <w:rFonts w:ascii="Arial Narrow" w:hAnsi="Arial Narrow"/>
                <w:b/>
                <w:bCs/>
                <w:noProof/>
                <w:sz w:val="22"/>
                <w:szCs w:val="22"/>
              </w:rPr>
              <w:t xml:space="preserve"> i</w:t>
            </w:r>
            <w:r w:rsidR="00FD0C71">
              <w:rPr>
                <w:rFonts w:ascii="Arial Narrow" w:hAnsi="Arial Narrow"/>
                <w:b/>
                <w:bCs/>
                <w:noProof/>
                <w:sz w:val="22"/>
                <w:szCs w:val="22"/>
              </w:rPr>
              <w:t> </w:t>
            </w:r>
            <w:r w:rsidR="00FD0C71" w:rsidRPr="006E5269">
              <w:rPr>
                <w:rFonts w:ascii="Arial Narrow" w:hAnsi="Arial Narrow"/>
                <w:b/>
                <w:bCs/>
                <w:noProof/>
                <w:sz w:val="22"/>
                <w:szCs w:val="22"/>
              </w:rPr>
              <w:t>wsp</w:t>
            </w:r>
            <w:r w:rsidRPr="006E5269">
              <w:rPr>
                <w:rFonts w:ascii="Arial Narrow" w:hAnsi="Arial Narrow"/>
                <w:b/>
                <w:bCs/>
                <w:noProof/>
                <w:sz w:val="22"/>
                <w:szCs w:val="22"/>
              </w:rPr>
              <w:t>arcie</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b/>
                <w:bCs/>
                <w:noProof/>
                <w:sz w:val="22"/>
                <w:szCs w:val="22"/>
                <w:lang w:bidi="ar-SA"/>
              </w:rPr>
            </w:pPr>
          </w:p>
        </w:tc>
        <w:tc>
          <w:tcPr>
            <w:tcW w:w="1198" w:type="dxa"/>
            <w:tcBorders>
              <w:top w:val="nil"/>
              <w:left w:val="nil"/>
              <w:bottom w:val="nil"/>
              <w:right w:val="nil"/>
            </w:tcBorders>
            <w:shd w:val="clear" w:color="000000" w:fill="FFCC99"/>
            <w:noWrap/>
            <w:vAlign w:val="center"/>
            <w:hideMark/>
          </w:tcPr>
          <w:p w:rsidR="00400A44" w:rsidRPr="006E5269" w:rsidRDefault="00400A44" w:rsidP="00DC1C02">
            <w:pPr>
              <w:widowControl/>
              <w:jc w:val="right"/>
              <w:rPr>
                <w:rFonts w:ascii="Arial Narrow" w:hAnsi="Arial Narrow" w:cs="Arial"/>
                <w:b/>
                <w:bCs/>
                <w:noProof/>
                <w:sz w:val="22"/>
                <w:szCs w:val="22"/>
              </w:rPr>
            </w:pPr>
            <w:r w:rsidRPr="006E5269">
              <w:rPr>
                <w:rFonts w:ascii="Arial Narrow" w:hAnsi="Arial Narrow"/>
                <w:b/>
                <w:bCs/>
                <w:noProof/>
                <w:sz w:val="22"/>
                <w:szCs w:val="22"/>
              </w:rPr>
              <w:t>72</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b/>
                <w:bCs/>
                <w:noProof/>
                <w:sz w:val="22"/>
                <w:szCs w:val="22"/>
                <w:lang w:bidi="ar-SA"/>
              </w:rPr>
            </w:pPr>
          </w:p>
        </w:tc>
        <w:tc>
          <w:tcPr>
            <w:tcW w:w="1099" w:type="dxa"/>
            <w:tcBorders>
              <w:top w:val="nil"/>
              <w:left w:val="nil"/>
              <w:bottom w:val="nil"/>
              <w:right w:val="nil"/>
            </w:tcBorders>
            <w:shd w:val="clear" w:color="000000" w:fill="FFCC99"/>
            <w:noWrap/>
            <w:vAlign w:val="center"/>
            <w:hideMark/>
          </w:tcPr>
          <w:p w:rsidR="00400A44" w:rsidRPr="006E5269" w:rsidRDefault="00DD4274" w:rsidP="00DC1C02">
            <w:pPr>
              <w:widowControl/>
              <w:jc w:val="right"/>
              <w:rPr>
                <w:rFonts w:ascii="Arial Narrow" w:hAnsi="Arial Narrow" w:cs="Arial"/>
                <w:b/>
                <w:bCs/>
                <w:noProof/>
                <w:sz w:val="22"/>
                <w:szCs w:val="22"/>
              </w:rPr>
            </w:pPr>
            <w:r w:rsidRPr="00FD0C71">
              <w:rPr>
                <w:rFonts w:ascii="Arial Narrow" w:hAnsi="Arial Narrow"/>
                <w:b/>
                <w:bCs/>
                <w:noProof/>
                <w:sz w:val="22"/>
                <w:szCs w:val="22"/>
              </w:rPr>
              <w:t>3</w:t>
            </w:r>
            <w:r w:rsidR="00FD0C71" w:rsidRPr="00FD0C71">
              <w:rPr>
                <w:rFonts w:ascii="Arial Narrow" w:hAnsi="Arial Narrow"/>
                <w:b/>
                <w:bCs/>
                <w:noProof/>
                <w:sz w:val="22"/>
                <w:szCs w:val="22"/>
              </w:rPr>
              <w:t> </w:t>
            </w:r>
            <w:r w:rsidRPr="00FD0C71">
              <w:rPr>
                <w:rFonts w:ascii="Arial Narrow" w:hAnsi="Arial Narrow"/>
                <w:b/>
                <w:bCs/>
                <w:noProof/>
                <w:sz w:val="22"/>
                <w:szCs w:val="22"/>
              </w:rPr>
              <w:t>%</w:t>
            </w:r>
          </w:p>
        </w:tc>
      </w:tr>
      <w:tr w:rsidR="00400A44" w:rsidRPr="006E5269" w:rsidTr="00DD4274">
        <w:tblPrEx>
          <w:tblCellMar>
            <w:left w:w="108" w:type="dxa"/>
            <w:right w:w="108" w:type="dxa"/>
          </w:tblCellMar>
        </w:tblPrEx>
        <w:trPr>
          <w:trHeight w:val="70"/>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b/>
                <w:bCs/>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411"/>
        </w:trPr>
        <w:tc>
          <w:tcPr>
            <w:tcW w:w="6385" w:type="dxa"/>
            <w:tcBorders>
              <w:top w:val="nil"/>
              <w:left w:val="nil"/>
              <w:bottom w:val="nil"/>
              <w:right w:val="nil"/>
            </w:tcBorders>
            <w:shd w:val="clear" w:color="000000" w:fill="FF6600"/>
            <w:noWrap/>
            <w:vAlign w:val="center"/>
            <w:hideMark/>
          </w:tcPr>
          <w:p w:rsidR="00400A44" w:rsidRPr="006E5269" w:rsidRDefault="00400A44" w:rsidP="00DC1C02">
            <w:pPr>
              <w:widowControl/>
              <w:rPr>
                <w:rFonts w:ascii="Arial Narrow" w:hAnsi="Arial Narrow" w:cs="Arial"/>
                <w:b/>
                <w:bCs/>
                <w:noProof/>
                <w:sz w:val="22"/>
                <w:szCs w:val="22"/>
              </w:rPr>
            </w:pPr>
            <w:r w:rsidRPr="006E5269">
              <w:rPr>
                <w:rFonts w:ascii="Arial Narrow" w:hAnsi="Arial Narrow"/>
                <w:b/>
                <w:bCs/>
                <w:noProof/>
                <w:sz w:val="22"/>
                <w:szCs w:val="22"/>
              </w:rPr>
              <w:t>OGÓŁEM</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rFonts w:ascii="Arial Narrow" w:hAnsi="Arial Narrow" w:cs="Arial"/>
                <w:b/>
                <w:bCs/>
                <w:noProof/>
                <w:sz w:val="22"/>
                <w:szCs w:val="22"/>
                <w:lang w:bidi="ar-SA"/>
              </w:rPr>
            </w:pPr>
          </w:p>
        </w:tc>
        <w:tc>
          <w:tcPr>
            <w:tcW w:w="1198" w:type="dxa"/>
            <w:tcBorders>
              <w:top w:val="nil"/>
              <w:left w:val="nil"/>
              <w:bottom w:val="nil"/>
              <w:right w:val="nil"/>
            </w:tcBorders>
            <w:shd w:val="clear" w:color="000000" w:fill="FF6600"/>
            <w:noWrap/>
            <w:vAlign w:val="center"/>
            <w:hideMark/>
          </w:tcPr>
          <w:p w:rsidR="00400A44" w:rsidRPr="006E5269" w:rsidRDefault="00400A44">
            <w:pPr>
              <w:widowControl/>
              <w:jc w:val="right"/>
              <w:rPr>
                <w:rFonts w:ascii="Arial Narrow" w:hAnsi="Arial Narrow" w:cs="Arial"/>
                <w:b/>
                <w:bCs/>
                <w:noProof/>
                <w:sz w:val="22"/>
                <w:szCs w:val="22"/>
              </w:rPr>
            </w:pPr>
            <w:r w:rsidRPr="006E5269">
              <w:rPr>
                <w:rFonts w:ascii="Arial Narrow" w:hAnsi="Arial Narrow"/>
                <w:b/>
                <w:bCs/>
                <w:noProof/>
                <w:sz w:val="22"/>
                <w:szCs w:val="22"/>
              </w:rPr>
              <w:t>2 148</w:t>
            </w:r>
            <w:r w:rsidRPr="006E5269">
              <w:rPr>
                <w:rStyle w:val="FootnoteReference"/>
                <w:rFonts w:ascii="Arial Narrow" w:hAnsi="Arial Narrow" w:cs="Arial"/>
                <w:b/>
                <w:bCs/>
                <w:noProof/>
                <w:sz w:val="22"/>
                <w:szCs w:val="22"/>
                <w:lang w:bidi="ar-SA"/>
              </w:rPr>
              <w:footnoteReference w:id="28"/>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b/>
                <w:bCs/>
                <w:noProof/>
                <w:sz w:val="22"/>
                <w:szCs w:val="22"/>
                <w:lang w:bidi="ar-SA"/>
              </w:rPr>
            </w:pPr>
          </w:p>
        </w:tc>
        <w:tc>
          <w:tcPr>
            <w:tcW w:w="1099" w:type="dxa"/>
            <w:tcBorders>
              <w:top w:val="nil"/>
              <w:left w:val="nil"/>
              <w:bottom w:val="nil"/>
              <w:right w:val="nil"/>
            </w:tcBorders>
            <w:shd w:val="clear" w:color="000000" w:fill="FF6600"/>
            <w:noWrap/>
            <w:vAlign w:val="center"/>
            <w:hideMark/>
          </w:tcPr>
          <w:p w:rsidR="00400A44" w:rsidRPr="006E5269" w:rsidRDefault="00400A44" w:rsidP="00DC1C02">
            <w:pPr>
              <w:widowControl/>
              <w:jc w:val="right"/>
              <w:rPr>
                <w:rFonts w:ascii="Arial Narrow" w:hAnsi="Arial Narrow" w:cs="Arial"/>
                <w:b/>
                <w:bCs/>
                <w:noProof/>
                <w:sz w:val="22"/>
                <w:szCs w:val="22"/>
              </w:rPr>
            </w:pPr>
            <w:r w:rsidRPr="006E5269">
              <w:rPr>
                <w:rFonts w:ascii="Arial Narrow" w:hAnsi="Arial Narrow"/>
                <w:b/>
                <w:bCs/>
                <w:noProof/>
                <w:sz w:val="22"/>
                <w:szCs w:val="22"/>
              </w:rPr>
              <w:t>10</w:t>
            </w:r>
            <w:r w:rsidRPr="00FD0C71">
              <w:rPr>
                <w:rFonts w:ascii="Arial Narrow" w:hAnsi="Arial Narrow"/>
                <w:b/>
                <w:bCs/>
                <w:noProof/>
                <w:sz w:val="22"/>
                <w:szCs w:val="22"/>
              </w:rPr>
              <w:t>0</w:t>
            </w:r>
            <w:r w:rsidR="00FD0C71" w:rsidRPr="00FD0C71">
              <w:rPr>
                <w:rFonts w:ascii="Arial Narrow" w:hAnsi="Arial Narrow"/>
                <w:b/>
                <w:bCs/>
                <w:noProof/>
                <w:sz w:val="22"/>
                <w:szCs w:val="22"/>
              </w:rPr>
              <w:t> </w:t>
            </w:r>
            <w:r w:rsidRPr="00FD0C71">
              <w:rPr>
                <w:rFonts w:ascii="Arial Narrow" w:hAnsi="Arial Narrow"/>
                <w:b/>
                <w:bCs/>
                <w:noProof/>
                <w:sz w:val="22"/>
                <w:szCs w:val="22"/>
              </w:rPr>
              <w:t>%</w:t>
            </w:r>
          </w:p>
        </w:tc>
      </w:tr>
      <w:tr w:rsidR="00400A44" w:rsidRPr="006E5269" w:rsidTr="00DD4274">
        <w:tblPrEx>
          <w:tblCellMar>
            <w:left w:w="108" w:type="dxa"/>
            <w:right w:w="108" w:type="dxa"/>
          </w:tblCellMar>
        </w:tblPrEx>
        <w:trPr>
          <w:trHeight w:val="127"/>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jc w:val="right"/>
              <w:rPr>
                <w:rFonts w:ascii="Arial Narrow" w:hAnsi="Arial Narrow" w:cs="Arial"/>
                <w:b/>
                <w:bCs/>
                <w:noProof/>
                <w:sz w:val="22"/>
                <w:szCs w:val="22"/>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r w:rsidR="00400A44" w:rsidRPr="006E5269" w:rsidTr="00DD4274">
        <w:tblPrEx>
          <w:tblCellMar>
            <w:left w:w="108" w:type="dxa"/>
            <w:right w:w="108" w:type="dxa"/>
          </w:tblCellMar>
        </w:tblPrEx>
        <w:trPr>
          <w:trHeight w:val="265"/>
        </w:trPr>
        <w:tc>
          <w:tcPr>
            <w:tcW w:w="6385"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c>
          <w:tcPr>
            <w:tcW w:w="1198" w:type="dxa"/>
            <w:tcBorders>
              <w:top w:val="nil"/>
              <w:left w:val="nil"/>
              <w:bottom w:val="nil"/>
              <w:right w:val="nil"/>
            </w:tcBorders>
            <w:shd w:val="clear" w:color="auto" w:fill="auto"/>
            <w:noWrap/>
            <w:vAlign w:val="center"/>
            <w:hideMark/>
          </w:tcPr>
          <w:p w:rsidR="00400A44" w:rsidRPr="006E5269" w:rsidRDefault="00400A44" w:rsidP="00DC1C02">
            <w:pPr>
              <w:widowControl/>
              <w:jc w:val="center"/>
              <w:rPr>
                <w:rFonts w:ascii="Arial Narrow" w:hAnsi="Arial Narrow" w:cs="Arial"/>
                <w:i/>
                <w:iCs/>
                <w:noProof/>
                <w:sz w:val="20"/>
                <w:szCs w:val="20"/>
              </w:rPr>
            </w:pPr>
            <w:r w:rsidRPr="006E5269">
              <w:rPr>
                <w:rFonts w:ascii="Arial Narrow" w:hAnsi="Arial Narrow"/>
                <w:i/>
                <w:iCs/>
                <w:noProof/>
                <w:sz w:val="20"/>
                <w:szCs w:val="20"/>
              </w:rPr>
              <w:t>(w mln EUR)</w:t>
            </w:r>
          </w:p>
        </w:tc>
        <w:tc>
          <w:tcPr>
            <w:tcW w:w="222" w:type="dxa"/>
            <w:tcBorders>
              <w:top w:val="nil"/>
              <w:left w:val="nil"/>
              <w:bottom w:val="nil"/>
              <w:right w:val="nil"/>
            </w:tcBorders>
            <w:shd w:val="clear" w:color="auto" w:fill="auto"/>
            <w:noWrap/>
            <w:vAlign w:val="center"/>
            <w:hideMark/>
          </w:tcPr>
          <w:p w:rsidR="00400A44" w:rsidRPr="006E5269" w:rsidRDefault="00400A44" w:rsidP="00DC1C02">
            <w:pPr>
              <w:widowControl/>
              <w:jc w:val="center"/>
              <w:rPr>
                <w:rFonts w:ascii="Arial Narrow" w:hAnsi="Arial Narrow" w:cs="Arial"/>
                <w:i/>
                <w:iCs/>
                <w:noProof/>
                <w:sz w:val="20"/>
                <w:szCs w:val="20"/>
                <w:lang w:bidi="ar-SA"/>
              </w:rPr>
            </w:pPr>
          </w:p>
        </w:tc>
        <w:tc>
          <w:tcPr>
            <w:tcW w:w="1099" w:type="dxa"/>
            <w:tcBorders>
              <w:top w:val="nil"/>
              <w:left w:val="nil"/>
              <w:bottom w:val="nil"/>
              <w:right w:val="nil"/>
            </w:tcBorders>
            <w:shd w:val="clear" w:color="auto" w:fill="auto"/>
            <w:noWrap/>
            <w:vAlign w:val="center"/>
            <w:hideMark/>
          </w:tcPr>
          <w:p w:rsidR="00400A44" w:rsidRPr="006E5269" w:rsidRDefault="00400A44" w:rsidP="00DC1C02">
            <w:pPr>
              <w:widowControl/>
              <w:rPr>
                <w:noProof/>
                <w:color w:val="auto"/>
                <w:sz w:val="20"/>
                <w:szCs w:val="20"/>
                <w:lang w:bidi="ar-SA"/>
              </w:rPr>
            </w:pPr>
          </w:p>
        </w:tc>
      </w:tr>
    </w:tbl>
    <w:p w:rsidR="00DC1C02" w:rsidRPr="006E5269" w:rsidRDefault="00DC1C02">
      <w:pPr>
        <w:rPr>
          <w:rStyle w:val="Heading211"/>
          <w:noProof/>
          <w:color w:val="0070C0"/>
        </w:rPr>
      </w:pPr>
      <w:r w:rsidRPr="006E5269">
        <w:rPr>
          <w:noProof/>
        </w:rPr>
        <w:br w:type="page"/>
      </w:r>
    </w:p>
    <w:p w:rsidR="00A1277F" w:rsidRPr="006E5269" w:rsidRDefault="003B71A1" w:rsidP="003B71A1">
      <w:pPr>
        <w:pStyle w:val="Heading310"/>
        <w:keepNext/>
        <w:keepLines/>
        <w:shd w:val="clear" w:color="auto" w:fill="auto"/>
        <w:spacing w:after="240" w:line="240" w:lineRule="auto"/>
        <w:ind w:firstLine="0"/>
        <w:jc w:val="left"/>
        <w:rPr>
          <w:noProof/>
          <w:color w:val="1F3864" w:themeColor="accent5" w:themeShade="80"/>
          <w:sz w:val="28"/>
          <w:u w:val="single"/>
        </w:rPr>
      </w:pPr>
      <w:bookmarkStart w:id="11" w:name="_Toc84941899"/>
      <w:r w:rsidRPr="006E5269">
        <w:rPr>
          <w:noProof/>
          <w:color w:val="1F3864" w:themeColor="accent5" w:themeShade="80"/>
          <w:sz w:val="28"/>
          <w:u w:val="single"/>
        </w:rPr>
        <w:t>Dodatkowe informacje</w:t>
      </w:r>
      <w:r w:rsidR="00FD0C71" w:rsidRPr="006E5269">
        <w:rPr>
          <w:noProof/>
          <w:color w:val="1F3864" w:themeColor="accent5" w:themeShade="80"/>
          <w:sz w:val="28"/>
          <w:u w:val="single"/>
        </w:rPr>
        <w:t xml:space="preserve"> i</w:t>
      </w:r>
      <w:r w:rsidR="00FD0C71">
        <w:rPr>
          <w:noProof/>
          <w:color w:val="1F3864" w:themeColor="accent5" w:themeShade="80"/>
          <w:sz w:val="28"/>
          <w:u w:val="single"/>
        </w:rPr>
        <w:t> </w:t>
      </w:r>
      <w:r w:rsidR="00FD0C71" w:rsidRPr="006E5269">
        <w:rPr>
          <w:noProof/>
          <w:color w:val="1F3864" w:themeColor="accent5" w:themeShade="80"/>
          <w:sz w:val="28"/>
          <w:u w:val="single"/>
        </w:rPr>
        <w:t>źró</w:t>
      </w:r>
      <w:r w:rsidRPr="006E5269">
        <w:rPr>
          <w:noProof/>
          <w:color w:val="1F3864" w:themeColor="accent5" w:themeShade="80"/>
          <w:sz w:val="28"/>
          <w:u w:val="single"/>
        </w:rPr>
        <w:t>dła</w:t>
      </w:r>
      <w:bookmarkEnd w:id="11"/>
    </w:p>
    <w:p w:rsidR="00A06000" w:rsidRPr="006E5269" w:rsidRDefault="003C5A6F" w:rsidP="003057BC">
      <w:pPr>
        <w:pStyle w:val="Bodytext20"/>
        <w:numPr>
          <w:ilvl w:val="0"/>
          <w:numId w:val="6"/>
        </w:numPr>
        <w:shd w:val="clear" w:color="auto" w:fill="auto"/>
        <w:spacing w:before="240" w:after="0" w:line="240" w:lineRule="auto"/>
        <w:ind w:left="720" w:right="4960" w:hanging="260"/>
        <w:rPr>
          <w:noProof/>
          <w:color w:val="auto"/>
        </w:rPr>
      </w:pPr>
      <w:bookmarkStart w:id="12" w:name="bookmark15"/>
      <w:r w:rsidRPr="006E5269">
        <w:rPr>
          <w:noProof/>
          <w:color w:val="auto"/>
        </w:rPr>
        <w:t>Ogólne informacje na temat DG ds. Europejskiej Ochrony Ludności</w:t>
      </w:r>
      <w:r w:rsidR="00FD0C71" w:rsidRPr="006E5269">
        <w:rPr>
          <w:noProof/>
          <w:color w:val="auto"/>
        </w:rPr>
        <w:t xml:space="preserve"> i</w:t>
      </w:r>
      <w:r w:rsidR="00FD0C71">
        <w:rPr>
          <w:noProof/>
          <w:color w:val="auto"/>
        </w:rPr>
        <w:t> </w:t>
      </w:r>
      <w:r w:rsidR="00FD0C71" w:rsidRPr="006E5269">
        <w:rPr>
          <w:noProof/>
          <w:color w:val="auto"/>
        </w:rPr>
        <w:t>Pom</w:t>
      </w:r>
      <w:r w:rsidRPr="006E5269">
        <w:rPr>
          <w:noProof/>
          <w:color w:val="auto"/>
        </w:rPr>
        <w:t xml:space="preserve">ocy Humanitarnej (DG ECHO): </w:t>
      </w:r>
    </w:p>
    <w:p w:rsidR="00A1277F" w:rsidRPr="006E5269" w:rsidRDefault="00287E87" w:rsidP="00C95531">
      <w:pPr>
        <w:pStyle w:val="Bodytext20"/>
        <w:shd w:val="clear" w:color="auto" w:fill="auto"/>
        <w:spacing w:after="0" w:line="240" w:lineRule="auto"/>
        <w:ind w:left="720" w:right="4960" w:firstLine="0"/>
        <w:rPr>
          <w:noProof/>
          <w:color w:val="auto"/>
        </w:rPr>
      </w:pPr>
      <w:hyperlink r:id="rId24" w:history="1">
        <w:r w:rsidR="00985B85" w:rsidRPr="006E5269">
          <w:rPr>
            <w:rStyle w:val="Bodytext21"/>
            <w:noProof/>
            <w:color w:val="auto"/>
          </w:rPr>
          <w:t>http://ec.europa.eu/echo/en</w:t>
        </w:r>
        <w:bookmarkEnd w:id="12"/>
      </w:hyperlink>
    </w:p>
    <w:p w:rsidR="00A1277F" w:rsidRPr="006E5269" w:rsidRDefault="003C5A6F" w:rsidP="003057BC">
      <w:pPr>
        <w:pStyle w:val="Bodytext20"/>
        <w:numPr>
          <w:ilvl w:val="0"/>
          <w:numId w:val="6"/>
        </w:numPr>
        <w:shd w:val="clear" w:color="auto" w:fill="auto"/>
        <w:spacing w:before="240" w:after="0" w:line="240" w:lineRule="auto"/>
        <w:ind w:left="720" w:right="81" w:hanging="260"/>
        <w:rPr>
          <w:noProof/>
          <w:color w:val="auto"/>
        </w:rPr>
      </w:pPr>
      <w:r w:rsidRPr="006E5269">
        <w:rPr>
          <w:noProof/>
          <w:color w:val="auto"/>
        </w:rPr>
        <w:t>Informacje finansowe dotyczące działań Komisji Europejskiej</w:t>
      </w:r>
      <w:r w:rsidR="00FD0C71" w:rsidRPr="006E5269">
        <w:rPr>
          <w:noProof/>
          <w:color w:val="auto"/>
        </w:rPr>
        <w:t xml:space="preserve"> z</w:t>
      </w:r>
      <w:r w:rsidR="00FD0C71">
        <w:rPr>
          <w:noProof/>
          <w:color w:val="auto"/>
        </w:rPr>
        <w:t> </w:t>
      </w:r>
      <w:r w:rsidR="00FD0C71" w:rsidRPr="006E5269">
        <w:rPr>
          <w:noProof/>
          <w:color w:val="auto"/>
        </w:rPr>
        <w:t>zak</w:t>
      </w:r>
      <w:r w:rsidRPr="006E5269">
        <w:rPr>
          <w:noProof/>
          <w:color w:val="auto"/>
        </w:rPr>
        <w:t>resu pomocy humanitarnej</w:t>
      </w:r>
      <w:r w:rsidR="00FD0C71" w:rsidRPr="006E5269">
        <w:rPr>
          <w:noProof/>
          <w:color w:val="auto"/>
        </w:rPr>
        <w:t xml:space="preserve"> w</w:t>
      </w:r>
      <w:r w:rsidR="00FD0C71">
        <w:rPr>
          <w:noProof/>
          <w:color w:val="auto"/>
        </w:rPr>
        <w:t> </w:t>
      </w:r>
      <w:r w:rsidR="00FD0C71" w:rsidRPr="006E5269">
        <w:rPr>
          <w:noProof/>
          <w:color w:val="auto"/>
        </w:rPr>
        <w:t>2</w:t>
      </w:r>
      <w:r w:rsidRPr="006E5269">
        <w:rPr>
          <w:noProof/>
          <w:color w:val="auto"/>
        </w:rPr>
        <w:t>0</w:t>
      </w:r>
      <w:r w:rsidRPr="00FD0C71">
        <w:rPr>
          <w:noProof/>
          <w:color w:val="auto"/>
        </w:rPr>
        <w:t>20</w:t>
      </w:r>
      <w:r w:rsidR="00FD0C71" w:rsidRPr="00FD0C71">
        <w:rPr>
          <w:noProof/>
          <w:color w:val="auto"/>
        </w:rPr>
        <w:t> </w:t>
      </w:r>
      <w:r w:rsidRPr="00FD0C71">
        <w:rPr>
          <w:noProof/>
          <w:color w:val="auto"/>
        </w:rPr>
        <w:t>r.</w:t>
      </w:r>
      <w:r w:rsidRPr="006E5269">
        <w:rPr>
          <w:noProof/>
          <w:color w:val="auto"/>
        </w:rPr>
        <w:t>:</w:t>
      </w:r>
    </w:p>
    <w:p w:rsidR="00A06000" w:rsidRPr="006E5269" w:rsidRDefault="00287E87" w:rsidP="00BD3EA3">
      <w:pPr>
        <w:pStyle w:val="Bodytext20"/>
        <w:shd w:val="clear" w:color="auto" w:fill="auto"/>
        <w:spacing w:after="0" w:line="240" w:lineRule="auto"/>
        <w:ind w:left="720" w:right="81" w:firstLine="0"/>
        <w:rPr>
          <w:noProof/>
          <w:color w:val="auto"/>
          <w:u w:val="single"/>
        </w:rPr>
      </w:pPr>
      <w:hyperlink r:id="rId25" w:history="1">
        <w:r w:rsidR="00985B85" w:rsidRPr="006E5269">
          <w:rPr>
            <w:rStyle w:val="Hyperlink"/>
            <w:noProof/>
          </w:rPr>
          <w:t>https://ec.europa.eu/echo/funding-evaluations/funding-decisions-hips_en</w:t>
        </w:r>
      </w:hyperlink>
      <w:r w:rsidR="00985B85" w:rsidRPr="006E5269">
        <w:rPr>
          <w:noProof/>
          <w:color w:val="auto"/>
          <w:u w:val="single"/>
        </w:rPr>
        <w:t xml:space="preserve"> </w:t>
      </w:r>
    </w:p>
    <w:p w:rsidR="00A06000" w:rsidRPr="006E5269" w:rsidRDefault="003C5A6F" w:rsidP="001F1293">
      <w:pPr>
        <w:pStyle w:val="Bodytext20"/>
        <w:numPr>
          <w:ilvl w:val="0"/>
          <w:numId w:val="6"/>
        </w:numPr>
        <w:shd w:val="clear" w:color="auto" w:fill="auto"/>
        <w:spacing w:before="240" w:after="0" w:line="240" w:lineRule="auto"/>
        <w:ind w:left="720" w:right="81" w:hanging="260"/>
        <w:rPr>
          <w:noProof/>
          <w:color w:val="auto"/>
        </w:rPr>
      </w:pPr>
      <w:r w:rsidRPr="006E5269">
        <w:rPr>
          <w:noProof/>
          <w:color w:val="auto"/>
        </w:rPr>
        <w:t>Informacje operacyjne</w:t>
      </w:r>
      <w:r w:rsidR="00FD0C71" w:rsidRPr="006E5269">
        <w:rPr>
          <w:noProof/>
          <w:color w:val="auto"/>
        </w:rPr>
        <w:t xml:space="preserve"> z</w:t>
      </w:r>
      <w:r w:rsidR="00FD0C71">
        <w:rPr>
          <w:noProof/>
          <w:color w:val="auto"/>
        </w:rPr>
        <w:t> </w:t>
      </w:r>
      <w:r w:rsidR="00FD0C71" w:rsidRPr="006E5269">
        <w:rPr>
          <w:noProof/>
          <w:color w:val="auto"/>
        </w:rPr>
        <w:t>pop</w:t>
      </w:r>
      <w:r w:rsidRPr="006E5269">
        <w:rPr>
          <w:noProof/>
          <w:color w:val="auto"/>
        </w:rPr>
        <w:t>rzednich lat:</w:t>
      </w:r>
      <w:r w:rsidRPr="006E5269">
        <w:rPr>
          <w:noProof/>
        </w:rPr>
        <w:t xml:space="preserve"> </w:t>
      </w:r>
      <w:hyperlink r:id="rId26" w:history="1">
        <w:r w:rsidRPr="006E5269">
          <w:rPr>
            <w:rStyle w:val="Hyperlink"/>
            <w:noProof/>
          </w:rPr>
          <w:t>https://ec.europa.eu/echo/who/accountability/annual-reports_en</w:t>
        </w:r>
      </w:hyperlink>
    </w:p>
    <w:p w:rsidR="00A1277F" w:rsidRPr="006E5269" w:rsidRDefault="001F1293" w:rsidP="003057BC">
      <w:pPr>
        <w:pStyle w:val="Bodytext20"/>
        <w:numPr>
          <w:ilvl w:val="0"/>
          <w:numId w:val="6"/>
        </w:numPr>
        <w:shd w:val="clear" w:color="auto" w:fill="auto"/>
        <w:tabs>
          <w:tab w:val="left" w:pos="732"/>
        </w:tabs>
        <w:spacing w:before="240" w:after="0" w:line="240" w:lineRule="auto"/>
        <w:ind w:left="740" w:right="1660"/>
        <w:rPr>
          <w:noProof/>
          <w:color w:val="auto"/>
        </w:rPr>
      </w:pPr>
      <w:r w:rsidRPr="006E5269">
        <w:rPr>
          <w:noProof/>
          <w:color w:val="auto"/>
        </w:rPr>
        <w:t>Roczne sprawozdanie</w:t>
      </w:r>
      <w:r w:rsidR="00FD0C71" w:rsidRPr="006E5269">
        <w:rPr>
          <w:noProof/>
          <w:color w:val="auto"/>
        </w:rPr>
        <w:t xml:space="preserve"> z</w:t>
      </w:r>
      <w:r w:rsidR="00FD0C71">
        <w:rPr>
          <w:noProof/>
          <w:color w:val="auto"/>
        </w:rPr>
        <w:t> </w:t>
      </w:r>
      <w:r w:rsidR="00FD0C71" w:rsidRPr="006E5269">
        <w:rPr>
          <w:noProof/>
          <w:color w:val="auto"/>
        </w:rPr>
        <w:t>dzi</w:t>
      </w:r>
      <w:r w:rsidRPr="006E5269">
        <w:rPr>
          <w:noProof/>
          <w:color w:val="auto"/>
        </w:rPr>
        <w:t xml:space="preserve">ałalności DG ECHO </w:t>
      </w:r>
      <w:r w:rsidRPr="00FD0C71">
        <w:rPr>
          <w:noProof/>
          <w:color w:val="auto"/>
        </w:rPr>
        <w:t>za</w:t>
      </w:r>
      <w:r w:rsidR="00FD0C71" w:rsidRPr="00FD0C71">
        <w:rPr>
          <w:noProof/>
          <w:color w:val="auto"/>
        </w:rPr>
        <w:t> </w:t>
      </w:r>
      <w:r w:rsidRPr="00FD0C71">
        <w:rPr>
          <w:noProof/>
          <w:color w:val="auto"/>
        </w:rPr>
        <w:t>2</w:t>
      </w:r>
      <w:r w:rsidRPr="006E5269">
        <w:rPr>
          <w:noProof/>
          <w:color w:val="auto"/>
        </w:rPr>
        <w:t>0</w:t>
      </w:r>
      <w:r w:rsidRPr="00FD0C71">
        <w:rPr>
          <w:noProof/>
          <w:color w:val="auto"/>
        </w:rPr>
        <w:t>20</w:t>
      </w:r>
      <w:r w:rsidR="00FD0C71" w:rsidRPr="00FD0C71">
        <w:rPr>
          <w:noProof/>
          <w:color w:val="auto"/>
        </w:rPr>
        <w:t> </w:t>
      </w:r>
      <w:r w:rsidRPr="00FD0C71">
        <w:rPr>
          <w:noProof/>
          <w:color w:val="auto"/>
        </w:rPr>
        <w:t>r.</w:t>
      </w:r>
      <w:r w:rsidRPr="006E5269">
        <w:rPr>
          <w:noProof/>
          <w:color w:val="auto"/>
        </w:rPr>
        <w:t>: jeszcze niedostępne</w:t>
      </w:r>
    </w:p>
    <w:p w:rsidR="00A1277F" w:rsidRPr="006E5269" w:rsidRDefault="001F1293" w:rsidP="003057BC">
      <w:pPr>
        <w:pStyle w:val="Bodytext20"/>
        <w:numPr>
          <w:ilvl w:val="0"/>
          <w:numId w:val="6"/>
        </w:numPr>
        <w:shd w:val="clear" w:color="auto" w:fill="auto"/>
        <w:tabs>
          <w:tab w:val="left" w:pos="732"/>
        </w:tabs>
        <w:spacing w:before="240" w:after="0" w:line="240" w:lineRule="auto"/>
        <w:ind w:left="740" w:right="1660"/>
        <w:rPr>
          <w:noProof/>
          <w:color w:val="auto"/>
        </w:rPr>
      </w:pPr>
      <w:r w:rsidRPr="006E5269">
        <w:rPr>
          <w:noProof/>
          <w:color w:val="auto"/>
        </w:rPr>
        <w:t>Sprawozdanie roczne</w:t>
      </w:r>
      <w:r w:rsidR="00FD0C71" w:rsidRPr="006E5269">
        <w:rPr>
          <w:noProof/>
          <w:color w:val="auto"/>
        </w:rPr>
        <w:t xml:space="preserve"> z</w:t>
      </w:r>
      <w:r w:rsidR="00FD0C71">
        <w:rPr>
          <w:noProof/>
          <w:color w:val="auto"/>
        </w:rPr>
        <w:t> </w:t>
      </w:r>
      <w:r w:rsidR="00FD0C71" w:rsidRPr="006E5269">
        <w:rPr>
          <w:noProof/>
          <w:color w:val="auto"/>
        </w:rPr>
        <w:t>zar</w:t>
      </w:r>
      <w:r w:rsidRPr="006E5269">
        <w:rPr>
          <w:noProof/>
          <w:color w:val="auto"/>
        </w:rPr>
        <w:t>ządzania</w:t>
      </w:r>
      <w:r w:rsidR="00FD0C71" w:rsidRPr="006E5269">
        <w:rPr>
          <w:noProof/>
          <w:color w:val="auto"/>
        </w:rPr>
        <w:t xml:space="preserve"> i</w:t>
      </w:r>
      <w:r w:rsidR="00FD0C71">
        <w:rPr>
          <w:noProof/>
          <w:color w:val="auto"/>
        </w:rPr>
        <w:t> </w:t>
      </w:r>
      <w:r w:rsidR="00FD0C71" w:rsidRPr="006E5269">
        <w:rPr>
          <w:noProof/>
          <w:color w:val="auto"/>
        </w:rPr>
        <w:t>wyk</w:t>
      </w:r>
      <w:r w:rsidRPr="006E5269">
        <w:rPr>
          <w:noProof/>
          <w:color w:val="auto"/>
        </w:rPr>
        <w:t xml:space="preserve">onania </w:t>
      </w:r>
      <w:r w:rsidRPr="00FD0C71">
        <w:rPr>
          <w:noProof/>
          <w:color w:val="auto"/>
        </w:rPr>
        <w:t>za</w:t>
      </w:r>
      <w:r w:rsidR="00FD0C71" w:rsidRPr="00FD0C71">
        <w:rPr>
          <w:noProof/>
          <w:color w:val="auto"/>
        </w:rPr>
        <w:t> </w:t>
      </w:r>
      <w:r w:rsidRPr="00FD0C71">
        <w:rPr>
          <w:noProof/>
          <w:color w:val="auto"/>
        </w:rPr>
        <w:t>2</w:t>
      </w:r>
      <w:r w:rsidRPr="006E5269">
        <w:rPr>
          <w:noProof/>
          <w:color w:val="auto"/>
        </w:rPr>
        <w:t>0</w:t>
      </w:r>
      <w:r w:rsidRPr="00FD0C71">
        <w:rPr>
          <w:noProof/>
          <w:color w:val="auto"/>
        </w:rPr>
        <w:t>20</w:t>
      </w:r>
      <w:r w:rsidR="00FD0C71" w:rsidRPr="00FD0C71">
        <w:rPr>
          <w:noProof/>
          <w:color w:val="auto"/>
        </w:rPr>
        <w:t> </w:t>
      </w:r>
      <w:r w:rsidRPr="00FD0C71">
        <w:rPr>
          <w:noProof/>
          <w:color w:val="auto"/>
        </w:rPr>
        <w:t>r.</w:t>
      </w:r>
      <w:r w:rsidRPr="006E5269">
        <w:rPr>
          <w:noProof/>
          <w:color w:val="auto"/>
        </w:rPr>
        <w:t>: jeszcze niedostępne</w:t>
      </w:r>
    </w:p>
    <w:p w:rsidR="001F1293" w:rsidRPr="006E5269" w:rsidRDefault="00AD685B" w:rsidP="001F1293">
      <w:pPr>
        <w:pStyle w:val="Bodytext20"/>
        <w:numPr>
          <w:ilvl w:val="0"/>
          <w:numId w:val="6"/>
        </w:numPr>
        <w:shd w:val="clear" w:color="auto" w:fill="auto"/>
        <w:tabs>
          <w:tab w:val="left" w:pos="732"/>
        </w:tabs>
        <w:spacing w:before="240" w:after="0" w:line="240" w:lineRule="auto"/>
        <w:ind w:left="740" w:right="1240"/>
        <w:rPr>
          <w:noProof/>
          <w:color w:val="auto"/>
        </w:rPr>
      </w:pPr>
      <w:r w:rsidRPr="006E5269">
        <w:rPr>
          <w:noProof/>
          <w:color w:val="auto"/>
        </w:rPr>
        <w:t>Sprawozdania</w:t>
      </w:r>
      <w:r w:rsidR="00FD0C71" w:rsidRPr="006E5269">
        <w:rPr>
          <w:noProof/>
          <w:color w:val="auto"/>
        </w:rPr>
        <w:t xml:space="preserve"> z</w:t>
      </w:r>
      <w:r w:rsidR="00FD0C71">
        <w:rPr>
          <w:noProof/>
          <w:color w:val="auto"/>
        </w:rPr>
        <w:t> </w:t>
      </w:r>
      <w:r w:rsidR="00FD0C71" w:rsidRPr="006E5269">
        <w:rPr>
          <w:noProof/>
          <w:color w:val="auto"/>
        </w:rPr>
        <w:t>oce</w:t>
      </w:r>
      <w:r w:rsidRPr="006E5269">
        <w:rPr>
          <w:noProof/>
          <w:color w:val="auto"/>
        </w:rPr>
        <w:t xml:space="preserve">ny DG ECHO: </w:t>
      </w:r>
    </w:p>
    <w:p w:rsidR="00A06000" w:rsidRPr="006E5269" w:rsidRDefault="00287E87" w:rsidP="001F1293">
      <w:pPr>
        <w:pStyle w:val="Bodytext20"/>
        <w:shd w:val="clear" w:color="auto" w:fill="auto"/>
        <w:tabs>
          <w:tab w:val="left" w:pos="732"/>
        </w:tabs>
        <w:spacing w:after="0" w:line="240" w:lineRule="auto"/>
        <w:ind w:left="740" w:right="1240" w:firstLine="0"/>
        <w:rPr>
          <w:noProof/>
          <w:color w:val="auto"/>
        </w:rPr>
      </w:pPr>
      <w:hyperlink r:id="rId27" w:history="1">
        <w:r w:rsidR="00985B85" w:rsidRPr="006E5269">
          <w:rPr>
            <w:rStyle w:val="Hyperlink"/>
            <w:noProof/>
          </w:rPr>
          <w:t>https://ec.europa.eu/echo/funding-evaluations/evaluations_en</w:t>
        </w:r>
      </w:hyperlink>
      <w:r w:rsidR="00985B85" w:rsidRPr="006E5269">
        <w:rPr>
          <w:noProof/>
          <w:color w:val="auto"/>
        </w:rPr>
        <w:t xml:space="preserve"> </w:t>
      </w:r>
    </w:p>
    <w:p w:rsidR="00A363CD" w:rsidRPr="006E5269" w:rsidRDefault="003C5A6F" w:rsidP="001F1293">
      <w:pPr>
        <w:pStyle w:val="Bodytext20"/>
        <w:numPr>
          <w:ilvl w:val="0"/>
          <w:numId w:val="6"/>
        </w:numPr>
        <w:shd w:val="clear" w:color="auto" w:fill="auto"/>
        <w:tabs>
          <w:tab w:val="left" w:pos="732"/>
        </w:tabs>
        <w:spacing w:before="240" w:after="0" w:line="240" w:lineRule="auto"/>
        <w:ind w:left="740" w:right="1240"/>
        <w:rPr>
          <w:noProof/>
          <w:color w:val="auto"/>
          <w:u w:val="single"/>
        </w:rPr>
      </w:pPr>
      <w:r w:rsidRPr="006E5269">
        <w:rPr>
          <w:noProof/>
          <w:color w:val="auto"/>
        </w:rPr>
        <w:t>Dane dotyczące finansowania pomocy humanitarnej przez Komisję Europejską</w:t>
      </w:r>
      <w:r w:rsidR="00FD0C71" w:rsidRPr="006E5269">
        <w:rPr>
          <w:noProof/>
          <w:color w:val="auto"/>
        </w:rPr>
        <w:t xml:space="preserve"> i</w:t>
      </w:r>
      <w:r w:rsidR="00FD0C71">
        <w:rPr>
          <w:noProof/>
          <w:color w:val="auto"/>
        </w:rPr>
        <w:t> </w:t>
      </w:r>
      <w:r w:rsidR="00FD0C71" w:rsidRPr="006E5269">
        <w:rPr>
          <w:noProof/>
          <w:color w:val="auto"/>
        </w:rPr>
        <w:t>pań</w:t>
      </w:r>
      <w:r w:rsidRPr="006E5269">
        <w:rPr>
          <w:noProof/>
          <w:color w:val="auto"/>
        </w:rPr>
        <w:t xml:space="preserve">stwa członkowskie: </w:t>
      </w:r>
      <w:hyperlink r:id="rId28" w:history="1">
        <w:r w:rsidRPr="006E5269">
          <w:rPr>
            <w:rStyle w:val="Hyperlink"/>
            <w:noProof/>
          </w:rPr>
          <w:t>https://webgate.ec.europa.eu/hac/</w:t>
        </w:r>
      </w:hyperlink>
      <w:r w:rsidRPr="006E5269">
        <w:rPr>
          <w:noProof/>
          <w:color w:val="auto"/>
        </w:rPr>
        <w:t xml:space="preserve"> </w:t>
      </w:r>
    </w:p>
    <w:p w:rsidR="00A06000" w:rsidRPr="006E5269" w:rsidRDefault="00A06000" w:rsidP="003057BC">
      <w:pPr>
        <w:pStyle w:val="Bodytext20"/>
        <w:shd w:val="clear" w:color="auto" w:fill="auto"/>
        <w:tabs>
          <w:tab w:val="left" w:pos="732"/>
        </w:tabs>
        <w:spacing w:before="240" w:after="0" w:line="240" w:lineRule="auto"/>
        <w:ind w:right="1240" w:firstLine="0"/>
        <w:rPr>
          <w:noProof/>
          <w:lang w:eastAsia="fr-FR" w:bidi="fr-FR"/>
        </w:rPr>
      </w:pPr>
    </w:p>
    <w:p w:rsidR="00A06000" w:rsidRPr="006E5269" w:rsidRDefault="003F1356" w:rsidP="003B71A1">
      <w:pPr>
        <w:pStyle w:val="Heading310"/>
        <w:keepNext/>
        <w:keepLines/>
        <w:shd w:val="clear" w:color="auto" w:fill="auto"/>
        <w:spacing w:after="240" w:line="240" w:lineRule="auto"/>
        <w:ind w:firstLine="0"/>
        <w:jc w:val="left"/>
        <w:rPr>
          <w:noProof/>
          <w:color w:val="1F3864" w:themeColor="accent5" w:themeShade="80"/>
          <w:sz w:val="28"/>
          <w:u w:val="single"/>
        </w:rPr>
      </w:pPr>
      <w:bookmarkStart w:id="13" w:name="_Toc84941900"/>
      <w:r w:rsidRPr="006E5269">
        <w:rPr>
          <w:noProof/>
          <w:color w:val="1F3864" w:themeColor="accent5" w:themeShade="80"/>
          <w:sz w:val="28"/>
          <w:u w:val="single"/>
        </w:rPr>
        <w:t>Partnerzy wykonawczy DG ECHO (2020)</w:t>
      </w:r>
      <w:r w:rsidRPr="006E5269">
        <w:rPr>
          <w:rStyle w:val="FootnoteReference"/>
          <w:noProof/>
          <w:color w:val="1F3864" w:themeColor="accent5" w:themeShade="80"/>
          <w:sz w:val="28"/>
          <w:u w:val="single"/>
        </w:rPr>
        <w:footnoteReference w:id="29"/>
      </w:r>
      <w:bookmarkEnd w:id="13"/>
    </w:p>
    <w:p w:rsidR="003F1356" w:rsidRPr="006E5269" w:rsidRDefault="003F1356" w:rsidP="003B71A1">
      <w:pPr>
        <w:pStyle w:val="Heading310"/>
        <w:keepNext/>
        <w:keepLines/>
        <w:shd w:val="clear" w:color="auto" w:fill="auto"/>
        <w:spacing w:before="240" w:after="0" w:line="240" w:lineRule="auto"/>
        <w:ind w:firstLine="0"/>
        <w:jc w:val="left"/>
        <w:rPr>
          <w:noProof/>
          <w:color w:val="1F3864" w:themeColor="accent5" w:themeShade="80"/>
          <w:sz w:val="28"/>
          <w:u w:val="single"/>
        </w:rPr>
      </w:pPr>
    </w:p>
    <w:tbl>
      <w:tblPr>
        <w:tblW w:w="9351" w:type="dxa"/>
        <w:tblInd w:w="75" w:type="dxa"/>
        <w:tblCellMar>
          <w:left w:w="70" w:type="dxa"/>
          <w:right w:w="70" w:type="dxa"/>
        </w:tblCellMar>
        <w:tblLook w:val="04A0" w:firstRow="1" w:lastRow="0" w:firstColumn="1" w:lastColumn="0" w:noHBand="0" w:noVBand="1"/>
      </w:tblPr>
      <w:tblGrid>
        <w:gridCol w:w="1400"/>
        <w:gridCol w:w="7951"/>
      </w:tblGrid>
      <w:tr w:rsidR="003F1356" w:rsidRPr="006E5269" w:rsidTr="00F33DB2">
        <w:trPr>
          <w:trHeight w:val="300"/>
        </w:trPr>
        <w:tc>
          <w:tcPr>
            <w:tcW w:w="935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rsidR="003F1356" w:rsidRPr="006E5269" w:rsidRDefault="003F1356">
            <w:pPr>
              <w:widowControl/>
              <w:jc w:val="center"/>
              <w:rPr>
                <w:rFonts w:ascii="Verdana" w:hAnsi="Verdana" w:cs="Calibri"/>
                <w:b/>
                <w:noProof/>
                <w:color w:val="363636"/>
                <w:sz w:val="16"/>
                <w:szCs w:val="16"/>
              </w:rPr>
            </w:pPr>
            <w:r w:rsidRPr="006E5269">
              <w:rPr>
                <w:rFonts w:ascii="Verdana" w:hAnsi="Verdana"/>
                <w:b/>
                <w:noProof/>
                <w:color w:val="363636"/>
                <w:sz w:val="16"/>
                <w:szCs w:val="16"/>
              </w:rPr>
              <w:t>Wyspecjalizowane agencje państw członkowskich</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noWrap/>
            <w:hideMark/>
          </w:tcPr>
          <w:p w:rsidR="003F1356" w:rsidRPr="006E5269" w:rsidRDefault="003F1356" w:rsidP="00AF421D">
            <w:pPr>
              <w:widowControl/>
              <w:jc w:val="both"/>
              <w:rPr>
                <w:rFonts w:ascii="Verdana" w:hAnsi="Verdana" w:cs="Calibri"/>
                <w:b/>
                <w:noProof/>
                <w:color w:val="363636"/>
                <w:sz w:val="16"/>
                <w:szCs w:val="16"/>
              </w:rPr>
            </w:pPr>
            <w:r w:rsidRPr="006E5269">
              <w:rPr>
                <w:rFonts w:ascii="Verdana" w:hAnsi="Verdana"/>
                <w:b/>
                <w:noProof/>
                <w:color w:val="363636"/>
                <w:sz w:val="16"/>
                <w:szCs w:val="16"/>
              </w:rPr>
              <w:t>Państwo członkowskie</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AF421D">
            <w:pPr>
              <w:widowControl/>
              <w:rPr>
                <w:rFonts w:ascii="Verdana" w:hAnsi="Verdana" w:cs="Calibri"/>
                <w:b/>
                <w:noProof/>
                <w:color w:val="363636"/>
                <w:sz w:val="16"/>
                <w:szCs w:val="16"/>
              </w:rPr>
            </w:pPr>
            <w:r w:rsidRPr="006E5269">
              <w:rPr>
                <w:rFonts w:ascii="Verdana" w:hAnsi="Verdana"/>
                <w:b/>
                <w:noProof/>
                <w:color w:val="363636"/>
                <w:sz w:val="16"/>
                <w:szCs w:val="16"/>
              </w:rPr>
              <w:t>Nazwa</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noWrap/>
            <w:hideMark/>
          </w:tcPr>
          <w:p w:rsidR="003F1356" w:rsidRPr="006E5269" w:rsidRDefault="003F1356">
            <w:pPr>
              <w:widowControl/>
              <w:rPr>
                <w:rFonts w:ascii="Verdana" w:hAnsi="Verdana" w:cs="Calibri"/>
                <w:noProof/>
                <w:color w:val="363636"/>
                <w:sz w:val="16"/>
                <w:szCs w:val="16"/>
              </w:rPr>
            </w:pPr>
            <w:r w:rsidRPr="006E5269">
              <w:rPr>
                <w:rFonts w:ascii="Verdana" w:hAnsi="Verdana"/>
                <w:noProof/>
                <w:color w:val="363636"/>
                <w:sz w:val="16"/>
                <w:szCs w:val="16"/>
              </w:rPr>
              <w:t>Francja</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Agence Française d’Expertise Technique Internationale</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noWrap/>
            <w:hideMark/>
          </w:tcPr>
          <w:p w:rsidR="003F1356" w:rsidRPr="006E5269" w:rsidRDefault="009F10B2">
            <w:pPr>
              <w:widowControl/>
              <w:rPr>
                <w:rFonts w:ascii="Verdana" w:hAnsi="Verdana" w:cs="Calibri"/>
                <w:noProof/>
                <w:color w:val="363636"/>
                <w:sz w:val="16"/>
                <w:szCs w:val="16"/>
              </w:rPr>
            </w:pPr>
            <w:r w:rsidRPr="006E5269">
              <w:rPr>
                <w:rFonts w:ascii="Verdana" w:hAnsi="Verdana"/>
                <w:noProof/>
                <w:color w:val="363636"/>
                <w:sz w:val="16"/>
                <w:szCs w:val="16"/>
              </w:rPr>
              <w:t>Niemcy</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Deutsche Gesellschaft Für Internationale Zusammenarbeit</w:t>
            </w:r>
          </w:p>
        </w:tc>
      </w:tr>
    </w:tbl>
    <w:p w:rsidR="003F1356" w:rsidRPr="006E5269" w:rsidRDefault="003F1356" w:rsidP="003F1356">
      <w:pPr>
        <w:pStyle w:val="Bodytext20"/>
        <w:shd w:val="clear" w:color="auto" w:fill="auto"/>
        <w:tabs>
          <w:tab w:val="left" w:pos="732"/>
        </w:tabs>
        <w:spacing w:before="240" w:after="0" w:line="240" w:lineRule="auto"/>
        <w:ind w:right="1240" w:firstLine="0"/>
        <w:rPr>
          <w:noProof/>
        </w:rPr>
      </w:pPr>
    </w:p>
    <w:tbl>
      <w:tblPr>
        <w:tblW w:w="9351" w:type="dxa"/>
        <w:tblInd w:w="75" w:type="dxa"/>
        <w:tblCellMar>
          <w:left w:w="70" w:type="dxa"/>
          <w:right w:w="70" w:type="dxa"/>
        </w:tblCellMar>
        <w:tblLook w:val="04A0" w:firstRow="1" w:lastRow="0" w:firstColumn="1" w:lastColumn="0" w:noHBand="0" w:noVBand="1"/>
      </w:tblPr>
      <w:tblGrid>
        <w:gridCol w:w="1400"/>
        <w:gridCol w:w="7951"/>
      </w:tblGrid>
      <w:tr w:rsidR="003F1356" w:rsidRPr="006E5269" w:rsidTr="00F33DB2">
        <w:trPr>
          <w:trHeight w:val="300"/>
        </w:trPr>
        <w:tc>
          <w:tcPr>
            <w:tcW w:w="935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rsidR="003F1356" w:rsidRPr="006E5269" w:rsidRDefault="003F1356" w:rsidP="00F33DB2">
            <w:pPr>
              <w:widowControl/>
              <w:jc w:val="center"/>
              <w:rPr>
                <w:rFonts w:ascii="Verdana" w:hAnsi="Verdana" w:cs="Calibri"/>
                <w:b/>
                <w:noProof/>
                <w:color w:val="363636"/>
                <w:sz w:val="16"/>
                <w:szCs w:val="16"/>
              </w:rPr>
            </w:pPr>
            <w:r w:rsidRPr="006E5269">
              <w:rPr>
                <w:rFonts w:ascii="Verdana" w:hAnsi="Verdana"/>
                <w:b/>
                <w:noProof/>
                <w:color w:val="363636"/>
                <w:sz w:val="16"/>
                <w:szCs w:val="16"/>
              </w:rPr>
              <w:t>Organizacje międzynarodowe</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b/>
                <w:noProof/>
                <w:color w:val="363636"/>
                <w:sz w:val="16"/>
                <w:szCs w:val="16"/>
              </w:rPr>
            </w:pPr>
            <w:r w:rsidRPr="006E5269">
              <w:rPr>
                <w:rFonts w:ascii="Verdana" w:hAnsi="Verdana"/>
                <w:b/>
                <w:noProof/>
                <w:color w:val="363636"/>
                <w:sz w:val="16"/>
                <w:szCs w:val="16"/>
              </w:rPr>
              <w:t>Państwo</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b/>
                <w:noProof/>
                <w:color w:val="363636"/>
                <w:sz w:val="16"/>
                <w:szCs w:val="16"/>
              </w:rPr>
            </w:pPr>
            <w:r w:rsidRPr="006E5269">
              <w:rPr>
                <w:rFonts w:ascii="Verdana" w:hAnsi="Verdana"/>
                <w:b/>
                <w:noProof/>
                <w:color w:val="363636"/>
                <w:sz w:val="16"/>
                <w:szCs w:val="16"/>
              </w:rPr>
              <w:t>Nazwa</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Szwajcaria</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Comité International De La Croix-Rouge (CICR)</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 xml:space="preserve">Szwajcaria </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Fédération Internationale Des Sociétés De La Croix-Rouge Et Du Croissant Rouge</w:t>
            </w:r>
          </w:p>
        </w:tc>
      </w:tr>
    </w:tbl>
    <w:p w:rsidR="003F1356" w:rsidRPr="006E5269" w:rsidRDefault="003F1356" w:rsidP="003F1356">
      <w:pPr>
        <w:pStyle w:val="Bodytext20"/>
        <w:shd w:val="clear" w:color="auto" w:fill="auto"/>
        <w:tabs>
          <w:tab w:val="left" w:pos="732"/>
        </w:tabs>
        <w:spacing w:before="240" w:after="0" w:line="240" w:lineRule="auto"/>
        <w:ind w:right="1240" w:firstLine="0"/>
        <w:rPr>
          <w:noProof/>
        </w:rPr>
      </w:pPr>
    </w:p>
    <w:tbl>
      <w:tblPr>
        <w:tblW w:w="9351" w:type="dxa"/>
        <w:tblInd w:w="75" w:type="dxa"/>
        <w:tblCellMar>
          <w:left w:w="70" w:type="dxa"/>
          <w:right w:w="70" w:type="dxa"/>
        </w:tblCellMar>
        <w:tblLook w:val="04A0" w:firstRow="1" w:lastRow="0" w:firstColumn="1" w:lastColumn="0" w:noHBand="0" w:noVBand="1"/>
      </w:tblPr>
      <w:tblGrid>
        <w:gridCol w:w="1400"/>
        <w:gridCol w:w="7951"/>
      </w:tblGrid>
      <w:tr w:rsidR="003F1356" w:rsidRPr="006E5269" w:rsidTr="00416917">
        <w:trPr>
          <w:trHeight w:val="300"/>
          <w:tblHeader/>
        </w:trPr>
        <w:tc>
          <w:tcPr>
            <w:tcW w:w="9351" w:type="dxa"/>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hideMark/>
          </w:tcPr>
          <w:p w:rsidR="003F1356" w:rsidRPr="006E5269" w:rsidRDefault="003F1356" w:rsidP="00F33DB2">
            <w:pPr>
              <w:widowControl/>
              <w:jc w:val="center"/>
              <w:rPr>
                <w:rFonts w:ascii="Verdana" w:hAnsi="Verdana" w:cs="Calibri"/>
                <w:b/>
                <w:noProof/>
                <w:color w:val="363636"/>
                <w:sz w:val="16"/>
                <w:szCs w:val="16"/>
              </w:rPr>
            </w:pPr>
            <w:r w:rsidRPr="006E5269">
              <w:rPr>
                <w:rFonts w:ascii="Verdana" w:hAnsi="Verdana"/>
                <w:b/>
                <w:noProof/>
                <w:color w:val="363636"/>
                <w:sz w:val="16"/>
                <w:szCs w:val="16"/>
              </w:rPr>
              <w:t>Agencje Organizacji Narodów Zjednoczonych</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rsidP="00AF421D">
            <w:pPr>
              <w:widowControl/>
              <w:rPr>
                <w:rFonts w:ascii="Verdana" w:hAnsi="Verdana" w:cs="Calibri"/>
                <w:b/>
                <w:noProof/>
                <w:color w:val="363636"/>
                <w:sz w:val="16"/>
                <w:szCs w:val="16"/>
              </w:rPr>
            </w:pPr>
            <w:r w:rsidRPr="006E5269">
              <w:rPr>
                <w:rFonts w:ascii="Verdana" w:hAnsi="Verdana"/>
                <w:b/>
                <w:noProof/>
                <w:color w:val="363636"/>
                <w:sz w:val="16"/>
                <w:szCs w:val="16"/>
              </w:rPr>
              <w:t>Państwo</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AF421D">
            <w:pPr>
              <w:widowControl/>
              <w:rPr>
                <w:rFonts w:ascii="Verdana" w:hAnsi="Verdana" w:cs="Calibri"/>
                <w:b/>
                <w:noProof/>
                <w:color w:val="363636"/>
                <w:sz w:val="16"/>
                <w:szCs w:val="16"/>
              </w:rPr>
            </w:pPr>
            <w:r w:rsidRPr="006E5269">
              <w:rPr>
                <w:rFonts w:ascii="Verdana" w:hAnsi="Verdana"/>
                <w:b/>
                <w:noProof/>
                <w:color w:val="363636"/>
                <w:sz w:val="16"/>
                <w:szCs w:val="16"/>
              </w:rPr>
              <w:t>Nazwa</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Francja</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Organizacja Narodów Zjednoczonych do spraw Oświaty, Nauki</w:t>
            </w:r>
            <w:r w:rsidR="00FD0C71" w:rsidRPr="006E5269">
              <w:rPr>
                <w:rFonts w:ascii="Verdana" w:hAnsi="Verdana"/>
                <w:noProof/>
                <w:color w:val="363636"/>
                <w:sz w:val="16"/>
                <w:szCs w:val="16"/>
              </w:rPr>
              <w:t xml:space="preserve"> i</w:t>
            </w:r>
            <w:r w:rsidR="00FD0C71">
              <w:rPr>
                <w:rFonts w:ascii="Verdana" w:hAnsi="Verdana"/>
                <w:noProof/>
                <w:color w:val="363636"/>
                <w:sz w:val="16"/>
                <w:szCs w:val="16"/>
              </w:rPr>
              <w:t> </w:t>
            </w:r>
            <w:r w:rsidR="00FD0C71" w:rsidRPr="006E5269">
              <w:rPr>
                <w:rFonts w:ascii="Verdana" w:hAnsi="Verdana"/>
                <w:noProof/>
                <w:color w:val="363636"/>
                <w:sz w:val="16"/>
                <w:szCs w:val="16"/>
              </w:rPr>
              <w:t>Kul</w:t>
            </w:r>
            <w:r w:rsidRPr="006E5269">
              <w:rPr>
                <w:rFonts w:ascii="Verdana" w:hAnsi="Verdana"/>
                <w:noProof/>
                <w:color w:val="363636"/>
                <w:sz w:val="16"/>
                <w:szCs w:val="16"/>
              </w:rPr>
              <w:t>tury (UNESCO)</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Włochy</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Organizacja Narodów Zjednoczonych ds. Wyżywienia</w:t>
            </w:r>
            <w:r w:rsidR="00FD0C71" w:rsidRPr="006E5269">
              <w:rPr>
                <w:rFonts w:ascii="Verdana" w:hAnsi="Verdana"/>
                <w:noProof/>
                <w:color w:val="363636"/>
                <w:sz w:val="16"/>
                <w:szCs w:val="16"/>
              </w:rPr>
              <w:t xml:space="preserve"> i</w:t>
            </w:r>
            <w:r w:rsidR="00FD0C71">
              <w:rPr>
                <w:rFonts w:ascii="Verdana" w:hAnsi="Verdana"/>
                <w:noProof/>
                <w:color w:val="363636"/>
                <w:sz w:val="16"/>
                <w:szCs w:val="16"/>
              </w:rPr>
              <w:t> </w:t>
            </w:r>
            <w:r w:rsidR="00FD0C71" w:rsidRPr="006E5269">
              <w:rPr>
                <w:rFonts w:ascii="Verdana" w:hAnsi="Verdana"/>
                <w:noProof/>
                <w:color w:val="363636"/>
                <w:sz w:val="16"/>
                <w:szCs w:val="16"/>
              </w:rPr>
              <w:t>Rol</w:t>
            </w:r>
            <w:r w:rsidRPr="006E5269">
              <w:rPr>
                <w:rFonts w:ascii="Verdana" w:hAnsi="Verdana"/>
                <w:noProof/>
                <w:color w:val="363636"/>
                <w:sz w:val="16"/>
                <w:szCs w:val="16"/>
              </w:rPr>
              <w:t>nictwa (FAO)</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Włochy</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Światowy Program Żywnościowy (WFP)</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Izrael</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Organizacja Narodów Zjednoczonych do spraw Pomocy Uchodźcom Palestyńskim na Bliskim Wschodzie (UNRWA)</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Szwajcaria</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Międzynarodowa Organizacja ds. Migracji (IOM)</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Szwajcaria</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Biuro Wysokiego Komisarza Narodów Zjednoczonych ds. Praw Człowieka (OHCHR)</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Szwajcaria</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Wysoki Komisarz Narodów Zjednoczonych ds. Uchodźców (UNHCR)</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Szwajcaria</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Biuro ONZ ds. Zmniejszania Ryzyka Związanego</w:t>
            </w:r>
            <w:r w:rsidR="00FD0C71" w:rsidRPr="006E5269">
              <w:rPr>
                <w:rFonts w:ascii="Verdana" w:hAnsi="Verdana"/>
                <w:noProof/>
                <w:color w:val="363636"/>
                <w:sz w:val="16"/>
                <w:szCs w:val="16"/>
              </w:rPr>
              <w:t xml:space="preserve"> z</w:t>
            </w:r>
            <w:r w:rsidR="00FD0C71">
              <w:rPr>
                <w:rFonts w:ascii="Verdana" w:hAnsi="Verdana"/>
                <w:noProof/>
                <w:color w:val="363636"/>
                <w:sz w:val="16"/>
                <w:szCs w:val="16"/>
              </w:rPr>
              <w:t> </w:t>
            </w:r>
            <w:r w:rsidR="00FD0C71" w:rsidRPr="006E5269">
              <w:rPr>
                <w:rFonts w:ascii="Verdana" w:hAnsi="Verdana"/>
                <w:noProof/>
                <w:color w:val="363636"/>
                <w:sz w:val="16"/>
                <w:szCs w:val="16"/>
              </w:rPr>
              <w:t>Klę</w:t>
            </w:r>
            <w:r w:rsidRPr="006E5269">
              <w:rPr>
                <w:rFonts w:ascii="Verdana" w:hAnsi="Verdana"/>
                <w:noProof/>
                <w:color w:val="363636"/>
                <w:sz w:val="16"/>
                <w:szCs w:val="16"/>
              </w:rPr>
              <w:t>skami Żywiołowymi (UNDRR)</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Szwajcaria</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Biuro ONZ ds. Koordynacji Pomocy Humanitarnej (OCHA)</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Szwajcaria</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Światowa Organizacja Zdrowia (WHO)</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Stany Zjednoczone</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pPr>
              <w:widowControl/>
              <w:rPr>
                <w:rFonts w:ascii="Verdana" w:hAnsi="Verdana" w:cs="Calibri"/>
                <w:noProof/>
                <w:color w:val="363636"/>
                <w:sz w:val="16"/>
                <w:szCs w:val="16"/>
              </w:rPr>
            </w:pPr>
            <w:r w:rsidRPr="006E5269">
              <w:rPr>
                <w:rFonts w:ascii="Verdana" w:hAnsi="Verdana"/>
                <w:noProof/>
                <w:color w:val="363636"/>
                <w:sz w:val="16"/>
                <w:szCs w:val="16"/>
              </w:rPr>
              <w:t>Jednostka Narodów Zjednoczonych ds. Równości Płci</w:t>
            </w:r>
            <w:r w:rsidR="00FD0C71" w:rsidRPr="006E5269">
              <w:rPr>
                <w:rFonts w:ascii="Verdana" w:hAnsi="Verdana"/>
                <w:noProof/>
                <w:color w:val="363636"/>
                <w:sz w:val="16"/>
                <w:szCs w:val="16"/>
              </w:rPr>
              <w:t xml:space="preserve"> i</w:t>
            </w:r>
            <w:r w:rsidR="00FD0C71">
              <w:rPr>
                <w:rFonts w:ascii="Verdana" w:hAnsi="Verdana"/>
                <w:noProof/>
                <w:color w:val="363636"/>
                <w:sz w:val="16"/>
                <w:szCs w:val="16"/>
              </w:rPr>
              <w:t> </w:t>
            </w:r>
            <w:r w:rsidR="00FD0C71" w:rsidRPr="006E5269">
              <w:rPr>
                <w:rFonts w:ascii="Verdana" w:hAnsi="Verdana"/>
                <w:noProof/>
                <w:color w:val="363636"/>
                <w:sz w:val="16"/>
                <w:szCs w:val="16"/>
              </w:rPr>
              <w:t>Uwł</w:t>
            </w:r>
            <w:r w:rsidRPr="006E5269">
              <w:rPr>
                <w:rFonts w:ascii="Verdana" w:hAnsi="Verdana"/>
                <w:noProof/>
                <w:color w:val="363636"/>
                <w:sz w:val="16"/>
                <w:szCs w:val="16"/>
              </w:rPr>
              <w:t>asnowolnienia Kobiet (UN Women)</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Stany Zjednoczone</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UNDP Multi Partner Trust Fund Office</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Stany Zjednoczone</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Fundusz Narodów Zjednoczonych na rzecz Dzieci (UNICEF)</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Stany Zjednoczone</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Panamerykańska Organizacja Zdrowia (PAHO)</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Stany Zjednoczone</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Program Narodów Zjednoczonych ds. Rozwoju</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Stany Zjednoczone</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Służba Działań Przeciwminowych ONZ (UNMAS)</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Stany Zjednoczone</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Biuro Narodów Zjednoczonych ds. Obsługi Projektów</w:t>
            </w:r>
          </w:p>
        </w:tc>
      </w:tr>
      <w:tr w:rsidR="003F1356" w:rsidRPr="006E5269" w:rsidTr="00F33DB2">
        <w:trPr>
          <w:trHeight w:val="300"/>
        </w:trPr>
        <w:tc>
          <w:tcPr>
            <w:tcW w:w="1400"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Stany Zjednoczone</w:t>
            </w:r>
          </w:p>
        </w:tc>
        <w:tc>
          <w:tcPr>
            <w:tcW w:w="7951"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Fundusz Ludnościowy ONZ (UNFPA)</w:t>
            </w:r>
          </w:p>
        </w:tc>
      </w:tr>
    </w:tbl>
    <w:p w:rsidR="003F1356" w:rsidRPr="006E5269" w:rsidRDefault="003F1356" w:rsidP="003F1356">
      <w:pPr>
        <w:pStyle w:val="Bodytext20"/>
        <w:shd w:val="clear" w:color="auto" w:fill="auto"/>
        <w:tabs>
          <w:tab w:val="left" w:pos="732"/>
        </w:tabs>
        <w:spacing w:before="240" w:after="0" w:line="240" w:lineRule="auto"/>
        <w:ind w:right="1240" w:firstLine="0"/>
        <w:rPr>
          <w:noProof/>
        </w:rPr>
      </w:pPr>
    </w:p>
    <w:tbl>
      <w:tblPr>
        <w:tblW w:w="9380" w:type="dxa"/>
        <w:tblInd w:w="75" w:type="dxa"/>
        <w:tblCellMar>
          <w:left w:w="70" w:type="dxa"/>
          <w:right w:w="70" w:type="dxa"/>
        </w:tblCellMar>
        <w:tblLook w:val="04A0" w:firstRow="1" w:lastRow="0" w:firstColumn="1" w:lastColumn="0" w:noHBand="0" w:noVBand="1"/>
      </w:tblPr>
      <w:tblGrid>
        <w:gridCol w:w="1413"/>
        <w:gridCol w:w="7967"/>
      </w:tblGrid>
      <w:tr w:rsidR="003F1356" w:rsidRPr="006E5269" w:rsidTr="00416917">
        <w:trPr>
          <w:trHeight w:val="300"/>
          <w:tblHeader/>
        </w:trPr>
        <w:tc>
          <w:tcPr>
            <w:tcW w:w="938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tcPr>
          <w:p w:rsidR="003F1356" w:rsidRPr="006E5269" w:rsidRDefault="003F1356" w:rsidP="00F33DB2">
            <w:pPr>
              <w:widowControl/>
              <w:jc w:val="center"/>
              <w:rPr>
                <w:rFonts w:ascii="Verdana" w:hAnsi="Verdana" w:cs="Calibri"/>
                <w:b/>
                <w:noProof/>
                <w:color w:val="363636"/>
                <w:sz w:val="16"/>
                <w:szCs w:val="16"/>
              </w:rPr>
            </w:pPr>
            <w:r w:rsidRPr="006E5269">
              <w:rPr>
                <w:rFonts w:ascii="Verdana" w:hAnsi="Verdana"/>
                <w:b/>
                <w:noProof/>
                <w:color w:val="363636"/>
                <w:sz w:val="16"/>
                <w:szCs w:val="16"/>
              </w:rPr>
              <w:t>Organizacje pozarządowe</w:t>
            </w:r>
          </w:p>
        </w:tc>
      </w:tr>
      <w:tr w:rsidR="003F1356" w:rsidRPr="006E5269" w:rsidTr="003B71A1">
        <w:trPr>
          <w:trHeight w:val="300"/>
        </w:trPr>
        <w:tc>
          <w:tcPr>
            <w:tcW w:w="1413" w:type="dxa"/>
            <w:tcBorders>
              <w:top w:val="single" w:sz="4" w:space="0" w:color="auto"/>
              <w:left w:val="single" w:sz="4" w:space="0" w:color="auto"/>
              <w:bottom w:val="single" w:sz="4" w:space="0" w:color="auto"/>
              <w:right w:val="single" w:sz="4" w:space="0" w:color="auto"/>
            </w:tcBorders>
            <w:shd w:val="clear" w:color="000000" w:fill="FFFFFF"/>
            <w:noWrap/>
            <w:hideMark/>
          </w:tcPr>
          <w:p w:rsidR="003F1356" w:rsidRPr="006E5269" w:rsidRDefault="003F1356" w:rsidP="00AF421D">
            <w:pPr>
              <w:widowControl/>
              <w:rPr>
                <w:rFonts w:ascii="Verdana" w:hAnsi="Verdana" w:cs="Calibri"/>
                <w:b/>
                <w:noProof/>
                <w:color w:val="363636"/>
                <w:sz w:val="16"/>
                <w:szCs w:val="16"/>
              </w:rPr>
            </w:pPr>
            <w:r w:rsidRPr="006E5269">
              <w:rPr>
                <w:rFonts w:ascii="Verdana" w:hAnsi="Verdana"/>
                <w:b/>
                <w:noProof/>
                <w:color w:val="363636"/>
                <w:sz w:val="16"/>
                <w:szCs w:val="16"/>
              </w:rPr>
              <w:t>Państwo</w:t>
            </w:r>
          </w:p>
        </w:tc>
        <w:tc>
          <w:tcPr>
            <w:tcW w:w="7967" w:type="dxa"/>
            <w:tcBorders>
              <w:top w:val="single" w:sz="4" w:space="0" w:color="auto"/>
              <w:left w:val="nil"/>
              <w:bottom w:val="single" w:sz="4" w:space="0" w:color="auto"/>
              <w:right w:val="single" w:sz="4" w:space="0" w:color="auto"/>
            </w:tcBorders>
            <w:shd w:val="clear" w:color="000000" w:fill="FFFFFF"/>
            <w:noWrap/>
            <w:hideMark/>
          </w:tcPr>
          <w:p w:rsidR="003F1356" w:rsidRPr="006E5269" w:rsidRDefault="003F1356" w:rsidP="00AF421D">
            <w:pPr>
              <w:widowControl/>
              <w:rPr>
                <w:rFonts w:ascii="Verdana" w:hAnsi="Verdana" w:cs="Calibri"/>
                <w:b/>
                <w:noProof/>
                <w:color w:val="363636"/>
                <w:sz w:val="16"/>
                <w:szCs w:val="16"/>
              </w:rPr>
            </w:pPr>
            <w:r w:rsidRPr="006E5269">
              <w:rPr>
                <w:rFonts w:ascii="Verdana" w:hAnsi="Verdana"/>
                <w:b/>
                <w:noProof/>
                <w:color w:val="363636"/>
                <w:sz w:val="16"/>
                <w:szCs w:val="16"/>
              </w:rPr>
              <w:t>Nazwa</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Austria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Care Österreich</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Austria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Caritas Österreich</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Austria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Hope'87 - Hundreds Of Original Projects For Employment</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Austria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World Vision Österreich</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Belgia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Croix Rouge De Belgique - Communauté Francophone</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Belgia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Médecins Du Monde - Dokters Van De Wereld</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Belgia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OXFAM-Solidarité</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Belgia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Vzw Rode-Kruis Vlaanderen Internationaal</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Czechy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Človek V Tísni, O.P.S.</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Dania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Adra Danmark</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Dania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CARE Danmark - Fonden For Frivillig Ulandsbistand</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Dania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Danish Committee For Aid To Afghan Refugees</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Dania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Dansk Flygtningehjaelp</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Dania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Dansk Rode Kors</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Dania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Folkekirkens Nodhjaelp</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Dania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Red Barnet</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Finlandia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Kirkon Ulkomaanapu Sr</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Finlandia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Pelastakaa Lapset - Rädda Barnen</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Finlandia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Plan Suomi Säätiö</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Finlandia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FA3844" w:rsidP="00F33DB2">
            <w:pPr>
              <w:widowControl/>
              <w:rPr>
                <w:rFonts w:ascii="Verdana" w:hAnsi="Verdana" w:cs="Calibri"/>
                <w:noProof/>
                <w:color w:val="363636"/>
                <w:sz w:val="16"/>
                <w:szCs w:val="16"/>
              </w:rPr>
            </w:pPr>
            <w:r>
              <w:rPr>
                <w:rFonts w:ascii="Verdana" w:hAnsi="Verdana"/>
                <w:noProof/>
                <w:color w:val="363636"/>
                <w:sz w:val="16"/>
                <w:szCs w:val="16"/>
              </w:rPr>
              <w:t>Suomen Punainen Risti</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Francja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Acted</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Francja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Action Contre La Faim</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Francja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Agronomes Et Vétérinaires Sans Frontières</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Francja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Care France</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Francja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Caritas France – Secours Catholique</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Francja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Croix-Rouge Française</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Francja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Fédération Handicap International</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Francja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Immap France</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Francja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La Chaine De L'espoir</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Francja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Médecins Du Monde</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Francja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MRCA/Relief International</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Francja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Première Urgence Internationale</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Francja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Solidarités International</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Francja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 xml:space="preserve">The Alliance For International Medical Action </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Francja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Triangle Génération Humanitaire</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Niemcy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ADRA Deutschland E.V.</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Niemcy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Care Deutschland E.V.</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Niemcy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DEUTSCHE WELTHUNGERHILFE E.V.</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Niemcy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DEUTSCHER CARITASVERBAND E.V.</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Niemcy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Deutsches Rotes Kreuz</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Niemcy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Evangelisches Werk Für Diakonie Und Entwicklung E.V.</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Niemcy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 xml:space="preserve">Help- Hilfe Zur Selbsthilfe E.V. </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Niemcy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International Rescue Committee IRC Deutschland Ggmbh</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Niemcy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Islamic Relief Humanitäre Organisation In Deutschland E.V.</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Niemcy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MALTESER HILFSDIENST E.V., (DEU)</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Niemcy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MEDAIR E.V.</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Niemcy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Plan International Deutschland E.V.</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Niemcy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Save The Children Deutschland E.V.</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Niemcy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Tearfund Deutschland E.V.</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Niemcy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World Vision</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Irlandia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Concern Worldwide</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Irlandia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Goal</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Irlandia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Plan Ireland Charitable Assistance</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Irlandia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Trocaire</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Włochy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Actionaid International Italia Onlus</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Włochy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Associazione Internazionale Volontari Laici- Servizio Di Pace</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Włochy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Associazione Italiana Per La Solidarietà Tra I Popoli</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Włochy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Cesvi Fondazione Onlus</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Włochy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Comitato Internazionale Per Lo Sviluppo Dei Popoli</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Włochy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Cooperazione Internazionale</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Włochy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EMERGENCY - Life Support For Civilian War Victims ONG ONLUS</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Włochy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Fondazione Avsi</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Włochy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Fondazione Opera San Francesco Saverio</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Włochy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Fondazione Terre Des Hommes Italia Onlus</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Włochy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Intersos</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Włochy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Oxfam Italia Onlus Associazione</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Włochy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Save The Children Italia ONLUS</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Włochy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Un Ponte Per</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Włochy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Weworld-GVC Onlus</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pPr>
              <w:widowControl/>
              <w:rPr>
                <w:rFonts w:ascii="Verdana" w:hAnsi="Verdana" w:cs="Calibri"/>
                <w:noProof/>
                <w:color w:val="363636"/>
                <w:sz w:val="16"/>
                <w:szCs w:val="16"/>
              </w:rPr>
            </w:pPr>
            <w:r w:rsidRPr="006E5269">
              <w:rPr>
                <w:rFonts w:ascii="Verdana" w:hAnsi="Verdana"/>
                <w:noProof/>
                <w:color w:val="363636"/>
                <w:sz w:val="16"/>
                <w:szCs w:val="16"/>
              </w:rPr>
              <w:t>Luksemburg</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Aide Internationale De La Croix-Rouge Luxembourgeoise A.S.B.L.</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pPr>
              <w:widowControl/>
              <w:rPr>
                <w:rFonts w:ascii="Verdana" w:hAnsi="Verdana" w:cs="Calibri"/>
                <w:noProof/>
                <w:color w:val="363636"/>
                <w:sz w:val="16"/>
                <w:szCs w:val="16"/>
              </w:rPr>
            </w:pPr>
            <w:r w:rsidRPr="006E5269">
              <w:rPr>
                <w:rFonts w:ascii="Verdana" w:hAnsi="Verdana"/>
                <w:noProof/>
                <w:color w:val="363636"/>
                <w:sz w:val="16"/>
                <w:szCs w:val="16"/>
              </w:rPr>
              <w:t>Luksemburg</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Fondation Caritas Luxembourg</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Niderlandy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Het Nederlandse Rode Kruis</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Niderlandy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International Ngo Safety Organisation</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Niderlandy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 xml:space="preserve">Save The Children </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Niderlandy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Stichting Care Nederland</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Niderlandy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Stichting CORDAID</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Niderlandy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Stichting Nederlandse Vrienden Der SOS Kinderdorpen</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Niderlandy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Stichting Oxfam Novib</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Niderlandy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Stichting Plan International Nederland</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Niderlandy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Stichting Terre Des Hommes Nederland</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Niderlandy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Stichting War Child</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Niderlandy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Stichting World Vision Nederland</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Niderlandy</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Zoa</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Norwegia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Kirkens Nødhjelp</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Norwegia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Norges Rode Kors</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Norwegia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Norsk Folkehjelp</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Norwegia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 xml:space="preserve">Norwegian Refugee Council </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Norwegia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Redd Barna</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pPr>
              <w:widowControl/>
              <w:rPr>
                <w:rFonts w:ascii="Verdana" w:hAnsi="Verdana" w:cs="Calibri"/>
                <w:noProof/>
                <w:color w:val="363636"/>
                <w:sz w:val="16"/>
                <w:szCs w:val="16"/>
              </w:rPr>
            </w:pPr>
            <w:r w:rsidRPr="006E5269">
              <w:rPr>
                <w:rFonts w:ascii="Verdana" w:hAnsi="Verdana"/>
                <w:noProof/>
                <w:color w:val="363636"/>
                <w:sz w:val="16"/>
                <w:szCs w:val="16"/>
              </w:rPr>
              <w:t>Polska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Polska Akcja Humanitarna</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Hiszpania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 xml:space="preserve">Acción Contra El Hambre </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Hiszpania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Ayuda En Acción</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Hiszpania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Caritas Espanola</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Hiszpania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Cruz Roja Española</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Hiszpania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Entreculturas- Fe Y Alegria</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Hiszpania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Federacion De Asociaciones Medicus Mundi Espana</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Hiszpania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FA3844" w:rsidP="00F33DB2">
            <w:pPr>
              <w:widowControl/>
              <w:rPr>
                <w:rFonts w:ascii="Verdana" w:hAnsi="Verdana" w:cs="Calibri"/>
                <w:noProof/>
                <w:color w:val="363636"/>
                <w:sz w:val="16"/>
                <w:szCs w:val="16"/>
              </w:rPr>
            </w:pPr>
            <w:r>
              <w:rPr>
                <w:rFonts w:ascii="Verdana" w:hAnsi="Verdana"/>
                <w:noProof/>
                <w:color w:val="363636"/>
                <w:sz w:val="16"/>
                <w:szCs w:val="16"/>
              </w:rPr>
              <w:t xml:space="preserve">Fundacion </w:t>
            </w:r>
            <w:r w:rsidR="003F1356" w:rsidRPr="006E5269">
              <w:rPr>
                <w:rFonts w:ascii="Verdana" w:hAnsi="Verdana"/>
                <w:noProof/>
                <w:color w:val="363636"/>
                <w:sz w:val="16"/>
                <w:szCs w:val="16"/>
              </w:rPr>
              <w:t>Oxfam Intermon</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Hiszpania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Fundacion Alianza Por Los Derechos, La Iguald Y La Solidaridad Internacional</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Hiszpania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Fundación Educación Y Cooperación - Educo</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Hiszpania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Fundación Plan International España</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Hiszpania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Fundación Save The Children</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Hiszpania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Medicos Del Mundo España</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266C22" w:rsidP="00F33DB2">
            <w:pPr>
              <w:widowControl/>
              <w:rPr>
                <w:rFonts w:ascii="Verdana" w:hAnsi="Verdana" w:cs="Calibri"/>
                <w:noProof/>
                <w:color w:val="363636"/>
                <w:sz w:val="16"/>
                <w:szCs w:val="16"/>
              </w:rPr>
            </w:pPr>
            <w:r w:rsidRPr="006E5269">
              <w:rPr>
                <w:rFonts w:ascii="Verdana" w:hAnsi="Verdana"/>
                <w:noProof/>
                <w:color w:val="363636"/>
                <w:sz w:val="16"/>
                <w:szCs w:val="16"/>
              </w:rPr>
              <w:t>Hiszpania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Solidaridad Internacional Andalucia</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pPr>
              <w:widowControl/>
              <w:rPr>
                <w:rFonts w:ascii="Verdana" w:hAnsi="Verdana" w:cs="Calibri"/>
                <w:noProof/>
                <w:color w:val="363636"/>
                <w:sz w:val="16"/>
                <w:szCs w:val="16"/>
              </w:rPr>
            </w:pPr>
            <w:r w:rsidRPr="006E5269">
              <w:rPr>
                <w:rFonts w:ascii="Verdana" w:hAnsi="Verdana"/>
                <w:noProof/>
                <w:color w:val="363636"/>
                <w:sz w:val="16"/>
                <w:szCs w:val="16"/>
              </w:rPr>
              <w:t>Szwecja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Plan International Sverige Insamlingsstiftelse</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pPr>
              <w:widowControl/>
              <w:rPr>
                <w:rFonts w:ascii="Verdana" w:hAnsi="Verdana" w:cs="Calibri"/>
                <w:noProof/>
                <w:color w:val="363636"/>
                <w:sz w:val="16"/>
                <w:szCs w:val="16"/>
              </w:rPr>
            </w:pPr>
            <w:r w:rsidRPr="006E5269">
              <w:rPr>
                <w:rFonts w:ascii="Verdana" w:hAnsi="Verdana"/>
                <w:noProof/>
                <w:color w:val="363636"/>
                <w:sz w:val="16"/>
                <w:szCs w:val="16"/>
              </w:rPr>
              <w:t>Szwecja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Radda Barnens Riksforbund</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pPr>
              <w:widowControl/>
              <w:rPr>
                <w:rFonts w:ascii="Verdana" w:hAnsi="Verdana" w:cs="Calibri"/>
                <w:noProof/>
                <w:color w:val="363636"/>
                <w:sz w:val="16"/>
                <w:szCs w:val="16"/>
              </w:rPr>
            </w:pPr>
            <w:r w:rsidRPr="006E5269">
              <w:rPr>
                <w:rFonts w:ascii="Verdana" w:hAnsi="Verdana"/>
                <w:noProof/>
                <w:color w:val="363636"/>
                <w:sz w:val="16"/>
                <w:szCs w:val="16"/>
              </w:rPr>
              <w:t>Szwecja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Svenska Kyrkan</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Szwajcaria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Appel De Genève / Geneva Call</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Szwajcaria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Caritas Schweiz</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9F10B2" w:rsidP="00F33DB2">
            <w:pPr>
              <w:widowControl/>
              <w:rPr>
                <w:rFonts w:ascii="Verdana" w:hAnsi="Verdana" w:cs="Calibri"/>
                <w:noProof/>
                <w:color w:val="363636"/>
                <w:sz w:val="16"/>
                <w:szCs w:val="16"/>
              </w:rPr>
            </w:pPr>
            <w:r w:rsidRPr="006E5269">
              <w:rPr>
                <w:rFonts w:ascii="Verdana" w:hAnsi="Verdana"/>
                <w:noProof/>
                <w:color w:val="363636"/>
                <w:sz w:val="16"/>
                <w:szCs w:val="16"/>
              </w:rPr>
              <w:t>Szwajcaria</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Terre Des Hommes</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Zjednoczone Królestwo</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 xml:space="preserve">Aga Khan Foundation </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Zjednoczone Królestwo</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 xml:space="preserve">British Red Cross </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Zjednoczone Królestwo</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Care International</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Zjednoczone Królestwo</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 xml:space="preserve">Christian Aid </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Zjednoczone Królestwo</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Helpage International</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Zjednoczone Królestwo</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International Medical Corps</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Zjednoczone Królestwo</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 xml:space="preserve">Mercy Corps Europe </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Zjednoczone Królestwo</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Muslim Hands</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Zjednoczone Królestwo</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Plan International</w:t>
            </w:r>
          </w:p>
        </w:tc>
      </w:tr>
      <w:tr w:rsidR="003F1356" w:rsidRPr="006E5269" w:rsidTr="003B71A1">
        <w:trPr>
          <w:trHeight w:val="300"/>
        </w:trPr>
        <w:tc>
          <w:tcPr>
            <w:tcW w:w="1413" w:type="dxa"/>
            <w:tcBorders>
              <w:top w:val="nil"/>
              <w:left w:val="single" w:sz="4" w:space="0" w:color="auto"/>
              <w:bottom w:val="single" w:sz="4" w:space="0" w:color="auto"/>
              <w:right w:val="single" w:sz="4" w:space="0" w:color="auto"/>
            </w:tcBorders>
            <w:shd w:val="clear" w:color="000000" w:fill="FFFFFF"/>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Zjednoczone Królestwo</w:t>
            </w:r>
          </w:p>
        </w:tc>
        <w:tc>
          <w:tcPr>
            <w:tcW w:w="7967" w:type="dxa"/>
            <w:tcBorders>
              <w:top w:val="nil"/>
              <w:left w:val="nil"/>
              <w:bottom w:val="single" w:sz="4" w:space="0" w:color="auto"/>
              <w:right w:val="single" w:sz="4" w:space="0" w:color="auto"/>
            </w:tcBorders>
            <w:shd w:val="clear" w:color="000000" w:fill="FFFFFF"/>
            <w:noWrap/>
            <w:hideMark/>
          </w:tcPr>
          <w:p w:rsidR="003F1356" w:rsidRPr="006E5269" w:rsidRDefault="003F1356" w:rsidP="00F33DB2">
            <w:pPr>
              <w:widowControl/>
              <w:rPr>
                <w:rFonts w:ascii="Verdana" w:hAnsi="Verdana" w:cs="Calibri"/>
                <w:noProof/>
                <w:color w:val="363636"/>
                <w:sz w:val="16"/>
                <w:szCs w:val="16"/>
              </w:rPr>
            </w:pPr>
            <w:r w:rsidRPr="006E5269">
              <w:rPr>
                <w:rFonts w:ascii="Verdana" w:hAnsi="Verdana"/>
                <w:noProof/>
                <w:color w:val="363636"/>
                <w:sz w:val="16"/>
                <w:szCs w:val="16"/>
              </w:rPr>
              <w:t>Relief International</w:t>
            </w:r>
          </w:p>
        </w:tc>
      </w:tr>
    </w:tbl>
    <w:p w:rsidR="00A06000" w:rsidRPr="006E5269" w:rsidRDefault="00A06000" w:rsidP="003057BC">
      <w:pPr>
        <w:pStyle w:val="Bodytext20"/>
        <w:shd w:val="clear" w:color="auto" w:fill="auto"/>
        <w:tabs>
          <w:tab w:val="left" w:pos="732"/>
        </w:tabs>
        <w:spacing w:before="240" w:after="0" w:line="240" w:lineRule="auto"/>
        <w:ind w:right="1240" w:firstLine="0"/>
        <w:rPr>
          <w:noProof/>
        </w:rPr>
      </w:pPr>
    </w:p>
    <w:sectPr w:rsidR="00A06000" w:rsidRPr="006E5269" w:rsidSect="00A06000">
      <w:headerReference w:type="even" r:id="rId29"/>
      <w:headerReference w:type="default" r:id="rId30"/>
      <w:footerReference w:type="even" r:id="rId31"/>
      <w:footerReference w:type="default" r:id="rId32"/>
      <w:headerReference w:type="first" r:id="rId33"/>
      <w:footerReference w:type="first" r:id="rId34"/>
      <w:pgSz w:w="11900" w:h="16840"/>
      <w:pgMar w:top="914" w:right="1440" w:bottom="1308" w:left="13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269" w:rsidRDefault="006E5269">
      <w:r>
        <w:separator/>
      </w:r>
    </w:p>
  </w:endnote>
  <w:endnote w:type="continuationSeparator" w:id="0">
    <w:p w:rsidR="006E5269" w:rsidRDefault="006E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87" w:rsidRPr="00287E87" w:rsidRDefault="00287E87" w:rsidP="00287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69" w:rsidRPr="00287E87" w:rsidRDefault="00287E87" w:rsidP="00287E87">
    <w:pPr>
      <w:pStyle w:val="FooterCoverPage"/>
      <w:rPr>
        <w:rFonts w:ascii="Arial" w:hAnsi="Arial" w:cs="Arial"/>
        <w:b/>
        <w:sz w:val="48"/>
      </w:rPr>
    </w:pPr>
    <w:r w:rsidRPr="00287E87">
      <w:rPr>
        <w:rFonts w:ascii="Arial" w:hAnsi="Arial" w:cs="Arial"/>
        <w:b/>
        <w:sz w:val="48"/>
      </w:rPr>
      <w:t>PL</w:t>
    </w:r>
    <w:r w:rsidRPr="00287E87">
      <w:rPr>
        <w:rFonts w:ascii="Arial" w:hAnsi="Arial" w:cs="Arial"/>
        <w:b/>
        <w:sz w:val="48"/>
      </w:rPr>
      <w:tab/>
    </w:r>
    <w:r w:rsidRPr="00287E87">
      <w:rPr>
        <w:rFonts w:ascii="Arial" w:hAnsi="Arial" w:cs="Arial"/>
        <w:b/>
        <w:sz w:val="48"/>
      </w:rPr>
      <w:tab/>
    </w:r>
    <w:r w:rsidRPr="00287E87">
      <w:tab/>
    </w:r>
    <w:r w:rsidRPr="00287E87">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87" w:rsidRPr="00287E87" w:rsidRDefault="00287E87" w:rsidP="00287E8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69" w:rsidRDefault="006E52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69" w:rsidRDefault="00287E87">
    <w:pPr>
      <w:rPr>
        <w:sz w:val="2"/>
        <w:szCs w:val="2"/>
      </w:rPr>
    </w:pPr>
    <w:r>
      <w:pict w14:anchorId="2DFA6325">
        <v:shapetype id="_x0000_t202" coordsize="21600,21600" o:spt="202" path="m,l,21600r21600,l21600,xe">
          <v:stroke joinstyle="miter"/>
          <v:path gradientshapeok="t" o:connecttype="rect"/>
        </v:shapetype>
        <v:shape id="_x0000_s2049" type="#_x0000_t202" style="position:absolute;margin-left:68.7pt;margin-top:801.4pt;width:10.1pt;height:7.9pt;z-index:-251658752;mso-wrap-style:none;mso-wrap-distance-left:5pt;mso-wrap-distance-right:5pt;mso-position-horizontal-relative:page;mso-position-vertical-relative:page" wrapcoords="0 0" filled="f" stroked="f">
          <v:textbox style="mso-next-textbox:#_x0000_s2049;mso-fit-shape-to-text:t" inset="0,0,0,0">
            <w:txbxContent>
              <w:p w:rsidR="006E5269" w:rsidRDefault="006E5269">
                <w:pPr>
                  <w:pStyle w:val="Headerorfooter10"/>
                  <w:shd w:val="clear" w:color="auto" w:fill="auto"/>
                  <w:spacing w:line="240" w:lineRule="auto"/>
                </w:pPr>
                <w:r>
                  <w:fldChar w:fldCharType="begin"/>
                </w:r>
                <w:r>
                  <w:instrText xml:space="preserve"> PAGE \* MERGEFORMAT </w:instrText>
                </w:r>
                <w:r>
                  <w:fldChar w:fldCharType="separate"/>
                </w:r>
                <w:r w:rsidR="00287E87" w:rsidRPr="00287E87">
                  <w:rPr>
                    <w:rStyle w:val="Headerorfooter1TimesNewRoman11pt"/>
                    <w:rFonts w:eastAsia="Verdana"/>
                    <w:noProof/>
                  </w:rPr>
                  <w:t>1</w:t>
                </w:r>
                <w:r>
                  <w:rPr>
                    <w:rStyle w:val="Headerorfooter1TimesNewRoman11pt"/>
                    <w:rFonts w:eastAsia="Verdana"/>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69" w:rsidRDefault="006E526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69" w:rsidRDefault="006E526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69" w:rsidRDefault="00287E87">
    <w:pPr>
      <w:rPr>
        <w:sz w:val="2"/>
        <w:szCs w:val="2"/>
      </w:rPr>
    </w:pPr>
    <w:r>
      <w:pict w14:anchorId="4DF30FF2">
        <v:shapetype id="_x0000_t202" coordsize="21600,21600" o:spt="202" path="m,l,21600r21600,l21600,xe">
          <v:stroke joinstyle="miter"/>
          <v:path gradientshapeok="t" o:connecttype="rect"/>
        </v:shapetype>
        <v:shape id="_x0000_s2051" type="#_x0000_t202" style="position:absolute;margin-left:68.7pt;margin-top:801.4pt;width:10.1pt;height:7.9pt;z-index:-251656704;mso-wrap-style:none;mso-wrap-distance-left:5pt;mso-wrap-distance-right:5pt;mso-position-horizontal-relative:page;mso-position-vertical-relative:page" wrapcoords="0 0" filled="f" stroked="f">
          <v:textbox style="mso-next-textbox:#_x0000_s2051;mso-fit-shape-to-text:t" inset="0,0,0,0">
            <w:txbxContent>
              <w:p w:rsidR="006E5269" w:rsidRDefault="006E5269">
                <w:pPr>
                  <w:pStyle w:val="Headerorfooter10"/>
                  <w:shd w:val="clear" w:color="auto" w:fill="auto"/>
                  <w:spacing w:line="240" w:lineRule="auto"/>
                </w:pPr>
                <w:r>
                  <w:fldChar w:fldCharType="begin"/>
                </w:r>
                <w:r>
                  <w:instrText xml:space="preserve"> PAGE \* MERGEFORMAT </w:instrText>
                </w:r>
                <w:r>
                  <w:fldChar w:fldCharType="separate"/>
                </w:r>
                <w:r w:rsidR="00287E87" w:rsidRPr="00287E87">
                  <w:rPr>
                    <w:rStyle w:val="Headerorfooter1TimesNewRoman11pt"/>
                    <w:rFonts w:eastAsia="Verdana"/>
                    <w:noProof/>
                  </w:rPr>
                  <w:t>21</w:t>
                </w:r>
                <w:r>
                  <w:rPr>
                    <w:rStyle w:val="Headerorfooter1TimesNewRoman11pt"/>
                    <w:rFonts w:eastAsia="Verdana"/>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69" w:rsidRDefault="006E5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269" w:rsidRDefault="006E5269">
      <w:r>
        <w:separator/>
      </w:r>
    </w:p>
  </w:footnote>
  <w:footnote w:type="continuationSeparator" w:id="0">
    <w:p w:rsidR="006E5269" w:rsidRDefault="006E5269">
      <w:r>
        <w:continuationSeparator/>
      </w:r>
    </w:p>
  </w:footnote>
  <w:footnote w:id="1">
    <w:p w:rsidR="006E5269" w:rsidRPr="008C089D" w:rsidRDefault="006E5269" w:rsidP="00DB0DCF">
      <w:pPr>
        <w:pStyle w:val="FootnoteText"/>
        <w:spacing w:after="0"/>
        <w:rPr>
          <w:rFonts w:ascii="Times New Roman" w:hAnsi="Times New Roman"/>
          <w:sz w:val="16"/>
          <w:szCs w:val="16"/>
        </w:rPr>
      </w:pPr>
      <w:r>
        <w:rPr>
          <w:rStyle w:val="FootnoteReference"/>
        </w:rPr>
        <w:footnoteRef/>
      </w:r>
      <w:r>
        <w:t xml:space="preserve"> </w:t>
      </w:r>
      <w:r>
        <w:tab/>
      </w:r>
      <w:r>
        <w:rPr>
          <w:rFonts w:ascii="Times New Roman" w:hAnsi="Times New Roman"/>
          <w:sz w:val="16"/>
          <w:szCs w:val="16"/>
        </w:rPr>
        <w:t>Dz.U. L 163</w:t>
      </w:r>
      <w:r w:rsidR="00FD0C71">
        <w:rPr>
          <w:rFonts w:ascii="Times New Roman" w:hAnsi="Times New Roman"/>
          <w:sz w:val="16"/>
          <w:szCs w:val="16"/>
        </w:rPr>
        <w:t xml:space="preserve"> z 2</w:t>
      </w:r>
      <w:r>
        <w:rPr>
          <w:rFonts w:ascii="Times New Roman" w:hAnsi="Times New Roman"/>
          <w:sz w:val="16"/>
          <w:szCs w:val="16"/>
        </w:rPr>
        <w:t>.7.1996, s. 1.</w:t>
      </w:r>
    </w:p>
  </w:footnote>
  <w:footnote w:id="2">
    <w:p w:rsidR="006E5269" w:rsidRPr="008C089D" w:rsidRDefault="006E5269" w:rsidP="008C089D">
      <w:pPr>
        <w:jc w:val="both"/>
        <w:rPr>
          <w:color w:val="auto"/>
          <w:sz w:val="16"/>
          <w:szCs w:val="16"/>
        </w:rPr>
      </w:pPr>
      <w:r>
        <w:rPr>
          <w:rStyle w:val="FootnoteReference"/>
        </w:rPr>
        <w:footnoteRef/>
      </w:r>
      <w:r>
        <w:t xml:space="preserve"> </w:t>
      </w:r>
      <w:r>
        <w:rPr>
          <w:color w:val="auto"/>
          <w:sz w:val="16"/>
          <w:szCs w:val="16"/>
        </w:rPr>
        <w:t>Grupa wsparcia darczyńców MKCK składa się</w:t>
      </w:r>
      <w:r w:rsidR="00FD0C71">
        <w:rPr>
          <w:color w:val="auto"/>
          <w:sz w:val="16"/>
          <w:szCs w:val="16"/>
        </w:rPr>
        <w:t xml:space="preserve"> z rzą</w:t>
      </w:r>
      <w:r>
        <w:rPr>
          <w:color w:val="auto"/>
          <w:sz w:val="16"/>
          <w:szCs w:val="16"/>
        </w:rPr>
        <w:t>dów, organizacji ponadnarodowych</w:t>
      </w:r>
      <w:r w:rsidR="00FD0C71">
        <w:rPr>
          <w:color w:val="auto"/>
          <w:sz w:val="16"/>
          <w:szCs w:val="16"/>
        </w:rPr>
        <w:t xml:space="preserve"> i ins</w:t>
      </w:r>
      <w:r>
        <w:rPr>
          <w:color w:val="auto"/>
          <w:sz w:val="16"/>
          <w:szCs w:val="16"/>
        </w:rPr>
        <w:t>tytucji międzynarodowych, które wnoszą co najmniej 10 mln CHF rocznie.</w:t>
      </w:r>
    </w:p>
  </w:footnote>
  <w:footnote w:id="3">
    <w:p w:rsidR="006E5269" w:rsidRPr="008C089D" w:rsidRDefault="006E5269" w:rsidP="00EF2AA5">
      <w:pPr>
        <w:pStyle w:val="FootnoteText"/>
        <w:ind w:left="0" w:firstLine="0"/>
        <w:rPr>
          <w:rFonts w:ascii="Times New Roman" w:hAnsi="Times New Roman"/>
          <w:sz w:val="16"/>
          <w:szCs w:val="16"/>
        </w:rPr>
      </w:pPr>
      <w:r>
        <w:rPr>
          <w:rStyle w:val="FootnoteReference"/>
        </w:rPr>
        <w:footnoteRef/>
      </w:r>
      <w:r>
        <w:t xml:space="preserve"> </w:t>
      </w:r>
      <w:r>
        <w:rPr>
          <w:rFonts w:ascii="Times New Roman" w:hAnsi="Times New Roman"/>
          <w:sz w:val="16"/>
          <w:szCs w:val="16"/>
        </w:rPr>
        <w:t>Forum Good Humanitarian Donorship to nieformalne forum darczyńców skupiające 42 darczyńców oddanych udzielaniu pomocy humanitarnej</w:t>
      </w:r>
      <w:r w:rsidR="00FD0C71">
        <w:rPr>
          <w:rFonts w:ascii="Times New Roman" w:hAnsi="Times New Roman"/>
          <w:sz w:val="16"/>
          <w:szCs w:val="16"/>
        </w:rPr>
        <w:t xml:space="preserve"> w spo</w:t>
      </w:r>
      <w:r>
        <w:rPr>
          <w:rFonts w:ascii="Times New Roman" w:hAnsi="Times New Roman"/>
          <w:sz w:val="16"/>
          <w:szCs w:val="16"/>
        </w:rPr>
        <w:t>sób skuteczny</w:t>
      </w:r>
      <w:r w:rsidR="00FD0C71">
        <w:rPr>
          <w:rFonts w:ascii="Times New Roman" w:hAnsi="Times New Roman"/>
          <w:sz w:val="16"/>
          <w:szCs w:val="16"/>
        </w:rPr>
        <w:t xml:space="preserve"> i odp</w:t>
      </w:r>
      <w:r>
        <w:rPr>
          <w:rFonts w:ascii="Times New Roman" w:hAnsi="Times New Roman"/>
          <w:sz w:val="16"/>
          <w:szCs w:val="16"/>
        </w:rPr>
        <w:t>owiedzialny.</w:t>
      </w:r>
    </w:p>
  </w:footnote>
  <w:footnote w:id="4">
    <w:p w:rsidR="006E5269" w:rsidRPr="005A614B" w:rsidRDefault="006E5269">
      <w:pPr>
        <w:pStyle w:val="FootnoteText"/>
        <w:rPr>
          <w:rFonts w:ascii="Times New Roman" w:hAnsi="Times New Roman"/>
          <w:sz w:val="16"/>
          <w:szCs w:val="16"/>
        </w:rPr>
      </w:pPr>
      <w:r>
        <w:rPr>
          <w:rStyle w:val="FootnoteReference"/>
        </w:rPr>
        <w:footnoteRef/>
      </w:r>
      <w:r>
        <w:t xml:space="preserve"> </w:t>
      </w:r>
      <w:r>
        <w:rPr>
          <w:rFonts w:ascii="Times New Roman" w:hAnsi="Times New Roman"/>
          <w:sz w:val="16"/>
          <w:szCs w:val="16"/>
        </w:rPr>
        <w:t>Tzw. wielki układ, zawarty podczas Światowego Szczytu Humanitarnego</w:t>
      </w:r>
      <w:r w:rsidR="00FD0C71">
        <w:rPr>
          <w:rFonts w:ascii="Times New Roman" w:hAnsi="Times New Roman"/>
          <w:sz w:val="16"/>
          <w:szCs w:val="16"/>
        </w:rPr>
        <w:t xml:space="preserve"> w Sta</w:t>
      </w:r>
      <w:r>
        <w:rPr>
          <w:rFonts w:ascii="Times New Roman" w:hAnsi="Times New Roman"/>
          <w:sz w:val="16"/>
          <w:szCs w:val="16"/>
        </w:rPr>
        <w:t>mbule</w:t>
      </w:r>
      <w:r w:rsidR="00FD0C71">
        <w:rPr>
          <w:rFonts w:ascii="Times New Roman" w:hAnsi="Times New Roman"/>
          <w:sz w:val="16"/>
          <w:szCs w:val="16"/>
        </w:rPr>
        <w:t xml:space="preserve"> w maj</w:t>
      </w:r>
      <w:r>
        <w:rPr>
          <w:rFonts w:ascii="Times New Roman" w:hAnsi="Times New Roman"/>
          <w:sz w:val="16"/>
          <w:szCs w:val="16"/>
        </w:rPr>
        <w:t>u 20</w:t>
      </w:r>
      <w:r w:rsidRPr="00FD0C71">
        <w:rPr>
          <w:rFonts w:ascii="Times New Roman" w:hAnsi="Times New Roman"/>
          <w:sz w:val="16"/>
          <w:szCs w:val="16"/>
        </w:rPr>
        <w:t>16</w:t>
      </w:r>
      <w:r w:rsidR="00FD0C71" w:rsidRPr="00FD0C71">
        <w:rPr>
          <w:rFonts w:ascii="Times New Roman" w:hAnsi="Times New Roman"/>
          <w:sz w:val="16"/>
          <w:szCs w:val="16"/>
        </w:rPr>
        <w:t> </w:t>
      </w:r>
      <w:r w:rsidRPr="00FD0C71">
        <w:rPr>
          <w:rFonts w:ascii="Times New Roman" w:hAnsi="Times New Roman"/>
          <w:sz w:val="16"/>
          <w:szCs w:val="16"/>
        </w:rPr>
        <w:t>r.</w:t>
      </w:r>
      <w:r>
        <w:rPr>
          <w:rFonts w:ascii="Times New Roman" w:hAnsi="Times New Roman"/>
          <w:sz w:val="16"/>
          <w:szCs w:val="16"/>
        </w:rPr>
        <w:t>, stanowi wyjątkowe porozumienie między niektórymi największymi darczyńcami</w:t>
      </w:r>
      <w:r w:rsidR="00FD0C71">
        <w:rPr>
          <w:rFonts w:ascii="Times New Roman" w:hAnsi="Times New Roman"/>
          <w:sz w:val="16"/>
          <w:szCs w:val="16"/>
        </w:rPr>
        <w:t xml:space="preserve"> i org</w:t>
      </w:r>
      <w:r>
        <w:rPr>
          <w:rFonts w:ascii="Times New Roman" w:hAnsi="Times New Roman"/>
          <w:sz w:val="16"/>
          <w:szCs w:val="16"/>
        </w:rPr>
        <w:t>anizacjami humanitarnymi, którzy zobowiązali się do przekazania większej ilości środków osobom znajdującym się</w:t>
      </w:r>
      <w:r w:rsidR="00FD0C71">
        <w:rPr>
          <w:rFonts w:ascii="Times New Roman" w:hAnsi="Times New Roman"/>
          <w:sz w:val="16"/>
          <w:szCs w:val="16"/>
        </w:rPr>
        <w:t xml:space="preserve"> w pot</w:t>
      </w:r>
      <w:r>
        <w:rPr>
          <w:rFonts w:ascii="Times New Roman" w:hAnsi="Times New Roman"/>
          <w:sz w:val="16"/>
          <w:szCs w:val="16"/>
        </w:rPr>
        <w:t>rzebie oraz do zwiększenia skuteczności</w:t>
      </w:r>
      <w:r w:rsidR="00FD0C71">
        <w:rPr>
          <w:rFonts w:ascii="Times New Roman" w:hAnsi="Times New Roman"/>
          <w:sz w:val="16"/>
          <w:szCs w:val="16"/>
        </w:rPr>
        <w:t xml:space="preserve"> i wyd</w:t>
      </w:r>
      <w:r>
        <w:rPr>
          <w:rFonts w:ascii="Times New Roman" w:hAnsi="Times New Roman"/>
          <w:sz w:val="16"/>
          <w:szCs w:val="16"/>
        </w:rPr>
        <w:t>ajności operacji humanitarnych.</w:t>
      </w:r>
    </w:p>
  </w:footnote>
  <w:footnote w:id="5">
    <w:p w:rsidR="006E5269" w:rsidRPr="000A66FC" w:rsidRDefault="006E5269">
      <w:pPr>
        <w:pStyle w:val="FootnoteText"/>
      </w:pPr>
      <w:r>
        <w:rPr>
          <w:rStyle w:val="FootnoteReference"/>
        </w:rPr>
        <w:footnoteRef/>
      </w:r>
      <w:r>
        <w:t xml:space="preserve"> </w:t>
      </w:r>
      <w:r>
        <w:rPr>
          <w:rFonts w:ascii="Times New Roman" w:hAnsi="Times New Roman"/>
          <w:sz w:val="16"/>
          <w:szCs w:val="16"/>
        </w:rPr>
        <w:t>https://ec.europa.eu/echo/what/humanitarian-aid/resilience_en</w:t>
      </w:r>
    </w:p>
  </w:footnote>
  <w:footnote w:id="6">
    <w:p w:rsidR="006E5269" w:rsidRPr="000A66FC" w:rsidRDefault="006E5269" w:rsidP="000A66FC">
      <w:pPr>
        <w:pStyle w:val="FootnoteText"/>
        <w:jc w:val="left"/>
      </w:pPr>
      <w:r>
        <w:rPr>
          <w:rStyle w:val="FootnoteReference"/>
        </w:rPr>
        <w:footnoteRef/>
      </w:r>
      <w:r>
        <w:rPr>
          <w:rFonts w:ascii="Times New Roman" w:hAnsi="Times New Roman"/>
          <w:sz w:val="16"/>
          <w:szCs w:val="16"/>
        </w:rPr>
        <w:t xml:space="preserve"> </w:t>
      </w:r>
      <w:hyperlink r:id="rId1" w:history="1">
        <w:r>
          <w:rPr>
            <w:rStyle w:val="Hyperlink"/>
            <w:rFonts w:ascii="Times New Roman" w:hAnsi="Times New Roman"/>
            <w:sz w:val="16"/>
            <w:szCs w:val="16"/>
          </w:rPr>
          <w:t>http://www.exteriores.gob.es/Portal/es/SalaDePrensa/ElMinisterioInforma/Paginas/Noticias/20200519_MINISTERIO6.aspx</w:t>
        </w:r>
      </w:hyperlink>
      <w:r>
        <w:rPr>
          <w:rFonts w:ascii="Times New Roman" w:hAnsi="Times New Roman"/>
          <w:sz w:val="16"/>
          <w:szCs w:val="16"/>
        </w:rPr>
        <w:t xml:space="preserve"> </w:t>
      </w:r>
    </w:p>
  </w:footnote>
  <w:footnote w:id="7">
    <w:p w:rsidR="006E5269" w:rsidRPr="000A66FC" w:rsidRDefault="006E5269" w:rsidP="000A66FC">
      <w:pPr>
        <w:pStyle w:val="FootnoteText"/>
        <w:jc w:val="left"/>
      </w:pPr>
      <w:r>
        <w:rPr>
          <w:rStyle w:val="FootnoteReference"/>
        </w:rPr>
        <w:footnoteRef/>
      </w:r>
      <w:r>
        <w:t xml:space="preserve"> </w:t>
      </w:r>
      <w:r>
        <w:rPr>
          <w:rFonts w:ascii="Times New Roman" w:hAnsi="Times New Roman"/>
          <w:sz w:val="16"/>
          <w:szCs w:val="16"/>
        </w:rPr>
        <w:t>https://um.fi/afghanistan-conference-2020</w:t>
      </w:r>
    </w:p>
  </w:footnote>
  <w:footnote w:id="8">
    <w:p w:rsidR="006E5269" w:rsidRPr="001E6388" w:rsidRDefault="006E5269" w:rsidP="001E6388">
      <w:pPr>
        <w:pStyle w:val="FootnoteText"/>
        <w:jc w:val="left"/>
        <w:rPr>
          <w:rFonts w:ascii="Times New Roman" w:hAnsi="Times New Roman"/>
          <w:sz w:val="16"/>
          <w:szCs w:val="16"/>
        </w:rPr>
      </w:pPr>
      <w:r>
        <w:rPr>
          <w:rStyle w:val="FootnoteReference"/>
        </w:rPr>
        <w:footnoteRef/>
      </w:r>
      <w:r>
        <w:t xml:space="preserve"> </w:t>
      </w:r>
      <w:r>
        <w:rPr>
          <w:rFonts w:ascii="Times New Roman" w:hAnsi="Times New Roman"/>
          <w:sz w:val="16"/>
          <w:szCs w:val="16"/>
        </w:rPr>
        <w:t>https://ec.europa.eu/echo/content/afghanistan-high-level-meeting-international-humanitarian-law-and-protection-civilians_en</w:t>
      </w:r>
    </w:p>
  </w:footnote>
  <w:footnote w:id="9">
    <w:p w:rsidR="006E5269" w:rsidRPr="001E6388" w:rsidRDefault="006E5269">
      <w:pPr>
        <w:pStyle w:val="FootnoteText"/>
        <w:rPr>
          <w:rFonts w:ascii="Times New Roman" w:hAnsi="Times New Roman"/>
          <w:sz w:val="16"/>
          <w:szCs w:val="16"/>
        </w:rPr>
      </w:pPr>
      <w:r>
        <w:rPr>
          <w:rStyle w:val="FootnoteReference"/>
        </w:rPr>
        <w:footnoteRef/>
      </w:r>
      <w:r>
        <w:t xml:space="preserve"> </w:t>
      </w:r>
      <w:r>
        <w:rPr>
          <w:rFonts w:ascii="Times New Roman" w:hAnsi="Times New Roman"/>
          <w:sz w:val="16"/>
          <w:szCs w:val="16"/>
        </w:rPr>
        <w:t>https://ec.europa.eu/echo/content/rohingya_donor_conference_en</w:t>
      </w:r>
    </w:p>
  </w:footnote>
  <w:footnote w:id="10">
    <w:p w:rsidR="006E5269" w:rsidRPr="00842BD1" w:rsidRDefault="006E5269">
      <w:pPr>
        <w:pStyle w:val="FootnoteText"/>
        <w:rPr>
          <w:rFonts w:ascii="Times New Roman" w:hAnsi="Times New Roman"/>
          <w:sz w:val="16"/>
          <w:szCs w:val="16"/>
        </w:rPr>
      </w:pPr>
      <w:r>
        <w:rPr>
          <w:rStyle w:val="FootnoteReference"/>
        </w:rPr>
        <w:footnoteRef/>
      </w:r>
      <w:r>
        <w:t xml:space="preserve"> </w:t>
      </w:r>
      <w:r>
        <w:rPr>
          <w:rFonts w:ascii="Times New Roman" w:hAnsi="Times New Roman"/>
          <w:sz w:val="16"/>
          <w:szCs w:val="16"/>
        </w:rPr>
        <w:t>https://www.consilium.europa.eu/pl/meetings/international-ministerial-meetings/2020/06/30/</w:t>
      </w:r>
    </w:p>
  </w:footnote>
  <w:footnote w:id="11">
    <w:p w:rsidR="006E5269" w:rsidRPr="00E93D51" w:rsidRDefault="006E5269" w:rsidP="00E93D51">
      <w:pPr>
        <w:pStyle w:val="FootnoteText"/>
        <w:jc w:val="left"/>
      </w:pPr>
      <w:r>
        <w:rPr>
          <w:rStyle w:val="FootnoteReference"/>
        </w:rPr>
        <w:footnoteRef/>
      </w:r>
      <w:r>
        <w:t xml:space="preserve"> </w:t>
      </w:r>
      <w:r>
        <w:rPr>
          <w:rFonts w:ascii="Times New Roman" w:hAnsi="Times New Roman"/>
          <w:sz w:val="16"/>
          <w:szCs w:val="16"/>
        </w:rPr>
        <w:t>https://specialenvoysyria.unmissions.org/humanitarian-task-force</w:t>
      </w:r>
    </w:p>
  </w:footnote>
  <w:footnote w:id="12">
    <w:p w:rsidR="006E5269" w:rsidRPr="00B8050C" w:rsidRDefault="006E5269">
      <w:pPr>
        <w:pStyle w:val="FootnoteText"/>
      </w:pPr>
      <w:r>
        <w:rPr>
          <w:rStyle w:val="FootnoteReference"/>
        </w:rPr>
        <w:footnoteRef/>
      </w:r>
      <w:r>
        <w:t xml:space="preserve"> </w:t>
      </w:r>
      <w:r>
        <w:tab/>
      </w:r>
      <w:r>
        <w:rPr>
          <w:rFonts w:ascii="Times New Roman" w:hAnsi="Times New Roman"/>
          <w:sz w:val="18"/>
        </w:rPr>
        <w:t>Użycie tej nazwy nie może być traktowane jako uznanie państwa Palestyna</w:t>
      </w:r>
      <w:r w:rsidR="00FD0C71">
        <w:rPr>
          <w:rFonts w:ascii="Times New Roman" w:hAnsi="Times New Roman"/>
          <w:sz w:val="18"/>
        </w:rPr>
        <w:t xml:space="preserve"> i poz</w:t>
      </w:r>
      <w:r>
        <w:rPr>
          <w:rFonts w:ascii="Times New Roman" w:hAnsi="Times New Roman"/>
          <w:sz w:val="18"/>
        </w:rPr>
        <w:t>ostaje bez uszczerbku dla indywidualnych stanowisk państw członkowskich</w:t>
      </w:r>
      <w:r w:rsidR="00FD0C71">
        <w:rPr>
          <w:rFonts w:ascii="Times New Roman" w:hAnsi="Times New Roman"/>
          <w:sz w:val="18"/>
        </w:rPr>
        <w:t xml:space="preserve"> w tej</w:t>
      </w:r>
      <w:r>
        <w:rPr>
          <w:rFonts w:ascii="Times New Roman" w:hAnsi="Times New Roman"/>
          <w:sz w:val="18"/>
        </w:rPr>
        <w:t xml:space="preserve"> kwestii.</w:t>
      </w:r>
    </w:p>
  </w:footnote>
  <w:footnote w:id="13">
    <w:p w:rsidR="006E5269" w:rsidRPr="00C027FA" w:rsidRDefault="006E5269" w:rsidP="00C027FA">
      <w:pPr>
        <w:pStyle w:val="FootnoteText"/>
        <w:jc w:val="left"/>
      </w:pPr>
      <w:r>
        <w:rPr>
          <w:rStyle w:val="FootnoteReference"/>
        </w:rPr>
        <w:footnoteRef/>
      </w:r>
      <w:r>
        <w:t xml:space="preserve"> </w:t>
      </w:r>
      <w:r>
        <w:rPr>
          <w:rFonts w:ascii="Times New Roman" w:hAnsi="Times New Roman"/>
          <w:sz w:val="16"/>
          <w:szCs w:val="16"/>
        </w:rPr>
        <w:t>https://ec.europa.eu/echo/where/europe/turkey_en</w:t>
      </w:r>
    </w:p>
  </w:footnote>
  <w:footnote w:id="14">
    <w:p w:rsidR="006E5269" w:rsidRPr="00C027FA" w:rsidRDefault="006E5269">
      <w:pPr>
        <w:pStyle w:val="FootnoteText"/>
      </w:pPr>
      <w:r>
        <w:rPr>
          <w:rStyle w:val="FootnoteReference"/>
        </w:rPr>
        <w:footnoteRef/>
      </w:r>
      <w:r>
        <w:t xml:space="preserve"> </w:t>
      </w:r>
      <w:r>
        <w:rPr>
          <w:rFonts w:ascii="Times New Roman" w:hAnsi="Times New Roman"/>
          <w:sz w:val="16"/>
          <w:szCs w:val="16"/>
        </w:rPr>
        <w:t>https://ec.europa.eu/echo/essn_en</w:t>
      </w:r>
    </w:p>
  </w:footnote>
  <w:footnote w:id="15">
    <w:p w:rsidR="006E5269" w:rsidRPr="00C027FA" w:rsidRDefault="006E5269">
      <w:pPr>
        <w:pStyle w:val="FootnoteText"/>
      </w:pPr>
      <w:r>
        <w:rPr>
          <w:rStyle w:val="FootnoteReference"/>
        </w:rPr>
        <w:footnoteRef/>
      </w:r>
      <w:r>
        <w:t xml:space="preserve"> </w:t>
      </w:r>
      <w:r>
        <w:rPr>
          <w:rFonts w:ascii="Times New Roman" w:hAnsi="Times New Roman"/>
          <w:sz w:val="16"/>
          <w:szCs w:val="16"/>
        </w:rPr>
        <w:t>https://ec.europa.eu/echo/field-blogs/videos/conditional-cash-transfer-education-ccte-programme-refugee-children-turkey_en</w:t>
      </w:r>
    </w:p>
  </w:footnote>
  <w:footnote w:id="16">
    <w:p w:rsidR="006E5269" w:rsidRPr="00783110" w:rsidRDefault="006E5269">
      <w:pPr>
        <w:pStyle w:val="FootnoteText"/>
        <w:rPr>
          <w:rFonts w:ascii="Times New Roman" w:hAnsi="Times New Roman"/>
          <w:sz w:val="18"/>
        </w:rPr>
      </w:pPr>
      <w:r>
        <w:rPr>
          <w:rStyle w:val="FootnoteReference"/>
        </w:rPr>
        <w:footnoteRef/>
      </w:r>
      <w:r>
        <w:t xml:space="preserve"> </w:t>
      </w:r>
      <w:r>
        <w:rPr>
          <w:rFonts w:ascii="Times New Roman" w:hAnsi="Times New Roman"/>
          <w:sz w:val="18"/>
        </w:rPr>
        <w:t>Konkluzje Rady 10184/15</w:t>
      </w:r>
      <w:r w:rsidR="00FD0C71">
        <w:rPr>
          <w:rFonts w:ascii="Times New Roman" w:hAnsi="Times New Roman"/>
          <w:sz w:val="18"/>
        </w:rPr>
        <w:t xml:space="preserve"> z dni</w:t>
      </w:r>
      <w:r>
        <w:rPr>
          <w:rFonts w:ascii="Times New Roman" w:hAnsi="Times New Roman"/>
          <w:sz w:val="18"/>
        </w:rPr>
        <w:t>a 22 czerwca 2015 r.</w:t>
      </w:r>
    </w:p>
  </w:footnote>
  <w:footnote w:id="17">
    <w:p w:rsidR="006E5269" w:rsidRPr="00783110" w:rsidRDefault="006E5269">
      <w:pPr>
        <w:pStyle w:val="FootnoteText"/>
        <w:rPr>
          <w:rFonts w:ascii="Times New Roman" w:hAnsi="Times New Roman"/>
          <w:sz w:val="18"/>
        </w:rPr>
      </w:pPr>
      <w:r>
        <w:rPr>
          <w:rStyle w:val="FootnoteReference"/>
        </w:rPr>
        <w:footnoteRef/>
      </w:r>
      <w:r>
        <w:t xml:space="preserve"> </w:t>
      </w:r>
      <w:hyperlink r:id="rId2" w:history="1">
        <w:r>
          <w:rPr>
            <w:rStyle w:val="Hyperlink"/>
            <w:rFonts w:ascii="Times New Roman" w:hAnsi="Times New Roman"/>
            <w:sz w:val="18"/>
          </w:rPr>
          <w:t>https://ec.europa.eu/echo/sites/default/files/guidance_note_cash_23_11_2017.pdf</w:t>
        </w:r>
      </w:hyperlink>
      <w:r>
        <w:rPr>
          <w:rFonts w:ascii="Times New Roman" w:hAnsi="Times New Roman"/>
          <w:sz w:val="18"/>
        </w:rPr>
        <w:t xml:space="preserve"> </w:t>
      </w:r>
    </w:p>
  </w:footnote>
  <w:footnote w:id="18">
    <w:p w:rsidR="006E5269" w:rsidRPr="00783110" w:rsidRDefault="006E5269">
      <w:pPr>
        <w:pStyle w:val="FootnoteText"/>
      </w:pPr>
      <w:r>
        <w:rPr>
          <w:rStyle w:val="FootnoteReference"/>
        </w:rPr>
        <w:footnoteRef/>
      </w:r>
      <w:r>
        <w:t xml:space="preserve"> </w:t>
      </w:r>
      <w:r>
        <w:rPr>
          <w:rStyle w:val="Hyperlink"/>
          <w:rFonts w:ascii="Times New Roman" w:hAnsi="Times New Roman"/>
          <w:sz w:val="18"/>
        </w:rPr>
        <w:t>https://ec.europa.eu/echo/files/policies/sectoral/them_policy_doc_cashandvouchers_en.pdf</w:t>
      </w:r>
    </w:p>
  </w:footnote>
  <w:footnote w:id="19">
    <w:p w:rsidR="006E5269" w:rsidRPr="00A345F9" w:rsidRDefault="006E5269">
      <w:pPr>
        <w:pStyle w:val="FootnoteText"/>
      </w:pPr>
      <w:r>
        <w:rPr>
          <w:rStyle w:val="FootnoteReference"/>
        </w:rPr>
        <w:footnoteRef/>
      </w:r>
      <w:r>
        <w:t xml:space="preserve"> </w:t>
      </w:r>
      <w:r>
        <w:rPr>
          <w:rStyle w:val="Hyperlink"/>
          <w:rFonts w:ascii="Times New Roman" w:hAnsi="Times New Roman"/>
          <w:sz w:val="18"/>
        </w:rPr>
        <w:t>https://www.weforum.org/projects/humanitarian-investing-initiative</w:t>
      </w:r>
    </w:p>
  </w:footnote>
  <w:footnote w:id="20">
    <w:p w:rsidR="006E5269" w:rsidRPr="00A345F9" w:rsidRDefault="006E5269" w:rsidP="00A345F9">
      <w:pPr>
        <w:pStyle w:val="FootnoteText"/>
        <w:jc w:val="left"/>
        <w:rPr>
          <w:rStyle w:val="Hyperlink"/>
          <w:rFonts w:ascii="Times New Roman" w:hAnsi="Times New Roman"/>
          <w:sz w:val="18"/>
        </w:rPr>
      </w:pPr>
      <w:r>
        <w:rPr>
          <w:rStyle w:val="FootnoteReference"/>
        </w:rPr>
        <w:footnoteRef/>
      </w:r>
      <w:r>
        <w:t xml:space="preserve"> </w:t>
      </w:r>
      <w:r>
        <w:rPr>
          <w:rStyle w:val="Hyperlink"/>
          <w:rFonts w:ascii="Times New Roman" w:hAnsi="Times New Roman"/>
          <w:sz w:val="18"/>
        </w:rPr>
        <w:t>https://ec.europa.eu/info/news/eic-horizon-prize-affordable-high-tech-humanitarian-aid-commission-awards-five-outstanding-solutions-2020-sep-24_en</w:t>
      </w:r>
    </w:p>
  </w:footnote>
  <w:footnote w:id="21">
    <w:p w:rsidR="006E5269" w:rsidRPr="003264FA" w:rsidRDefault="006E5269">
      <w:pPr>
        <w:pStyle w:val="FootnoteText"/>
      </w:pPr>
      <w:r>
        <w:rPr>
          <w:rStyle w:val="FootnoteReference"/>
        </w:rPr>
        <w:footnoteRef/>
      </w:r>
      <w:r>
        <w:t xml:space="preserve"> </w:t>
      </w:r>
      <w:r>
        <w:rPr>
          <w:rStyle w:val="Hyperlink"/>
          <w:rFonts w:ascii="Times New Roman" w:hAnsi="Times New Roman"/>
          <w:sz w:val="18"/>
        </w:rPr>
        <w:t>https://ec.europa.eu/echo/files/policies/sectoral/gender_thematic_policy_document_en.pdf</w:t>
      </w:r>
    </w:p>
  </w:footnote>
  <w:footnote w:id="22">
    <w:p w:rsidR="006E5269" w:rsidRPr="003264FA" w:rsidRDefault="006E5269">
      <w:pPr>
        <w:pStyle w:val="FootnoteText"/>
        <w:rPr>
          <w:rStyle w:val="Hyperlink"/>
          <w:rFonts w:ascii="Times New Roman" w:hAnsi="Times New Roman"/>
          <w:sz w:val="18"/>
        </w:rPr>
      </w:pPr>
      <w:r>
        <w:rPr>
          <w:rStyle w:val="FootnoteReference"/>
        </w:rPr>
        <w:footnoteRef/>
      </w:r>
      <w:r>
        <w:t xml:space="preserve"> </w:t>
      </w:r>
      <w:r>
        <w:rPr>
          <w:rStyle w:val="Hyperlink"/>
          <w:rFonts w:ascii="Times New Roman" w:hAnsi="Times New Roman"/>
          <w:sz w:val="18"/>
        </w:rPr>
        <w:t>Konkluzje Rady 11031/19</w:t>
      </w:r>
      <w:r w:rsidR="00FD0C71">
        <w:rPr>
          <w:rStyle w:val="Hyperlink"/>
          <w:rFonts w:ascii="Times New Roman" w:hAnsi="Times New Roman"/>
          <w:sz w:val="18"/>
        </w:rPr>
        <w:t xml:space="preserve"> z dni</w:t>
      </w:r>
      <w:r>
        <w:rPr>
          <w:rStyle w:val="Hyperlink"/>
          <w:rFonts w:ascii="Times New Roman" w:hAnsi="Times New Roman"/>
          <w:sz w:val="18"/>
        </w:rPr>
        <w:t>a 5 lipca 2019 r.</w:t>
      </w:r>
    </w:p>
  </w:footnote>
  <w:footnote w:id="23">
    <w:p w:rsidR="006E5269" w:rsidRPr="003264FA" w:rsidRDefault="006E5269">
      <w:pPr>
        <w:pStyle w:val="FootnoteText"/>
        <w:rPr>
          <w:rStyle w:val="Hyperlink"/>
          <w:rFonts w:ascii="Times New Roman" w:hAnsi="Times New Roman"/>
          <w:sz w:val="18"/>
        </w:rPr>
      </w:pPr>
      <w:r>
        <w:rPr>
          <w:rStyle w:val="FootnoteReference"/>
        </w:rPr>
        <w:footnoteRef/>
      </w:r>
      <w:r>
        <w:t xml:space="preserve"> </w:t>
      </w:r>
      <w:r>
        <w:rPr>
          <w:rStyle w:val="Hyperlink"/>
          <w:rFonts w:ascii="Times New Roman" w:hAnsi="Times New Roman"/>
          <w:sz w:val="18"/>
        </w:rPr>
        <w:t>Konkluzje Rady 13201/15</w:t>
      </w:r>
      <w:r w:rsidR="00FD0C71">
        <w:rPr>
          <w:rStyle w:val="Hyperlink"/>
          <w:rFonts w:ascii="Times New Roman" w:hAnsi="Times New Roman"/>
          <w:sz w:val="18"/>
        </w:rPr>
        <w:t xml:space="preserve"> z dni</w:t>
      </w:r>
      <w:r>
        <w:rPr>
          <w:rStyle w:val="Hyperlink"/>
          <w:rFonts w:ascii="Times New Roman" w:hAnsi="Times New Roman"/>
          <w:sz w:val="18"/>
        </w:rPr>
        <w:t>a 26 października 2015 r.</w:t>
      </w:r>
    </w:p>
  </w:footnote>
  <w:footnote w:id="24">
    <w:p w:rsidR="006E5269" w:rsidRPr="00A30D43" w:rsidRDefault="006E5269">
      <w:pPr>
        <w:pStyle w:val="FootnoteText"/>
        <w:rPr>
          <w:rStyle w:val="Hyperlink"/>
          <w:rFonts w:ascii="Times New Roman" w:hAnsi="Times New Roman"/>
          <w:sz w:val="18"/>
        </w:rPr>
      </w:pPr>
      <w:r>
        <w:rPr>
          <w:rStyle w:val="FootnoteReference"/>
        </w:rPr>
        <w:footnoteRef/>
      </w:r>
      <w:r>
        <w:t xml:space="preserve"> </w:t>
      </w:r>
      <w:r>
        <w:rPr>
          <w:rStyle w:val="Hyperlink"/>
          <w:rFonts w:ascii="Times New Roman" w:hAnsi="Times New Roman"/>
          <w:sz w:val="18"/>
        </w:rPr>
        <w:t>https://www.calltoactiongbv.com/</w:t>
      </w:r>
    </w:p>
  </w:footnote>
  <w:footnote w:id="25">
    <w:p w:rsidR="006E5269" w:rsidRPr="00A30D43" w:rsidRDefault="006E5269">
      <w:pPr>
        <w:pStyle w:val="FootnoteText"/>
        <w:rPr>
          <w:rStyle w:val="Hyperlink"/>
          <w:rFonts w:ascii="Times New Roman" w:hAnsi="Times New Roman"/>
          <w:sz w:val="18"/>
        </w:rPr>
      </w:pPr>
      <w:r>
        <w:rPr>
          <w:rStyle w:val="FootnoteReference"/>
        </w:rPr>
        <w:footnoteRef/>
      </w:r>
      <w:r>
        <w:t xml:space="preserve"> </w:t>
      </w:r>
      <w:r>
        <w:rPr>
          <w:rStyle w:val="Hyperlink"/>
          <w:rFonts w:ascii="Times New Roman" w:hAnsi="Times New Roman"/>
          <w:sz w:val="18"/>
        </w:rPr>
        <w:t>https://www.calltoactiongbv.com/what-we-do</w:t>
      </w:r>
    </w:p>
  </w:footnote>
  <w:footnote w:id="26">
    <w:p w:rsidR="006E5269" w:rsidRPr="00A30D43" w:rsidRDefault="006E5269">
      <w:pPr>
        <w:pStyle w:val="FootnoteText"/>
      </w:pPr>
      <w:r>
        <w:rPr>
          <w:rStyle w:val="FootnoteReference"/>
        </w:rPr>
        <w:footnoteRef/>
      </w:r>
      <w:r>
        <w:t xml:space="preserve"> </w:t>
      </w:r>
      <w:r>
        <w:rPr>
          <w:rStyle w:val="Hyperlink"/>
          <w:rFonts w:ascii="Times New Roman" w:hAnsi="Times New Roman"/>
          <w:sz w:val="18"/>
        </w:rPr>
        <w:t>https://www.wfp.org/publications/wfp-common-services</w:t>
      </w:r>
    </w:p>
  </w:footnote>
  <w:footnote w:id="27">
    <w:p w:rsidR="006E5269" w:rsidRPr="00EF09A9" w:rsidRDefault="006E5269">
      <w:pPr>
        <w:pStyle w:val="FootnoteText"/>
        <w:rPr>
          <w:rFonts w:ascii="Times New Roman" w:hAnsi="Times New Roman"/>
          <w:sz w:val="16"/>
          <w:szCs w:val="16"/>
        </w:rPr>
      </w:pPr>
      <w:r>
        <w:rPr>
          <w:rStyle w:val="FootnoteReference"/>
        </w:rPr>
        <w:footnoteRef/>
      </w:r>
      <w:r>
        <w:t xml:space="preserve"> </w:t>
      </w:r>
      <w:hyperlink r:id="rId3" w:history="1">
        <w:r>
          <w:rPr>
            <w:rStyle w:val="Hyperlink"/>
            <w:rFonts w:ascii="Times New Roman" w:hAnsi="Times New Roman"/>
            <w:sz w:val="16"/>
            <w:szCs w:val="16"/>
          </w:rPr>
          <w:t>https://www.unocha.org/ukraine</w:t>
        </w:r>
      </w:hyperlink>
      <w:r>
        <w:rPr>
          <w:rFonts w:ascii="Times New Roman" w:hAnsi="Times New Roman"/>
          <w:sz w:val="16"/>
          <w:szCs w:val="16"/>
        </w:rPr>
        <w:t xml:space="preserve"> </w:t>
      </w:r>
    </w:p>
  </w:footnote>
  <w:footnote w:id="28">
    <w:p w:rsidR="006E5269" w:rsidRPr="00DD4274" w:rsidRDefault="006E5269">
      <w:pPr>
        <w:pStyle w:val="FootnoteText"/>
      </w:pPr>
      <w:r>
        <w:rPr>
          <w:rStyle w:val="FootnoteReference"/>
          <w:rFonts w:ascii="Times New Roman" w:hAnsi="Times New Roman"/>
          <w:sz w:val="18"/>
        </w:rPr>
        <w:footnoteRef/>
      </w:r>
      <w:r>
        <w:rPr>
          <w:rStyle w:val="FootnoteReference"/>
          <w:rFonts w:ascii="Times New Roman" w:hAnsi="Times New Roman"/>
          <w:sz w:val="18"/>
        </w:rPr>
        <w:t xml:space="preserve"> </w:t>
      </w:r>
      <w:r>
        <w:tab/>
      </w:r>
      <w:r>
        <w:rPr>
          <w:rFonts w:ascii="Times New Roman" w:hAnsi="Times New Roman"/>
          <w:sz w:val="18"/>
        </w:rPr>
        <w:t>Oprócz budżetu na pomoc humanitarną DG ECHO zarządzała kwotą 613 mln EUR</w:t>
      </w:r>
      <w:r w:rsidR="00FD0C71">
        <w:rPr>
          <w:rFonts w:ascii="Times New Roman" w:hAnsi="Times New Roman"/>
          <w:sz w:val="18"/>
        </w:rPr>
        <w:t xml:space="preserve"> w ram</w:t>
      </w:r>
      <w:r>
        <w:rPr>
          <w:rFonts w:ascii="Times New Roman" w:hAnsi="Times New Roman"/>
          <w:sz w:val="18"/>
        </w:rPr>
        <w:t>ach Unijnego Mechanizmu Ochrony Ludności, 220 mln EUR</w:t>
      </w:r>
      <w:r w:rsidR="00FD0C71">
        <w:rPr>
          <w:rFonts w:ascii="Times New Roman" w:hAnsi="Times New Roman"/>
          <w:sz w:val="18"/>
        </w:rPr>
        <w:t xml:space="preserve"> w ram</w:t>
      </w:r>
      <w:r>
        <w:rPr>
          <w:rFonts w:ascii="Times New Roman" w:hAnsi="Times New Roman"/>
          <w:sz w:val="18"/>
        </w:rPr>
        <w:t>ach instrumentu wsparcia</w:t>
      </w:r>
      <w:r w:rsidR="00FD0C71">
        <w:rPr>
          <w:rFonts w:ascii="Times New Roman" w:hAnsi="Times New Roman"/>
          <w:sz w:val="18"/>
        </w:rPr>
        <w:t xml:space="preserve"> w syt</w:t>
      </w:r>
      <w:r>
        <w:rPr>
          <w:rFonts w:ascii="Times New Roman" w:hAnsi="Times New Roman"/>
          <w:sz w:val="18"/>
        </w:rPr>
        <w:t>uacjach nadzwyczajnych</w:t>
      </w:r>
      <w:r w:rsidR="00FD0C71">
        <w:rPr>
          <w:rFonts w:ascii="Times New Roman" w:hAnsi="Times New Roman"/>
          <w:sz w:val="18"/>
        </w:rPr>
        <w:t xml:space="preserve"> i 3</w:t>
      </w:r>
      <w:r>
        <w:rPr>
          <w:rFonts w:ascii="Times New Roman" w:hAnsi="Times New Roman"/>
          <w:sz w:val="18"/>
        </w:rPr>
        <w:t xml:space="preserve"> mln EUR</w:t>
      </w:r>
      <w:r w:rsidR="00FD0C71">
        <w:rPr>
          <w:rFonts w:ascii="Times New Roman" w:hAnsi="Times New Roman"/>
          <w:sz w:val="18"/>
        </w:rPr>
        <w:t xml:space="preserve"> w ram</w:t>
      </w:r>
      <w:r>
        <w:rPr>
          <w:rFonts w:ascii="Times New Roman" w:hAnsi="Times New Roman"/>
          <w:sz w:val="18"/>
        </w:rPr>
        <w:t>ach programu „Wolontariusze pomocy UE”.</w:t>
      </w:r>
    </w:p>
  </w:footnote>
  <w:footnote w:id="29">
    <w:p w:rsidR="006E5269" w:rsidRPr="003B71A1" w:rsidRDefault="006E5269">
      <w:pPr>
        <w:pStyle w:val="FootnoteText"/>
      </w:pPr>
      <w:r>
        <w:rPr>
          <w:rStyle w:val="FootnoteReference"/>
        </w:rPr>
        <w:footnoteRef/>
      </w:r>
      <w:r>
        <w:t xml:space="preserve"> </w:t>
      </w:r>
      <w:r>
        <w:rPr>
          <w:rFonts w:ascii="Times New Roman" w:hAnsi="Times New Roman"/>
          <w:sz w:val="18"/>
        </w:rPr>
        <w:t>Partnerzy DG ECHO wykonujący operacje pomocy humanitarnej finansowane przez UE</w:t>
      </w:r>
      <w:r w:rsidR="00FD0C71">
        <w:rPr>
          <w:rFonts w:ascii="Times New Roman" w:hAnsi="Times New Roman"/>
          <w:sz w:val="18"/>
        </w:rPr>
        <w:t xml:space="preserve"> w 2</w:t>
      </w:r>
      <w:r>
        <w:rPr>
          <w:rFonts w:ascii="Times New Roman" w:hAnsi="Times New Roman"/>
          <w:sz w:val="18"/>
        </w:rPr>
        <w:t>0</w:t>
      </w:r>
      <w:r w:rsidRPr="00FD0C71">
        <w:rPr>
          <w:rFonts w:ascii="Times New Roman" w:hAnsi="Times New Roman"/>
          <w:sz w:val="18"/>
        </w:rPr>
        <w:t>20</w:t>
      </w:r>
      <w:r w:rsidR="00FD0C71" w:rsidRPr="00FD0C71">
        <w:rPr>
          <w:rFonts w:ascii="Times New Roman" w:hAnsi="Times New Roman"/>
          <w:sz w:val="18"/>
        </w:rPr>
        <w:t> </w:t>
      </w:r>
      <w:r w:rsidRPr="00FD0C71">
        <w:rPr>
          <w:rFonts w:ascii="Times New Roman" w:hAnsi="Times New Roman"/>
          <w:sz w:val="18"/>
        </w:rPr>
        <w: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87" w:rsidRPr="00287E87" w:rsidRDefault="00287E87" w:rsidP="00287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87" w:rsidRPr="00287E87" w:rsidRDefault="00287E87" w:rsidP="00287E8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87" w:rsidRPr="00287E87" w:rsidRDefault="00287E87" w:rsidP="00287E8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69" w:rsidRDefault="006E52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69" w:rsidRDefault="006E5269">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69" w:rsidRDefault="006E52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69" w:rsidRDefault="006E52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69" w:rsidRDefault="006E5269">
    <w:pP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69" w:rsidRDefault="006E5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998"/>
    <w:multiLevelType w:val="multilevel"/>
    <w:tmpl w:val="26FC0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63D3D"/>
    <w:multiLevelType w:val="multilevel"/>
    <w:tmpl w:val="266A0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F53F3A"/>
    <w:multiLevelType w:val="hybridMultilevel"/>
    <w:tmpl w:val="BF3E3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F5167C"/>
    <w:multiLevelType w:val="multilevel"/>
    <w:tmpl w:val="89562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E93559"/>
    <w:multiLevelType w:val="multilevel"/>
    <w:tmpl w:val="26FC0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464C38"/>
    <w:multiLevelType w:val="multilevel"/>
    <w:tmpl w:val="90EAD4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E349E5"/>
    <w:multiLevelType w:val="hybridMultilevel"/>
    <w:tmpl w:val="58C61EB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58C95331"/>
    <w:multiLevelType w:val="multilevel"/>
    <w:tmpl w:val="9AB6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552F94"/>
    <w:multiLevelType w:val="hybridMultilevel"/>
    <w:tmpl w:val="079EB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81286E"/>
    <w:multiLevelType w:val="hybridMultilevel"/>
    <w:tmpl w:val="5C8AA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F303BA"/>
    <w:multiLevelType w:val="hybridMultilevel"/>
    <w:tmpl w:val="4CD4D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131078" w:nlCheck="1" w:checkStyle="0"/>
  <w:activeWritingStyle w:appName="MSWord" w:lang="fi-FI"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it-IT" w:vendorID="64" w:dllVersion="131078" w:nlCheck="1" w:checkStyle="0"/>
  <w:activeWritingStyle w:appName="MSWord" w:lang="nl-BE" w:vendorID="64" w:dllVersion="131078" w:nlCheck="1" w:checkStyle="0"/>
  <w:revisionView w:markup="0"/>
  <w:defaultTabStop w:val="708"/>
  <w:hyphenationZone w:val="425"/>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DocStatus" w:val="Green"/>
    <w:docVar w:name="LW_CORRIGENDUM" w:val="&lt;UNUSED&gt;"/>
    <w:docVar w:name="LW_COVERPAGE_EXISTS" w:val="True"/>
    <w:docVar w:name="LW_COVERPAGE_GUID" w:val="F4A77B9B-C36A-4F52-845C-3F799F6EF4C1"/>
    <w:docVar w:name="LW_COVERPAGE_TYPE" w:val="1"/>
    <w:docVar w:name="LW_CROSSREFERENCE" w:val="&lt;UNUSED&gt;"/>
    <w:docVar w:name="LW_DocType" w:val="NORMAL"/>
    <w:docVar w:name="LW_EMISSION" w:val="29.10.2021"/>
    <w:docVar w:name="LW_EMISSION_ISODATE" w:val="2021-10-29"/>
    <w:docVar w:name="LW_EMISSION_LOCATION" w:val="BRX"/>
    <w:docVar w:name="LW_EMISSION_PREFIX" w:val="Bruksela, dnia "/>
    <w:docVar w:name="LW_EMISSION_SUFFIX" w:val=" r."/>
    <w:docVar w:name="LW_ID_DOCTYPE_NONLW" w:val="CP-006"/>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1) 6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prawozdanie roczne dotycz\u261?ce operacji pomocy humanitarnej Unii Europejskiej finansowanych w 2020 r."/>
    <w:docVar w:name="LW_TYPE.DOC.CP" w:val="SPRAWOZDANIE KOMISJI DLA PARLAMENTU EUROPEJSKIEGO I RADY"/>
    <w:docVar w:name="LwApiVersions" w:val="LW4CoDe 1.23.1.0; LW 8.0, Build 20210728"/>
  </w:docVars>
  <w:rsids>
    <w:rsidRoot w:val="00A1277F"/>
    <w:rsid w:val="000028A7"/>
    <w:rsid w:val="00003F13"/>
    <w:rsid w:val="00005D23"/>
    <w:rsid w:val="000068AB"/>
    <w:rsid w:val="0000695B"/>
    <w:rsid w:val="00007553"/>
    <w:rsid w:val="00011556"/>
    <w:rsid w:val="00012EDC"/>
    <w:rsid w:val="00013E9E"/>
    <w:rsid w:val="00013F81"/>
    <w:rsid w:val="0002042E"/>
    <w:rsid w:val="000230BB"/>
    <w:rsid w:val="00024167"/>
    <w:rsid w:val="0002520B"/>
    <w:rsid w:val="00026E1F"/>
    <w:rsid w:val="00027A0D"/>
    <w:rsid w:val="00032784"/>
    <w:rsid w:val="000378B7"/>
    <w:rsid w:val="00040937"/>
    <w:rsid w:val="00041DA5"/>
    <w:rsid w:val="0004266A"/>
    <w:rsid w:val="00043C1C"/>
    <w:rsid w:val="00047CF7"/>
    <w:rsid w:val="00050D80"/>
    <w:rsid w:val="0005230C"/>
    <w:rsid w:val="00053E5A"/>
    <w:rsid w:val="000563B3"/>
    <w:rsid w:val="00056FC3"/>
    <w:rsid w:val="00057170"/>
    <w:rsid w:val="00061F24"/>
    <w:rsid w:val="000640AD"/>
    <w:rsid w:val="00064E27"/>
    <w:rsid w:val="00065255"/>
    <w:rsid w:val="0007051F"/>
    <w:rsid w:val="00073735"/>
    <w:rsid w:val="00075997"/>
    <w:rsid w:val="00076320"/>
    <w:rsid w:val="0008054A"/>
    <w:rsid w:val="00082F4D"/>
    <w:rsid w:val="0008468E"/>
    <w:rsid w:val="00086B27"/>
    <w:rsid w:val="00090A83"/>
    <w:rsid w:val="00094AC2"/>
    <w:rsid w:val="000A12D2"/>
    <w:rsid w:val="000A643D"/>
    <w:rsid w:val="000A66FC"/>
    <w:rsid w:val="000B174F"/>
    <w:rsid w:val="000B1FE9"/>
    <w:rsid w:val="000B3B8D"/>
    <w:rsid w:val="000C024C"/>
    <w:rsid w:val="000C1F26"/>
    <w:rsid w:val="000C2E1E"/>
    <w:rsid w:val="000C522C"/>
    <w:rsid w:val="000D056F"/>
    <w:rsid w:val="000D1B89"/>
    <w:rsid w:val="000D4014"/>
    <w:rsid w:val="000D4A92"/>
    <w:rsid w:val="000D6AD0"/>
    <w:rsid w:val="000E08D6"/>
    <w:rsid w:val="000E0F33"/>
    <w:rsid w:val="000E105C"/>
    <w:rsid w:val="000E342E"/>
    <w:rsid w:val="000E430C"/>
    <w:rsid w:val="000E7943"/>
    <w:rsid w:val="000F0F7C"/>
    <w:rsid w:val="000F3DE5"/>
    <w:rsid w:val="000F4BEA"/>
    <w:rsid w:val="000F5389"/>
    <w:rsid w:val="000F58F1"/>
    <w:rsid w:val="000F6D2F"/>
    <w:rsid w:val="000F71CE"/>
    <w:rsid w:val="00101FFB"/>
    <w:rsid w:val="001034B4"/>
    <w:rsid w:val="00104179"/>
    <w:rsid w:val="001069AF"/>
    <w:rsid w:val="00107695"/>
    <w:rsid w:val="001102B8"/>
    <w:rsid w:val="00110B9E"/>
    <w:rsid w:val="00115CDD"/>
    <w:rsid w:val="00116B01"/>
    <w:rsid w:val="00121C5C"/>
    <w:rsid w:val="00122422"/>
    <w:rsid w:val="00122CBC"/>
    <w:rsid w:val="00123ADA"/>
    <w:rsid w:val="00131BDE"/>
    <w:rsid w:val="00133432"/>
    <w:rsid w:val="00133D56"/>
    <w:rsid w:val="00133F02"/>
    <w:rsid w:val="00135EA5"/>
    <w:rsid w:val="00141B99"/>
    <w:rsid w:val="00146B9A"/>
    <w:rsid w:val="001509EC"/>
    <w:rsid w:val="00153C60"/>
    <w:rsid w:val="001540BD"/>
    <w:rsid w:val="0015414E"/>
    <w:rsid w:val="0015772D"/>
    <w:rsid w:val="0016013D"/>
    <w:rsid w:val="0016676F"/>
    <w:rsid w:val="001708EB"/>
    <w:rsid w:val="00172FAE"/>
    <w:rsid w:val="00174F57"/>
    <w:rsid w:val="00187FA5"/>
    <w:rsid w:val="00191922"/>
    <w:rsid w:val="00191993"/>
    <w:rsid w:val="00191CF9"/>
    <w:rsid w:val="00192727"/>
    <w:rsid w:val="001951E5"/>
    <w:rsid w:val="001957F0"/>
    <w:rsid w:val="001A268E"/>
    <w:rsid w:val="001B2E02"/>
    <w:rsid w:val="001B537F"/>
    <w:rsid w:val="001B55C6"/>
    <w:rsid w:val="001B7C68"/>
    <w:rsid w:val="001C0F18"/>
    <w:rsid w:val="001C18B8"/>
    <w:rsid w:val="001C399E"/>
    <w:rsid w:val="001C460C"/>
    <w:rsid w:val="001D152A"/>
    <w:rsid w:val="001D22D3"/>
    <w:rsid w:val="001D3619"/>
    <w:rsid w:val="001D5BF2"/>
    <w:rsid w:val="001D6B7F"/>
    <w:rsid w:val="001E3A72"/>
    <w:rsid w:val="001E6388"/>
    <w:rsid w:val="001F017A"/>
    <w:rsid w:val="001F0390"/>
    <w:rsid w:val="001F1293"/>
    <w:rsid w:val="001F5897"/>
    <w:rsid w:val="001F73CC"/>
    <w:rsid w:val="002007A6"/>
    <w:rsid w:val="00200B5B"/>
    <w:rsid w:val="0020729A"/>
    <w:rsid w:val="00214C50"/>
    <w:rsid w:val="002153F8"/>
    <w:rsid w:val="00215690"/>
    <w:rsid w:val="00215D22"/>
    <w:rsid w:val="002203F0"/>
    <w:rsid w:val="00220998"/>
    <w:rsid w:val="002228D3"/>
    <w:rsid w:val="002266EF"/>
    <w:rsid w:val="00227B8D"/>
    <w:rsid w:val="00231B2D"/>
    <w:rsid w:val="00232239"/>
    <w:rsid w:val="0023553E"/>
    <w:rsid w:val="00240244"/>
    <w:rsid w:val="0024255A"/>
    <w:rsid w:val="00243E14"/>
    <w:rsid w:val="00246AC1"/>
    <w:rsid w:val="00250669"/>
    <w:rsid w:val="00250EA2"/>
    <w:rsid w:val="00251EEE"/>
    <w:rsid w:val="002558B7"/>
    <w:rsid w:val="00260702"/>
    <w:rsid w:val="00261ED7"/>
    <w:rsid w:val="00262497"/>
    <w:rsid w:val="002624CC"/>
    <w:rsid w:val="00263E36"/>
    <w:rsid w:val="00266C22"/>
    <w:rsid w:val="00270671"/>
    <w:rsid w:val="0027264D"/>
    <w:rsid w:val="00276891"/>
    <w:rsid w:val="00282506"/>
    <w:rsid w:val="002826D0"/>
    <w:rsid w:val="00282A2D"/>
    <w:rsid w:val="00283004"/>
    <w:rsid w:val="00284758"/>
    <w:rsid w:val="00284C1E"/>
    <w:rsid w:val="0028663B"/>
    <w:rsid w:val="00287E87"/>
    <w:rsid w:val="0029003E"/>
    <w:rsid w:val="00292B22"/>
    <w:rsid w:val="00295283"/>
    <w:rsid w:val="002A1D25"/>
    <w:rsid w:val="002B2CD0"/>
    <w:rsid w:val="002B2E58"/>
    <w:rsid w:val="002B3A94"/>
    <w:rsid w:val="002B4BED"/>
    <w:rsid w:val="002B5D97"/>
    <w:rsid w:val="002B74A1"/>
    <w:rsid w:val="002C045D"/>
    <w:rsid w:val="002C3D4C"/>
    <w:rsid w:val="002C5BC5"/>
    <w:rsid w:val="002C743D"/>
    <w:rsid w:val="002C7C51"/>
    <w:rsid w:val="002D0387"/>
    <w:rsid w:val="002D322C"/>
    <w:rsid w:val="002D3492"/>
    <w:rsid w:val="002E1121"/>
    <w:rsid w:val="002E1BC0"/>
    <w:rsid w:val="002E2BAC"/>
    <w:rsid w:val="002E494C"/>
    <w:rsid w:val="002E715D"/>
    <w:rsid w:val="002F1A0D"/>
    <w:rsid w:val="002F2284"/>
    <w:rsid w:val="002F3742"/>
    <w:rsid w:val="002F3C34"/>
    <w:rsid w:val="002F3E45"/>
    <w:rsid w:val="002F4B66"/>
    <w:rsid w:val="002F59B7"/>
    <w:rsid w:val="00300FFB"/>
    <w:rsid w:val="003057BC"/>
    <w:rsid w:val="003068D6"/>
    <w:rsid w:val="0030701B"/>
    <w:rsid w:val="00314A9B"/>
    <w:rsid w:val="00315C3D"/>
    <w:rsid w:val="00315EF0"/>
    <w:rsid w:val="00317993"/>
    <w:rsid w:val="003205DD"/>
    <w:rsid w:val="003216B5"/>
    <w:rsid w:val="003247A5"/>
    <w:rsid w:val="00324B4E"/>
    <w:rsid w:val="003264FA"/>
    <w:rsid w:val="003270B4"/>
    <w:rsid w:val="0032787B"/>
    <w:rsid w:val="0032799B"/>
    <w:rsid w:val="00332358"/>
    <w:rsid w:val="00335FA7"/>
    <w:rsid w:val="00336215"/>
    <w:rsid w:val="003367B6"/>
    <w:rsid w:val="003370A0"/>
    <w:rsid w:val="00342416"/>
    <w:rsid w:val="00342A1B"/>
    <w:rsid w:val="0034356B"/>
    <w:rsid w:val="00343E7F"/>
    <w:rsid w:val="003441A1"/>
    <w:rsid w:val="0034472C"/>
    <w:rsid w:val="00346DB8"/>
    <w:rsid w:val="00351030"/>
    <w:rsid w:val="00354C5D"/>
    <w:rsid w:val="00355CD7"/>
    <w:rsid w:val="00356E78"/>
    <w:rsid w:val="00360EEC"/>
    <w:rsid w:val="003613D3"/>
    <w:rsid w:val="00363AF5"/>
    <w:rsid w:val="00364172"/>
    <w:rsid w:val="00365923"/>
    <w:rsid w:val="00366131"/>
    <w:rsid w:val="00366EB2"/>
    <w:rsid w:val="003731A0"/>
    <w:rsid w:val="003745D2"/>
    <w:rsid w:val="003758D0"/>
    <w:rsid w:val="00385332"/>
    <w:rsid w:val="003910C1"/>
    <w:rsid w:val="00392022"/>
    <w:rsid w:val="00392797"/>
    <w:rsid w:val="003945D1"/>
    <w:rsid w:val="003955EA"/>
    <w:rsid w:val="0039565F"/>
    <w:rsid w:val="003A0658"/>
    <w:rsid w:val="003A18C5"/>
    <w:rsid w:val="003A41D2"/>
    <w:rsid w:val="003A6D70"/>
    <w:rsid w:val="003B0491"/>
    <w:rsid w:val="003B1A17"/>
    <w:rsid w:val="003B53DD"/>
    <w:rsid w:val="003B5528"/>
    <w:rsid w:val="003B6479"/>
    <w:rsid w:val="003B71A1"/>
    <w:rsid w:val="003C19F3"/>
    <w:rsid w:val="003C4577"/>
    <w:rsid w:val="003C5A6F"/>
    <w:rsid w:val="003D0214"/>
    <w:rsid w:val="003D203D"/>
    <w:rsid w:val="003D2CC0"/>
    <w:rsid w:val="003D4707"/>
    <w:rsid w:val="003D6390"/>
    <w:rsid w:val="003D6AB8"/>
    <w:rsid w:val="003E1B52"/>
    <w:rsid w:val="003E2512"/>
    <w:rsid w:val="003E3C2E"/>
    <w:rsid w:val="003E4650"/>
    <w:rsid w:val="003E5445"/>
    <w:rsid w:val="003E7CBF"/>
    <w:rsid w:val="003F1356"/>
    <w:rsid w:val="003F1C2F"/>
    <w:rsid w:val="003F2C04"/>
    <w:rsid w:val="00400A44"/>
    <w:rsid w:val="00401E8F"/>
    <w:rsid w:val="0040714D"/>
    <w:rsid w:val="004109BD"/>
    <w:rsid w:val="00411633"/>
    <w:rsid w:val="00414DC2"/>
    <w:rsid w:val="00415E9A"/>
    <w:rsid w:val="00416917"/>
    <w:rsid w:val="0042048B"/>
    <w:rsid w:val="004231AD"/>
    <w:rsid w:val="00424948"/>
    <w:rsid w:val="004327C5"/>
    <w:rsid w:val="00436C73"/>
    <w:rsid w:val="00440918"/>
    <w:rsid w:val="00440FD6"/>
    <w:rsid w:val="00443498"/>
    <w:rsid w:val="00453C06"/>
    <w:rsid w:val="004601EE"/>
    <w:rsid w:val="004604D7"/>
    <w:rsid w:val="00461553"/>
    <w:rsid w:val="004628F7"/>
    <w:rsid w:val="00462950"/>
    <w:rsid w:val="0046303D"/>
    <w:rsid w:val="00464195"/>
    <w:rsid w:val="0046526A"/>
    <w:rsid w:val="004671CA"/>
    <w:rsid w:val="00467254"/>
    <w:rsid w:val="00467EF1"/>
    <w:rsid w:val="0047058C"/>
    <w:rsid w:val="004711C3"/>
    <w:rsid w:val="0047298D"/>
    <w:rsid w:val="004737CE"/>
    <w:rsid w:val="0047519D"/>
    <w:rsid w:val="00476065"/>
    <w:rsid w:val="00477282"/>
    <w:rsid w:val="00480CA3"/>
    <w:rsid w:val="00480E55"/>
    <w:rsid w:val="00490BBF"/>
    <w:rsid w:val="00492A0E"/>
    <w:rsid w:val="004A0CC7"/>
    <w:rsid w:val="004A57C8"/>
    <w:rsid w:val="004A6521"/>
    <w:rsid w:val="004B4CAB"/>
    <w:rsid w:val="004B54FA"/>
    <w:rsid w:val="004B5B09"/>
    <w:rsid w:val="004B71EC"/>
    <w:rsid w:val="004C0251"/>
    <w:rsid w:val="004C3C86"/>
    <w:rsid w:val="004C3D01"/>
    <w:rsid w:val="004C4F45"/>
    <w:rsid w:val="004D22B6"/>
    <w:rsid w:val="004D591A"/>
    <w:rsid w:val="004E123C"/>
    <w:rsid w:val="004E268B"/>
    <w:rsid w:val="004E37E0"/>
    <w:rsid w:val="004E742D"/>
    <w:rsid w:val="004F0314"/>
    <w:rsid w:val="004F2179"/>
    <w:rsid w:val="004F2759"/>
    <w:rsid w:val="004F35D1"/>
    <w:rsid w:val="004F59D6"/>
    <w:rsid w:val="004F6B96"/>
    <w:rsid w:val="00503F61"/>
    <w:rsid w:val="0050544C"/>
    <w:rsid w:val="0050730D"/>
    <w:rsid w:val="0051111D"/>
    <w:rsid w:val="005121AB"/>
    <w:rsid w:val="00512DE3"/>
    <w:rsid w:val="00521878"/>
    <w:rsid w:val="00525EFF"/>
    <w:rsid w:val="005300CE"/>
    <w:rsid w:val="00530863"/>
    <w:rsid w:val="00530E4C"/>
    <w:rsid w:val="00533F12"/>
    <w:rsid w:val="00534296"/>
    <w:rsid w:val="00535EA7"/>
    <w:rsid w:val="0054245C"/>
    <w:rsid w:val="00544AF5"/>
    <w:rsid w:val="00546248"/>
    <w:rsid w:val="00550754"/>
    <w:rsid w:val="005574C0"/>
    <w:rsid w:val="005622EB"/>
    <w:rsid w:val="005637A6"/>
    <w:rsid w:val="00567261"/>
    <w:rsid w:val="0056750E"/>
    <w:rsid w:val="0056795E"/>
    <w:rsid w:val="005723DC"/>
    <w:rsid w:val="00577C12"/>
    <w:rsid w:val="00577C25"/>
    <w:rsid w:val="0058407A"/>
    <w:rsid w:val="005858C1"/>
    <w:rsid w:val="00585C48"/>
    <w:rsid w:val="0058694E"/>
    <w:rsid w:val="005905BA"/>
    <w:rsid w:val="0059096D"/>
    <w:rsid w:val="00592F31"/>
    <w:rsid w:val="00595C83"/>
    <w:rsid w:val="005A1E2E"/>
    <w:rsid w:val="005A1F6F"/>
    <w:rsid w:val="005A2187"/>
    <w:rsid w:val="005A614B"/>
    <w:rsid w:val="005B7B22"/>
    <w:rsid w:val="005C02E5"/>
    <w:rsid w:val="005C02EB"/>
    <w:rsid w:val="005C3FF7"/>
    <w:rsid w:val="005C515D"/>
    <w:rsid w:val="005D2459"/>
    <w:rsid w:val="005D3A62"/>
    <w:rsid w:val="005D4A82"/>
    <w:rsid w:val="005D5281"/>
    <w:rsid w:val="005D6F1D"/>
    <w:rsid w:val="005D755D"/>
    <w:rsid w:val="005E2F6A"/>
    <w:rsid w:val="005E6B8E"/>
    <w:rsid w:val="005F1374"/>
    <w:rsid w:val="005F511F"/>
    <w:rsid w:val="005F562A"/>
    <w:rsid w:val="005F70DE"/>
    <w:rsid w:val="006011C4"/>
    <w:rsid w:val="00601A99"/>
    <w:rsid w:val="00602228"/>
    <w:rsid w:val="0060226E"/>
    <w:rsid w:val="006133EC"/>
    <w:rsid w:val="0062451F"/>
    <w:rsid w:val="00624C7D"/>
    <w:rsid w:val="00625F98"/>
    <w:rsid w:val="00632C37"/>
    <w:rsid w:val="0065141B"/>
    <w:rsid w:val="006540D8"/>
    <w:rsid w:val="00656A47"/>
    <w:rsid w:val="00662037"/>
    <w:rsid w:val="00667763"/>
    <w:rsid w:val="00670937"/>
    <w:rsid w:val="006724CB"/>
    <w:rsid w:val="00673946"/>
    <w:rsid w:val="00676F75"/>
    <w:rsid w:val="006829B0"/>
    <w:rsid w:val="00686404"/>
    <w:rsid w:val="00692B46"/>
    <w:rsid w:val="006951F5"/>
    <w:rsid w:val="0069743C"/>
    <w:rsid w:val="006A2087"/>
    <w:rsid w:val="006A7958"/>
    <w:rsid w:val="006B1784"/>
    <w:rsid w:val="006C14DB"/>
    <w:rsid w:val="006C5897"/>
    <w:rsid w:val="006C79F4"/>
    <w:rsid w:val="006D1560"/>
    <w:rsid w:val="006D1625"/>
    <w:rsid w:val="006D208E"/>
    <w:rsid w:val="006D31D3"/>
    <w:rsid w:val="006D6FAC"/>
    <w:rsid w:val="006E3260"/>
    <w:rsid w:val="006E3A8C"/>
    <w:rsid w:val="006E5269"/>
    <w:rsid w:val="006E555B"/>
    <w:rsid w:val="006F08BA"/>
    <w:rsid w:val="006F4689"/>
    <w:rsid w:val="006F469B"/>
    <w:rsid w:val="006F63CE"/>
    <w:rsid w:val="007002DE"/>
    <w:rsid w:val="0070045E"/>
    <w:rsid w:val="00700883"/>
    <w:rsid w:val="00701159"/>
    <w:rsid w:val="00703563"/>
    <w:rsid w:val="007069BF"/>
    <w:rsid w:val="0070747B"/>
    <w:rsid w:val="007125E9"/>
    <w:rsid w:val="007174BD"/>
    <w:rsid w:val="00720E48"/>
    <w:rsid w:val="00722C0F"/>
    <w:rsid w:val="00722CBB"/>
    <w:rsid w:val="00724EBF"/>
    <w:rsid w:val="00727C95"/>
    <w:rsid w:val="007313D9"/>
    <w:rsid w:val="007322C0"/>
    <w:rsid w:val="007363FE"/>
    <w:rsid w:val="00744C7D"/>
    <w:rsid w:val="0075058B"/>
    <w:rsid w:val="00752099"/>
    <w:rsid w:val="00754E78"/>
    <w:rsid w:val="00755599"/>
    <w:rsid w:val="00767010"/>
    <w:rsid w:val="00770B6A"/>
    <w:rsid w:val="0077296F"/>
    <w:rsid w:val="007734D6"/>
    <w:rsid w:val="007738AC"/>
    <w:rsid w:val="00775219"/>
    <w:rsid w:val="00775E86"/>
    <w:rsid w:val="0077674E"/>
    <w:rsid w:val="00776F27"/>
    <w:rsid w:val="00780ABB"/>
    <w:rsid w:val="00783110"/>
    <w:rsid w:val="00786B51"/>
    <w:rsid w:val="00786DB9"/>
    <w:rsid w:val="00792F92"/>
    <w:rsid w:val="007973F0"/>
    <w:rsid w:val="007A4736"/>
    <w:rsid w:val="007A638D"/>
    <w:rsid w:val="007A738C"/>
    <w:rsid w:val="007B3B3C"/>
    <w:rsid w:val="007B40CA"/>
    <w:rsid w:val="007B7CD4"/>
    <w:rsid w:val="007C3A1C"/>
    <w:rsid w:val="007C58F0"/>
    <w:rsid w:val="007C6456"/>
    <w:rsid w:val="007C6F31"/>
    <w:rsid w:val="007C7448"/>
    <w:rsid w:val="007D10B4"/>
    <w:rsid w:val="007D1434"/>
    <w:rsid w:val="007D23BA"/>
    <w:rsid w:val="007D748F"/>
    <w:rsid w:val="007E2A31"/>
    <w:rsid w:val="007E34EF"/>
    <w:rsid w:val="007E6BBB"/>
    <w:rsid w:val="007F1FC6"/>
    <w:rsid w:val="007F2007"/>
    <w:rsid w:val="007F3E1D"/>
    <w:rsid w:val="00801142"/>
    <w:rsid w:val="008028B1"/>
    <w:rsid w:val="008028E6"/>
    <w:rsid w:val="00806B12"/>
    <w:rsid w:val="00813146"/>
    <w:rsid w:val="00813B3F"/>
    <w:rsid w:val="00814002"/>
    <w:rsid w:val="0081516E"/>
    <w:rsid w:val="0081690F"/>
    <w:rsid w:val="00821901"/>
    <w:rsid w:val="00824817"/>
    <w:rsid w:val="0082594E"/>
    <w:rsid w:val="00830D28"/>
    <w:rsid w:val="0083475F"/>
    <w:rsid w:val="008348D8"/>
    <w:rsid w:val="00835A24"/>
    <w:rsid w:val="00835A6F"/>
    <w:rsid w:val="00835A75"/>
    <w:rsid w:val="00835D90"/>
    <w:rsid w:val="00836C6E"/>
    <w:rsid w:val="00842BD1"/>
    <w:rsid w:val="00844EFF"/>
    <w:rsid w:val="00853048"/>
    <w:rsid w:val="00854241"/>
    <w:rsid w:val="00856090"/>
    <w:rsid w:val="0085685D"/>
    <w:rsid w:val="00864748"/>
    <w:rsid w:val="00866D16"/>
    <w:rsid w:val="00867BC7"/>
    <w:rsid w:val="0087185B"/>
    <w:rsid w:val="00874F7D"/>
    <w:rsid w:val="008756E3"/>
    <w:rsid w:val="008802F8"/>
    <w:rsid w:val="00880711"/>
    <w:rsid w:val="008816FD"/>
    <w:rsid w:val="00883AF5"/>
    <w:rsid w:val="0089386A"/>
    <w:rsid w:val="00893A8D"/>
    <w:rsid w:val="00895FDB"/>
    <w:rsid w:val="008A0203"/>
    <w:rsid w:val="008A1B59"/>
    <w:rsid w:val="008A333C"/>
    <w:rsid w:val="008A3F28"/>
    <w:rsid w:val="008A7EE0"/>
    <w:rsid w:val="008B044C"/>
    <w:rsid w:val="008B19FE"/>
    <w:rsid w:val="008B2104"/>
    <w:rsid w:val="008B68E5"/>
    <w:rsid w:val="008B74A6"/>
    <w:rsid w:val="008C089D"/>
    <w:rsid w:val="008C0C9D"/>
    <w:rsid w:val="008C2BB3"/>
    <w:rsid w:val="008C391B"/>
    <w:rsid w:val="008C416B"/>
    <w:rsid w:val="008C5742"/>
    <w:rsid w:val="008C5B7D"/>
    <w:rsid w:val="008D18B3"/>
    <w:rsid w:val="008D2D1C"/>
    <w:rsid w:val="008D2D53"/>
    <w:rsid w:val="008D40E5"/>
    <w:rsid w:val="008D6CF5"/>
    <w:rsid w:val="008D7534"/>
    <w:rsid w:val="008E5328"/>
    <w:rsid w:val="008E7CEE"/>
    <w:rsid w:val="008F0008"/>
    <w:rsid w:val="008F1FA3"/>
    <w:rsid w:val="008F3A8A"/>
    <w:rsid w:val="00901F60"/>
    <w:rsid w:val="00902055"/>
    <w:rsid w:val="00903414"/>
    <w:rsid w:val="009173A8"/>
    <w:rsid w:val="00922DA7"/>
    <w:rsid w:val="00930C29"/>
    <w:rsid w:val="00932A55"/>
    <w:rsid w:val="00935EFC"/>
    <w:rsid w:val="009363BC"/>
    <w:rsid w:val="009442D5"/>
    <w:rsid w:val="00946A51"/>
    <w:rsid w:val="00950818"/>
    <w:rsid w:val="0095258C"/>
    <w:rsid w:val="00956542"/>
    <w:rsid w:val="009566EC"/>
    <w:rsid w:val="00957ABC"/>
    <w:rsid w:val="00960756"/>
    <w:rsid w:val="00960CE5"/>
    <w:rsid w:val="0097077C"/>
    <w:rsid w:val="0097290C"/>
    <w:rsid w:val="0097628E"/>
    <w:rsid w:val="00980E74"/>
    <w:rsid w:val="00981E66"/>
    <w:rsid w:val="00985B85"/>
    <w:rsid w:val="00986AE6"/>
    <w:rsid w:val="00990D34"/>
    <w:rsid w:val="00992849"/>
    <w:rsid w:val="0099447C"/>
    <w:rsid w:val="00994856"/>
    <w:rsid w:val="00995136"/>
    <w:rsid w:val="009A0B09"/>
    <w:rsid w:val="009A31C9"/>
    <w:rsid w:val="009A3AE4"/>
    <w:rsid w:val="009A458D"/>
    <w:rsid w:val="009A48F6"/>
    <w:rsid w:val="009A7608"/>
    <w:rsid w:val="009B024C"/>
    <w:rsid w:val="009B02EC"/>
    <w:rsid w:val="009B2E86"/>
    <w:rsid w:val="009B366A"/>
    <w:rsid w:val="009B4C69"/>
    <w:rsid w:val="009B6D86"/>
    <w:rsid w:val="009C2C7B"/>
    <w:rsid w:val="009C3945"/>
    <w:rsid w:val="009C7060"/>
    <w:rsid w:val="009D13C0"/>
    <w:rsid w:val="009D154A"/>
    <w:rsid w:val="009D36A1"/>
    <w:rsid w:val="009D56D5"/>
    <w:rsid w:val="009D7602"/>
    <w:rsid w:val="009E127D"/>
    <w:rsid w:val="009E1887"/>
    <w:rsid w:val="009E21A0"/>
    <w:rsid w:val="009E443E"/>
    <w:rsid w:val="009E5DE3"/>
    <w:rsid w:val="009F0860"/>
    <w:rsid w:val="009F10B2"/>
    <w:rsid w:val="009F413B"/>
    <w:rsid w:val="009F50FF"/>
    <w:rsid w:val="009F7624"/>
    <w:rsid w:val="00A01410"/>
    <w:rsid w:val="00A01528"/>
    <w:rsid w:val="00A06000"/>
    <w:rsid w:val="00A06246"/>
    <w:rsid w:val="00A068FB"/>
    <w:rsid w:val="00A06A1B"/>
    <w:rsid w:val="00A07B0F"/>
    <w:rsid w:val="00A101AE"/>
    <w:rsid w:val="00A1052F"/>
    <w:rsid w:val="00A10BF8"/>
    <w:rsid w:val="00A1277F"/>
    <w:rsid w:val="00A17902"/>
    <w:rsid w:val="00A21990"/>
    <w:rsid w:val="00A22268"/>
    <w:rsid w:val="00A222D9"/>
    <w:rsid w:val="00A2728F"/>
    <w:rsid w:val="00A274D0"/>
    <w:rsid w:val="00A2783F"/>
    <w:rsid w:val="00A30419"/>
    <w:rsid w:val="00A30D43"/>
    <w:rsid w:val="00A3284D"/>
    <w:rsid w:val="00A33A07"/>
    <w:rsid w:val="00A345F9"/>
    <w:rsid w:val="00A363CD"/>
    <w:rsid w:val="00A40EAC"/>
    <w:rsid w:val="00A42564"/>
    <w:rsid w:val="00A43DFF"/>
    <w:rsid w:val="00A46632"/>
    <w:rsid w:val="00A470F2"/>
    <w:rsid w:val="00A52691"/>
    <w:rsid w:val="00A55EDF"/>
    <w:rsid w:val="00A64D70"/>
    <w:rsid w:val="00A718C1"/>
    <w:rsid w:val="00A803B2"/>
    <w:rsid w:val="00A817E1"/>
    <w:rsid w:val="00A83274"/>
    <w:rsid w:val="00A83F2F"/>
    <w:rsid w:val="00A85E6D"/>
    <w:rsid w:val="00A91917"/>
    <w:rsid w:val="00A938F9"/>
    <w:rsid w:val="00A95346"/>
    <w:rsid w:val="00AA0A61"/>
    <w:rsid w:val="00AA0E13"/>
    <w:rsid w:val="00AA7E87"/>
    <w:rsid w:val="00AB1B58"/>
    <w:rsid w:val="00AB30DA"/>
    <w:rsid w:val="00AB3E8F"/>
    <w:rsid w:val="00AB495F"/>
    <w:rsid w:val="00AB4CCB"/>
    <w:rsid w:val="00AB7128"/>
    <w:rsid w:val="00AB7EAA"/>
    <w:rsid w:val="00AC0540"/>
    <w:rsid w:val="00AC1A57"/>
    <w:rsid w:val="00AC62B3"/>
    <w:rsid w:val="00AD0567"/>
    <w:rsid w:val="00AD1CE8"/>
    <w:rsid w:val="00AD1F6A"/>
    <w:rsid w:val="00AD28DF"/>
    <w:rsid w:val="00AD29F1"/>
    <w:rsid w:val="00AD685B"/>
    <w:rsid w:val="00AE12D9"/>
    <w:rsid w:val="00AE31FA"/>
    <w:rsid w:val="00AE70B9"/>
    <w:rsid w:val="00AE7DB7"/>
    <w:rsid w:val="00AF1EA2"/>
    <w:rsid w:val="00AF2AD3"/>
    <w:rsid w:val="00AF2BF6"/>
    <w:rsid w:val="00AF3D7F"/>
    <w:rsid w:val="00AF3F8F"/>
    <w:rsid w:val="00AF421D"/>
    <w:rsid w:val="00B005D4"/>
    <w:rsid w:val="00B05408"/>
    <w:rsid w:val="00B065FF"/>
    <w:rsid w:val="00B073D5"/>
    <w:rsid w:val="00B16067"/>
    <w:rsid w:val="00B21819"/>
    <w:rsid w:val="00B21E22"/>
    <w:rsid w:val="00B251C8"/>
    <w:rsid w:val="00B2520B"/>
    <w:rsid w:val="00B25E5E"/>
    <w:rsid w:val="00B35CC1"/>
    <w:rsid w:val="00B45BDB"/>
    <w:rsid w:val="00B501AF"/>
    <w:rsid w:val="00B519A2"/>
    <w:rsid w:val="00B53177"/>
    <w:rsid w:val="00B6453F"/>
    <w:rsid w:val="00B657D2"/>
    <w:rsid w:val="00B66508"/>
    <w:rsid w:val="00B72B68"/>
    <w:rsid w:val="00B757BF"/>
    <w:rsid w:val="00B8050C"/>
    <w:rsid w:val="00B808EB"/>
    <w:rsid w:val="00B80D8C"/>
    <w:rsid w:val="00B82802"/>
    <w:rsid w:val="00B84F75"/>
    <w:rsid w:val="00B850AE"/>
    <w:rsid w:val="00B8727A"/>
    <w:rsid w:val="00B87AF2"/>
    <w:rsid w:val="00B917D6"/>
    <w:rsid w:val="00B91990"/>
    <w:rsid w:val="00B924B3"/>
    <w:rsid w:val="00B93CF5"/>
    <w:rsid w:val="00B94405"/>
    <w:rsid w:val="00B94729"/>
    <w:rsid w:val="00BA32DC"/>
    <w:rsid w:val="00BA357C"/>
    <w:rsid w:val="00BA52E0"/>
    <w:rsid w:val="00BA72C3"/>
    <w:rsid w:val="00BB2D94"/>
    <w:rsid w:val="00BB5B16"/>
    <w:rsid w:val="00BB7B42"/>
    <w:rsid w:val="00BC330F"/>
    <w:rsid w:val="00BC6575"/>
    <w:rsid w:val="00BD306F"/>
    <w:rsid w:val="00BD3EA3"/>
    <w:rsid w:val="00BD4E2C"/>
    <w:rsid w:val="00BE0249"/>
    <w:rsid w:val="00BE4449"/>
    <w:rsid w:val="00BE49C5"/>
    <w:rsid w:val="00BE5288"/>
    <w:rsid w:val="00BF1D1C"/>
    <w:rsid w:val="00BF5BB7"/>
    <w:rsid w:val="00BF5E5A"/>
    <w:rsid w:val="00BF6A5E"/>
    <w:rsid w:val="00C0067A"/>
    <w:rsid w:val="00C022D6"/>
    <w:rsid w:val="00C027FA"/>
    <w:rsid w:val="00C05FCC"/>
    <w:rsid w:val="00C10B93"/>
    <w:rsid w:val="00C159F5"/>
    <w:rsid w:val="00C1655A"/>
    <w:rsid w:val="00C168FF"/>
    <w:rsid w:val="00C219C7"/>
    <w:rsid w:val="00C22149"/>
    <w:rsid w:val="00C23183"/>
    <w:rsid w:val="00C37158"/>
    <w:rsid w:val="00C40C33"/>
    <w:rsid w:val="00C4225B"/>
    <w:rsid w:val="00C43271"/>
    <w:rsid w:val="00C465ED"/>
    <w:rsid w:val="00C5084F"/>
    <w:rsid w:val="00C54C5D"/>
    <w:rsid w:val="00C57E64"/>
    <w:rsid w:val="00C60A52"/>
    <w:rsid w:val="00C622A6"/>
    <w:rsid w:val="00C62736"/>
    <w:rsid w:val="00C6475C"/>
    <w:rsid w:val="00C67AF3"/>
    <w:rsid w:val="00C70350"/>
    <w:rsid w:val="00C711A6"/>
    <w:rsid w:val="00C75C4D"/>
    <w:rsid w:val="00C761E0"/>
    <w:rsid w:val="00C76FA4"/>
    <w:rsid w:val="00C8172D"/>
    <w:rsid w:val="00C8660E"/>
    <w:rsid w:val="00C938F4"/>
    <w:rsid w:val="00C94F26"/>
    <w:rsid w:val="00C95531"/>
    <w:rsid w:val="00C95A13"/>
    <w:rsid w:val="00C95AD7"/>
    <w:rsid w:val="00C97F8B"/>
    <w:rsid w:val="00CA0A39"/>
    <w:rsid w:val="00CA0BCA"/>
    <w:rsid w:val="00CA1FD7"/>
    <w:rsid w:val="00CA4419"/>
    <w:rsid w:val="00CA4A77"/>
    <w:rsid w:val="00CA6945"/>
    <w:rsid w:val="00CB3D53"/>
    <w:rsid w:val="00CB4483"/>
    <w:rsid w:val="00CB55FC"/>
    <w:rsid w:val="00CB58C3"/>
    <w:rsid w:val="00CC51A6"/>
    <w:rsid w:val="00CD00E3"/>
    <w:rsid w:val="00CD13A8"/>
    <w:rsid w:val="00CD22D7"/>
    <w:rsid w:val="00CE05D3"/>
    <w:rsid w:val="00CE347F"/>
    <w:rsid w:val="00CE4329"/>
    <w:rsid w:val="00CF2496"/>
    <w:rsid w:val="00D00404"/>
    <w:rsid w:val="00D04A2D"/>
    <w:rsid w:val="00D053C0"/>
    <w:rsid w:val="00D07C28"/>
    <w:rsid w:val="00D12979"/>
    <w:rsid w:val="00D15050"/>
    <w:rsid w:val="00D21750"/>
    <w:rsid w:val="00D258A1"/>
    <w:rsid w:val="00D300A4"/>
    <w:rsid w:val="00D332C9"/>
    <w:rsid w:val="00D362DF"/>
    <w:rsid w:val="00D5217D"/>
    <w:rsid w:val="00D54F1F"/>
    <w:rsid w:val="00D550EB"/>
    <w:rsid w:val="00D56036"/>
    <w:rsid w:val="00D61372"/>
    <w:rsid w:val="00D62177"/>
    <w:rsid w:val="00D63BDD"/>
    <w:rsid w:val="00D64844"/>
    <w:rsid w:val="00D64FD4"/>
    <w:rsid w:val="00D6618A"/>
    <w:rsid w:val="00D6726A"/>
    <w:rsid w:val="00D70811"/>
    <w:rsid w:val="00D74137"/>
    <w:rsid w:val="00D75BBD"/>
    <w:rsid w:val="00D761EF"/>
    <w:rsid w:val="00D81883"/>
    <w:rsid w:val="00D83E33"/>
    <w:rsid w:val="00D84337"/>
    <w:rsid w:val="00D86A84"/>
    <w:rsid w:val="00D9268C"/>
    <w:rsid w:val="00D94E9E"/>
    <w:rsid w:val="00D974B7"/>
    <w:rsid w:val="00DA54F2"/>
    <w:rsid w:val="00DA5579"/>
    <w:rsid w:val="00DA5F89"/>
    <w:rsid w:val="00DB0DCF"/>
    <w:rsid w:val="00DB1539"/>
    <w:rsid w:val="00DB5276"/>
    <w:rsid w:val="00DC04AD"/>
    <w:rsid w:val="00DC1C02"/>
    <w:rsid w:val="00DC264F"/>
    <w:rsid w:val="00DC4EB6"/>
    <w:rsid w:val="00DC535E"/>
    <w:rsid w:val="00DC5627"/>
    <w:rsid w:val="00DC666E"/>
    <w:rsid w:val="00DD28BA"/>
    <w:rsid w:val="00DD4274"/>
    <w:rsid w:val="00DD733E"/>
    <w:rsid w:val="00DD7759"/>
    <w:rsid w:val="00DE0C24"/>
    <w:rsid w:val="00DF3892"/>
    <w:rsid w:val="00DF4331"/>
    <w:rsid w:val="00DF5B04"/>
    <w:rsid w:val="00E01AE5"/>
    <w:rsid w:val="00E2064F"/>
    <w:rsid w:val="00E21843"/>
    <w:rsid w:val="00E227C9"/>
    <w:rsid w:val="00E239F8"/>
    <w:rsid w:val="00E24115"/>
    <w:rsid w:val="00E2748A"/>
    <w:rsid w:val="00E32180"/>
    <w:rsid w:val="00E33EB9"/>
    <w:rsid w:val="00E400E6"/>
    <w:rsid w:val="00E418B3"/>
    <w:rsid w:val="00E4372E"/>
    <w:rsid w:val="00E438E9"/>
    <w:rsid w:val="00E47E89"/>
    <w:rsid w:val="00E50E3C"/>
    <w:rsid w:val="00E51A7B"/>
    <w:rsid w:val="00E535EB"/>
    <w:rsid w:val="00E53FC7"/>
    <w:rsid w:val="00E54B00"/>
    <w:rsid w:val="00E5513A"/>
    <w:rsid w:val="00E55E3B"/>
    <w:rsid w:val="00E560FB"/>
    <w:rsid w:val="00E561F4"/>
    <w:rsid w:val="00E5641B"/>
    <w:rsid w:val="00E609EF"/>
    <w:rsid w:val="00E618C0"/>
    <w:rsid w:val="00E621FF"/>
    <w:rsid w:val="00E64ADD"/>
    <w:rsid w:val="00E650D6"/>
    <w:rsid w:val="00E66F62"/>
    <w:rsid w:val="00E704D3"/>
    <w:rsid w:val="00E73DD9"/>
    <w:rsid w:val="00E74723"/>
    <w:rsid w:val="00E759FD"/>
    <w:rsid w:val="00E777FA"/>
    <w:rsid w:val="00E81E30"/>
    <w:rsid w:val="00E83F48"/>
    <w:rsid w:val="00E8559C"/>
    <w:rsid w:val="00E8566B"/>
    <w:rsid w:val="00E86D71"/>
    <w:rsid w:val="00E90307"/>
    <w:rsid w:val="00E91DBE"/>
    <w:rsid w:val="00E92566"/>
    <w:rsid w:val="00E93D51"/>
    <w:rsid w:val="00E94044"/>
    <w:rsid w:val="00E94FCC"/>
    <w:rsid w:val="00E95900"/>
    <w:rsid w:val="00E969CF"/>
    <w:rsid w:val="00E973DE"/>
    <w:rsid w:val="00EA3331"/>
    <w:rsid w:val="00EA35C2"/>
    <w:rsid w:val="00EA46C3"/>
    <w:rsid w:val="00EA4CE6"/>
    <w:rsid w:val="00EA66E9"/>
    <w:rsid w:val="00EB5A10"/>
    <w:rsid w:val="00EC1140"/>
    <w:rsid w:val="00EC32DE"/>
    <w:rsid w:val="00EC3CE7"/>
    <w:rsid w:val="00EC4526"/>
    <w:rsid w:val="00EC4DAE"/>
    <w:rsid w:val="00EC5EF7"/>
    <w:rsid w:val="00EC7AB1"/>
    <w:rsid w:val="00ED0767"/>
    <w:rsid w:val="00ED4D4C"/>
    <w:rsid w:val="00ED6220"/>
    <w:rsid w:val="00EE500E"/>
    <w:rsid w:val="00EF09A9"/>
    <w:rsid w:val="00EF1004"/>
    <w:rsid w:val="00EF11BF"/>
    <w:rsid w:val="00EF2AA5"/>
    <w:rsid w:val="00EF44E1"/>
    <w:rsid w:val="00EF6D3D"/>
    <w:rsid w:val="00F02D2E"/>
    <w:rsid w:val="00F06826"/>
    <w:rsid w:val="00F153FB"/>
    <w:rsid w:val="00F20501"/>
    <w:rsid w:val="00F21571"/>
    <w:rsid w:val="00F242E9"/>
    <w:rsid w:val="00F25ED7"/>
    <w:rsid w:val="00F26AF5"/>
    <w:rsid w:val="00F30F4E"/>
    <w:rsid w:val="00F33DB2"/>
    <w:rsid w:val="00F362EF"/>
    <w:rsid w:val="00F366FD"/>
    <w:rsid w:val="00F412E7"/>
    <w:rsid w:val="00F44478"/>
    <w:rsid w:val="00F476D0"/>
    <w:rsid w:val="00F507EF"/>
    <w:rsid w:val="00F50E22"/>
    <w:rsid w:val="00F52B0B"/>
    <w:rsid w:val="00F5738F"/>
    <w:rsid w:val="00F5775D"/>
    <w:rsid w:val="00F6240B"/>
    <w:rsid w:val="00F63637"/>
    <w:rsid w:val="00F63CB9"/>
    <w:rsid w:val="00F648D4"/>
    <w:rsid w:val="00F65D99"/>
    <w:rsid w:val="00F71EEB"/>
    <w:rsid w:val="00F74130"/>
    <w:rsid w:val="00F83218"/>
    <w:rsid w:val="00F839A6"/>
    <w:rsid w:val="00F95852"/>
    <w:rsid w:val="00F96254"/>
    <w:rsid w:val="00FA30E6"/>
    <w:rsid w:val="00FA3783"/>
    <w:rsid w:val="00FA3844"/>
    <w:rsid w:val="00FA3858"/>
    <w:rsid w:val="00FA46B0"/>
    <w:rsid w:val="00FA7D4B"/>
    <w:rsid w:val="00FB0A50"/>
    <w:rsid w:val="00FB2072"/>
    <w:rsid w:val="00FB3526"/>
    <w:rsid w:val="00FB4DD9"/>
    <w:rsid w:val="00FB6950"/>
    <w:rsid w:val="00FC2D20"/>
    <w:rsid w:val="00FC2EBA"/>
    <w:rsid w:val="00FD05EC"/>
    <w:rsid w:val="00FD0C71"/>
    <w:rsid w:val="00FD1234"/>
    <w:rsid w:val="00FD2E5F"/>
    <w:rsid w:val="00FE0132"/>
    <w:rsid w:val="00FE02AA"/>
    <w:rsid w:val="00FE0855"/>
    <w:rsid w:val="00FE5D5A"/>
    <w:rsid w:val="00FE7C71"/>
    <w:rsid w:val="00FF530E"/>
    <w:rsid w:val="00FF55D5"/>
    <w:rsid w:val="00FF64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3730679C-B8DC-4DDF-90FF-DA4BDCA2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b w:val="0"/>
      <w:bCs w:val="0"/>
      <w:i w:val="0"/>
      <w:iCs w:val="0"/>
      <w:smallCaps w:val="0"/>
      <w:strike w:val="0"/>
      <w:sz w:val="20"/>
      <w:szCs w:val="20"/>
      <w:u w:val="none"/>
    </w:rPr>
  </w:style>
  <w:style w:type="character" w:customStyle="1" w:styleId="Footnote11">
    <w:name w:val="Footnote|1"/>
    <w:basedOn w:val="Footnote1"/>
    <w:semiHidden/>
    <w:unhideWhenUsed/>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pl-PL" w:eastAsia="en-US" w:bidi="en-US"/>
    </w:rPr>
  </w:style>
  <w:style w:type="character" w:customStyle="1" w:styleId="Picturecaption1Exact">
    <w:name w:val="Picture caption|1 Exact"/>
    <w:basedOn w:val="DefaultParagraphFont"/>
    <w:link w:val="Picturecaption1"/>
    <w:rPr>
      <w:rFonts w:ascii="Arial" w:eastAsia="Arial" w:hAnsi="Arial" w:cs="Arial"/>
      <w:b w:val="0"/>
      <w:bCs w:val="0"/>
      <w:i w:val="0"/>
      <w:iCs w:val="0"/>
      <w:smallCaps w:val="0"/>
      <w:strike w:val="0"/>
      <w:sz w:val="22"/>
      <w:szCs w:val="22"/>
      <w:u w:val="none"/>
      <w:lang w:val="pl-PL" w:eastAsia="fi-FI" w:bidi="fi-FI"/>
    </w:rPr>
  </w:style>
  <w:style w:type="character" w:customStyle="1" w:styleId="Heading11Exact">
    <w:name w:val="Heading #1|1 Exact"/>
    <w:basedOn w:val="DefaultParagraphFont"/>
    <w:link w:val="Heading11"/>
    <w:rPr>
      <w:rFonts w:ascii="Arial" w:eastAsia="Arial" w:hAnsi="Arial" w:cs="Arial"/>
      <w:b/>
      <w:bCs/>
      <w:i w:val="0"/>
      <w:iCs w:val="0"/>
      <w:smallCaps w:val="0"/>
      <w:strike w:val="0"/>
      <w:sz w:val="46"/>
      <w:szCs w:val="46"/>
      <w:u w:val="none"/>
      <w:lang w:val="pl-PL" w:eastAsia="fr-FR" w:bidi="fr-FR"/>
    </w:rPr>
  </w:style>
  <w:style w:type="character" w:customStyle="1" w:styleId="Bodytext2">
    <w:name w:val="Body text|2_"/>
    <w:basedOn w:val="DefaultParagraphFont"/>
    <w:link w:val="Bodytext20"/>
    <w:rPr>
      <w:b w:val="0"/>
      <w:bCs w:val="0"/>
      <w:i w:val="0"/>
      <w:iCs w:val="0"/>
      <w:smallCaps w:val="0"/>
      <w:strike w:val="0"/>
      <w:u w:val="none"/>
    </w:rPr>
  </w:style>
  <w:style w:type="character" w:customStyle="1" w:styleId="Bodytext3">
    <w:name w:val="Body text|3_"/>
    <w:basedOn w:val="DefaultParagraphFont"/>
    <w:link w:val="Bodytext30"/>
    <w:rPr>
      <w:b/>
      <w:bCs/>
      <w:i w:val="0"/>
      <w:iCs w:val="0"/>
      <w:smallCaps w:val="0"/>
      <w:strike w:val="0"/>
      <w:sz w:val="22"/>
      <w:szCs w:val="22"/>
      <w:u w:val="none"/>
    </w:rPr>
  </w:style>
  <w:style w:type="character" w:customStyle="1" w:styleId="Heading31">
    <w:name w:val="Heading #3|1_"/>
    <w:basedOn w:val="DefaultParagraphFont"/>
    <w:link w:val="Heading310"/>
    <w:rPr>
      <w:b/>
      <w:bCs/>
      <w:i w:val="0"/>
      <w:iCs w:val="0"/>
      <w:smallCaps w:val="0"/>
      <w:strike w:val="0"/>
      <w:sz w:val="22"/>
      <w:szCs w:val="22"/>
      <w:u w:val="none"/>
    </w:rPr>
  </w:style>
  <w:style w:type="character" w:customStyle="1" w:styleId="Headerorfooter1">
    <w:name w:val="Header or footer|1_"/>
    <w:basedOn w:val="DefaultParagraphFont"/>
    <w:link w:val="Headerorfooter10"/>
    <w:rPr>
      <w:rFonts w:ascii="Verdana" w:eastAsia="Verdana" w:hAnsi="Verdana" w:cs="Verdana"/>
      <w:b w:val="0"/>
      <w:bCs w:val="0"/>
      <w:i w:val="0"/>
      <w:iCs w:val="0"/>
      <w:smallCaps w:val="0"/>
      <w:strike w:val="0"/>
      <w:sz w:val="14"/>
      <w:szCs w:val="14"/>
      <w:u w:val="none"/>
    </w:rPr>
  </w:style>
  <w:style w:type="character" w:customStyle="1" w:styleId="Headerorfooter11">
    <w:name w:val="Header or footer|1"/>
    <w:basedOn w:val="Headerorfooter1"/>
    <w:semiHidden/>
    <w:unhideWhenUsed/>
    <w:rPr>
      <w:rFonts w:ascii="Verdana" w:eastAsia="Verdana" w:hAnsi="Verdana" w:cs="Verdana"/>
      <w:b w:val="0"/>
      <w:bCs w:val="0"/>
      <w:i w:val="0"/>
      <w:iCs w:val="0"/>
      <w:smallCaps w:val="0"/>
      <w:strike w:val="0"/>
      <w:color w:val="000000"/>
      <w:spacing w:val="0"/>
      <w:w w:val="100"/>
      <w:position w:val="0"/>
      <w:sz w:val="14"/>
      <w:szCs w:val="14"/>
      <w:u w:val="none"/>
      <w:lang w:val="pl-PL" w:eastAsia="en-US" w:bidi="en-US"/>
    </w:rPr>
  </w:style>
  <w:style w:type="character" w:customStyle="1" w:styleId="Headerorfooter1TimesNewRoman11pt">
    <w:name w:val="Header or footer|1 + Times New Roman;11 pt"/>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fr-FR" w:bidi="fr-FR"/>
    </w:rPr>
  </w:style>
  <w:style w:type="character" w:customStyle="1" w:styleId="TOC2Char">
    <w:name w:val="TOC 2 Char"/>
    <w:basedOn w:val="DefaultParagraphFont"/>
    <w:link w:val="TOC2"/>
    <w:rPr>
      <w:b w:val="0"/>
      <w:bCs w:val="0"/>
      <w:i w:val="0"/>
      <w:iCs w:val="0"/>
      <w:smallCaps w:val="0"/>
      <w:strike w:val="0"/>
      <w:u w:val="none"/>
    </w:rPr>
  </w:style>
  <w:style w:type="character" w:customStyle="1" w:styleId="Heading21">
    <w:name w:val="Heading #2|1_"/>
    <w:basedOn w:val="DefaultParagraphFont"/>
    <w:link w:val="Heading210"/>
    <w:rPr>
      <w:b/>
      <w:bCs/>
      <w:i w:val="0"/>
      <w:iCs w:val="0"/>
      <w:smallCaps w:val="0"/>
      <w:strike w:val="0"/>
      <w:sz w:val="32"/>
      <w:szCs w:val="32"/>
      <w:u w:val="none"/>
    </w:rPr>
  </w:style>
  <w:style w:type="character" w:customStyle="1" w:styleId="Heading211">
    <w:name w:val="Heading #2|1"/>
    <w:basedOn w:val="Heading21"/>
    <w:semiHidden/>
    <w:unhideWhenUsed/>
    <w:rPr>
      <w:rFonts w:ascii="Times New Roman" w:eastAsia="Times New Roman" w:hAnsi="Times New Roman" w:cs="Times New Roman"/>
      <w:b/>
      <w:bCs/>
      <w:i w:val="0"/>
      <w:iCs w:val="0"/>
      <w:smallCaps w:val="0"/>
      <w:strike w:val="0"/>
      <w:color w:val="4F81BD"/>
      <w:spacing w:val="0"/>
      <w:w w:val="100"/>
      <w:position w:val="0"/>
      <w:sz w:val="32"/>
      <w:szCs w:val="32"/>
      <w:u w:val="single"/>
      <w:lang w:val="pl-PL" w:eastAsia="en-US" w:bidi="en-US"/>
    </w:rPr>
  </w:style>
  <w:style w:type="character" w:customStyle="1" w:styleId="Heading21SmallCaps">
    <w:name w:val="Heading #2|1 + Small Caps"/>
    <w:basedOn w:val="Heading21"/>
    <w:semiHidden/>
    <w:unhideWhenUsed/>
    <w:rPr>
      <w:rFonts w:ascii="Times New Roman" w:eastAsia="Times New Roman" w:hAnsi="Times New Roman" w:cs="Times New Roman"/>
      <w:b/>
      <w:bCs/>
      <w:i w:val="0"/>
      <w:iCs w:val="0"/>
      <w:smallCaps/>
      <w:strike w:val="0"/>
      <w:color w:val="4F81BD"/>
      <w:spacing w:val="0"/>
      <w:w w:val="100"/>
      <w:position w:val="0"/>
      <w:sz w:val="32"/>
      <w:szCs w:val="32"/>
      <w:u w:val="single"/>
      <w:lang w:val="pl-PL" w:eastAsia="en-US" w:bidi="en-US"/>
    </w:rPr>
  </w:style>
  <w:style w:type="character" w:customStyle="1" w:styleId="Bodytext4">
    <w:name w:val="Body text|4_"/>
    <w:basedOn w:val="DefaultParagraphFont"/>
    <w:link w:val="Bodytext40"/>
    <w:rPr>
      <w:b/>
      <w:bCs/>
      <w:i w:val="0"/>
      <w:iCs w:val="0"/>
      <w:smallCaps w:val="0"/>
      <w:strike w:val="0"/>
      <w:sz w:val="32"/>
      <w:szCs w:val="32"/>
      <w:u w:val="none"/>
    </w:rPr>
  </w:style>
  <w:style w:type="character" w:customStyle="1" w:styleId="Bodytext41">
    <w:name w:val="Body text|4"/>
    <w:basedOn w:val="Bodytext4"/>
    <w:semiHidden/>
    <w:unhideWhenUsed/>
    <w:rPr>
      <w:rFonts w:ascii="Times New Roman" w:eastAsia="Times New Roman" w:hAnsi="Times New Roman" w:cs="Times New Roman"/>
      <w:b/>
      <w:bCs/>
      <w:i w:val="0"/>
      <w:iCs w:val="0"/>
      <w:smallCaps w:val="0"/>
      <w:strike w:val="0"/>
      <w:color w:val="4F81BD"/>
      <w:spacing w:val="0"/>
      <w:w w:val="100"/>
      <w:position w:val="0"/>
      <w:sz w:val="32"/>
      <w:szCs w:val="32"/>
      <w:u w:val="single"/>
      <w:lang w:val="pl-PL" w:eastAsia="en-US" w:bidi="en-US"/>
    </w:rPr>
  </w:style>
  <w:style w:type="character" w:customStyle="1" w:styleId="Heading311">
    <w:name w:val="Heading #3|1"/>
    <w:basedOn w:val="Heading31"/>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en-US" w:bidi="en-US"/>
    </w:rPr>
  </w:style>
  <w:style w:type="character" w:customStyle="1" w:styleId="Bodytext5">
    <w:name w:val="Body text|5_"/>
    <w:basedOn w:val="DefaultParagraphFont"/>
    <w:link w:val="Bodytext50"/>
    <w:rPr>
      <w:b w:val="0"/>
      <w:bCs w:val="0"/>
      <w:i w:val="0"/>
      <w:iCs w:val="0"/>
      <w:smallCaps w:val="0"/>
      <w:strike w:val="0"/>
      <w:sz w:val="20"/>
      <w:szCs w:val="20"/>
      <w:u w:val="none"/>
    </w:rPr>
  </w:style>
  <w:style w:type="character" w:customStyle="1" w:styleId="Bodytext51">
    <w:name w:val="Body text|5"/>
    <w:basedOn w:val="Bodytext5"/>
    <w:semiHidden/>
    <w:unhideWhenUsed/>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pl-PL" w:eastAsia="en-US" w:bidi="en-US"/>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en-US" w:bidi="en-US"/>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en-US" w:bidi="en-US"/>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0000FF"/>
      <w:spacing w:val="0"/>
      <w:w w:val="100"/>
      <w:position w:val="0"/>
      <w:sz w:val="24"/>
      <w:szCs w:val="24"/>
      <w:u w:val="none"/>
      <w:lang w:val="pl-PL" w:eastAsia="en-US" w:bidi="en-US"/>
    </w:rPr>
  </w:style>
  <w:style w:type="character" w:customStyle="1" w:styleId="Bodytext23">
    <w:name w:val="Body text|2"/>
    <w:basedOn w:val="Bodytext2"/>
    <w:semiHidden/>
    <w:unhideWhenUsed/>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pl-PL" w:eastAsia="en-US" w:bidi="en-US"/>
    </w:rPr>
  </w:style>
  <w:style w:type="character" w:customStyle="1" w:styleId="Tablecaption1">
    <w:name w:val="Table caption|1_"/>
    <w:basedOn w:val="DefaultParagraphFont"/>
    <w:link w:val="Tablecaption10"/>
    <w:rPr>
      <w:b w:val="0"/>
      <w:bCs w:val="0"/>
      <w:i/>
      <w:iCs/>
      <w:smallCaps w:val="0"/>
      <w:strike w:val="0"/>
      <w:sz w:val="22"/>
      <w:szCs w:val="22"/>
      <w:u w:val="none"/>
    </w:rPr>
  </w:style>
  <w:style w:type="character" w:customStyle="1" w:styleId="Bodytext216ptBoldSmallCaps">
    <w:name w:val="Body text|2 + 16 pt;Bold;Small Caps"/>
    <w:basedOn w:val="Bodytext2"/>
    <w:semiHidden/>
    <w:unhideWhenUsed/>
    <w:rPr>
      <w:rFonts w:ascii="Times New Roman" w:eastAsia="Times New Roman" w:hAnsi="Times New Roman" w:cs="Times New Roman"/>
      <w:b/>
      <w:bCs/>
      <w:i w:val="0"/>
      <w:iCs w:val="0"/>
      <w:smallCaps/>
      <w:strike w:val="0"/>
      <w:color w:val="000000"/>
      <w:spacing w:val="0"/>
      <w:w w:val="100"/>
      <w:position w:val="0"/>
      <w:sz w:val="32"/>
      <w:szCs w:val="32"/>
      <w:u w:val="none"/>
      <w:lang w:val="pl-PL" w:eastAsia="en-US" w:bidi="en-US"/>
    </w:rPr>
  </w:style>
  <w:style w:type="character" w:customStyle="1" w:styleId="Bodytext216ptBold">
    <w:name w:val="Body text|2 + 16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en-US" w:bidi="en-US"/>
    </w:rPr>
  </w:style>
  <w:style w:type="character" w:customStyle="1" w:styleId="Bodytext211ptItalic">
    <w:name w:val="Body text|2 + 11 pt;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en-US" w:bidi="en-US"/>
    </w:rPr>
  </w:style>
  <w:style w:type="character" w:customStyle="1" w:styleId="Bodytext211ptBold">
    <w:name w:val="Body text|2 + 11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en-US" w:bidi="en-US"/>
    </w:rPr>
  </w:style>
  <w:style w:type="character" w:customStyle="1" w:styleId="Bodytext211pt">
    <w:name w:val="Body text|2 + 11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en-US" w:bidi="en-US"/>
    </w:rPr>
  </w:style>
  <w:style w:type="character" w:customStyle="1" w:styleId="Bodytext211ptBoldSmallCaps">
    <w:name w:val="Body text|2 + 11 pt;Bold;Small Caps"/>
    <w:basedOn w:val="Bodytext2"/>
    <w:semiHidden/>
    <w:unhideWhenUsed/>
    <w:rPr>
      <w:rFonts w:ascii="Times New Roman" w:eastAsia="Times New Roman" w:hAnsi="Times New Roman" w:cs="Times New Roman"/>
      <w:b/>
      <w:bCs/>
      <w:i w:val="0"/>
      <w:iCs w:val="0"/>
      <w:smallCaps/>
      <w:strike w:val="0"/>
      <w:color w:val="000000"/>
      <w:spacing w:val="0"/>
      <w:w w:val="100"/>
      <w:position w:val="0"/>
      <w:sz w:val="22"/>
      <w:szCs w:val="22"/>
      <w:u w:val="none"/>
      <w:lang w:val="pl-PL" w:eastAsia="en-US" w:bidi="en-US"/>
    </w:rPr>
  </w:style>
  <w:style w:type="character" w:customStyle="1" w:styleId="Bodytext211ptBold0">
    <w:name w:val="Body text|2 + 11 pt;Bold"/>
    <w:basedOn w:val="Bodytext2"/>
    <w:semiHidden/>
    <w:unhideWhenUsed/>
    <w:rPr>
      <w:rFonts w:ascii="Times New Roman" w:eastAsia="Times New Roman" w:hAnsi="Times New Roman" w:cs="Times New Roman"/>
      <w:b/>
      <w:bCs/>
      <w:i w:val="0"/>
      <w:iCs w:val="0"/>
      <w:smallCaps w:val="0"/>
      <w:strike w:val="0"/>
      <w:color w:val="FFFFFF"/>
      <w:spacing w:val="0"/>
      <w:w w:val="100"/>
      <w:position w:val="0"/>
      <w:sz w:val="22"/>
      <w:szCs w:val="22"/>
      <w:u w:val="none"/>
      <w:lang w:val="pl-PL" w:eastAsia="en-US" w:bidi="en-US"/>
    </w:rPr>
  </w:style>
  <w:style w:type="character" w:customStyle="1" w:styleId="Bodytext210pt">
    <w:name w:val="Body text|2 + 10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en-US" w:bidi="en-US"/>
    </w:rPr>
  </w:style>
  <w:style w:type="paragraph" w:customStyle="1" w:styleId="Footnote10">
    <w:name w:val="Footnote|1"/>
    <w:basedOn w:val="Normal"/>
    <w:link w:val="Footnote1"/>
    <w:qFormat/>
    <w:pPr>
      <w:shd w:val="clear" w:color="auto" w:fill="FFFFFF"/>
      <w:spacing w:line="222" w:lineRule="exact"/>
      <w:jc w:val="both"/>
    </w:pPr>
    <w:rPr>
      <w:sz w:val="20"/>
      <w:szCs w:val="20"/>
    </w:rPr>
  </w:style>
  <w:style w:type="paragraph" w:customStyle="1" w:styleId="Picturecaption1">
    <w:name w:val="Picture caption|1"/>
    <w:basedOn w:val="Normal"/>
    <w:link w:val="Picturecaption1Exact"/>
    <w:qFormat/>
    <w:pPr>
      <w:shd w:val="clear" w:color="auto" w:fill="FFFFFF"/>
      <w:spacing w:line="246" w:lineRule="exact"/>
    </w:pPr>
    <w:rPr>
      <w:rFonts w:ascii="Arial" w:eastAsia="Arial" w:hAnsi="Arial" w:cs="Arial"/>
      <w:sz w:val="22"/>
      <w:szCs w:val="22"/>
      <w:lang w:eastAsia="fi-FI" w:bidi="fi-FI"/>
    </w:rPr>
  </w:style>
  <w:style w:type="paragraph" w:customStyle="1" w:styleId="Heading11">
    <w:name w:val="Heading #1|1"/>
    <w:basedOn w:val="Normal"/>
    <w:link w:val="Heading11Exact"/>
    <w:qFormat/>
    <w:pPr>
      <w:shd w:val="clear" w:color="auto" w:fill="FFFFFF"/>
      <w:spacing w:line="514" w:lineRule="exact"/>
      <w:outlineLvl w:val="0"/>
    </w:pPr>
    <w:rPr>
      <w:rFonts w:ascii="Arial" w:eastAsia="Arial" w:hAnsi="Arial" w:cs="Arial"/>
      <w:b/>
      <w:bCs/>
      <w:sz w:val="46"/>
      <w:szCs w:val="46"/>
      <w:lang w:eastAsia="fr-FR" w:bidi="fr-FR"/>
    </w:rPr>
  </w:style>
  <w:style w:type="paragraph" w:customStyle="1" w:styleId="Bodytext20">
    <w:name w:val="Body text|2"/>
    <w:basedOn w:val="Normal"/>
    <w:link w:val="Bodytext2"/>
    <w:qFormat/>
    <w:pPr>
      <w:shd w:val="clear" w:color="auto" w:fill="FFFFFF"/>
      <w:spacing w:after="1440" w:line="269" w:lineRule="exact"/>
      <w:ind w:hanging="360"/>
    </w:pPr>
  </w:style>
  <w:style w:type="paragraph" w:customStyle="1" w:styleId="Bodytext30">
    <w:name w:val="Body text|3"/>
    <w:basedOn w:val="Normal"/>
    <w:link w:val="Bodytext3"/>
    <w:pPr>
      <w:shd w:val="clear" w:color="auto" w:fill="FFFFFF"/>
      <w:spacing w:before="1440" w:line="244" w:lineRule="exact"/>
    </w:pPr>
    <w:rPr>
      <w:b/>
      <w:bCs/>
      <w:sz w:val="22"/>
      <w:szCs w:val="22"/>
    </w:rPr>
  </w:style>
  <w:style w:type="paragraph" w:customStyle="1" w:styleId="Heading310">
    <w:name w:val="Heading #3|1"/>
    <w:basedOn w:val="Normal"/>
    <w:link w:val="Heading31"/>
    <w:qFormat/>
    <w:pPr>
      <w:shd w:val="clear" w:color="auto" w:fill="FFFFFF"/>
      <w:spacing w:after="440" w:line="244" w:lineRule="exact"/>
      <w:ind w:hanging="260"/>
      <w:jc w:val="center"/>
      <w:outlineLvl w:val="2"/>
    </w:pPr>
    <w:rPr>
      <w:b/>
      <w:bCs/>
      <w:sz w:val="22"/>
      <w:szCs w:val="22"/>
    </w:rPr>
  </w:style>
  <w:style w:type="paragraph" w:customStyle="1" w:styleId="Headerorfooter10">
    <w:name w:val="Header or footer|1"/>
    <w:basedOn w:val="Normal"/>
    <w:link w:val="Headerorfooter1"/>
    <w:qFormat/>
    <w:pPr>
      <w:shd w:val="clear" w:color="auto" w:fill="FFFFFF"/>
      <w:spacing w:line="170" w:lineRule="exact"/>
    </w:pPr>
    <w:rPr>
      <w:rFonts w:ascii="Verdana" w:eastAsia="Verdana" w:hAnsi="Verdana" w:cs="Verdana"/>
      <w:sz w:val="14"/>
      <w:szCs w:val="14"/>
    </w:rPr>
  </w:style>
  <w:style w:type="paragraph" w:styleId="TOC2">
    <w:name w:val="toc 2"/>
    <w:basedOn w:val="Normal"/>
    <w:link w:val="TOC2Char"/>
    <w:autoRedefine/>
    <w:uiPriority w:val="39"/>
    <w:qFormat/>
    <w:pPr>
      <w:shd w:val="clear" w:color="auto" w:fill="FFFFFF"/>
      <w:spacing w:before="440" w:after="120" w:line="266" w:lineRule="exact"/>
      <w:jc w:val="both"/>
    </w:pPr>
  </w:style>
  <w:style w:type="paragraph" w:customStyle="1" w:styleId="Heading210">
    <w:name w:val="Heading #2|1"/>
    <w:basedOn w:val="Normal"/>
    <w:link w:val="Heading21"/>
    <w:qFormat/>
    <w:pPr>
      <w:shd w:val="clear" w:color="auto" w:fill="FFFFFF"/>
      <w:spacing w:after="300" w:line="354" w:lineRule="exact"/>
      <w:jc w:val="center"/>
      <w:outlineLvl w:val="1"/>
    </w:pPr>
    <w:rPr>
      <w:b/>
      <w:bCs/>
      <w:sz w:val="32"/>
      <w:szCs w:val="32"/>
    </w:rPr>
  </w:style>
  <w:style w:type="paragraph" w:customStyle="1" w:styleId="Bodytext40">
    <w:name w:val="Body text|4"/>
    <w:basedOn w:val="Normal"/>
    <w:link w:val="Bodytext4"/>
    <w:pPr>
      <w:shd w:val="clear" w:color="auto" w:fill="FFFFFF"/>
      <w:spacing w:after="300" w:line="354" w:lineRule="exact"/>
    </w:pPr>
    <w:rPr>
      <w:b/>
      <w:bCs/>
      <w:sz w:val="32"/>
      <w:szCs w:val="32"/>
    </w:rPr>
  </w:style>
  <w:style w:type="paragraph" w:customStyle="1" w:styleId="Bodytext50">
    <w:name w:val="Body text|5"/>
    <w:basedOn w:val="Normal"/>
    <w:link w:val="Bodytext5"/>
    <w:pPr>
      <w:shd w:val="clear" w:color="auto" w:fill="FFFFFF"/>
      <w:spacing w:before="260" w:line="222" w:lineRule="exact"/>
      <w:jc w:val="both"/>
    </w:pPr>
    <w:rPr>
      <w:sz w:val="20"/>
      <w:szCs w:val="20"/>
    </w:rPr>
  </w:style>
  <w:style w:type="paragraph" w:customStyle="1" w:styleId="Tablecaption10">
    <w:name w:val="Table caption|1"/>
    <w:basedOn w:val="Normal"/>
    <w:link w:val="Tablecaption1"/>
    <w:qFormat/>
    <w:pPr>
      <w:shd w:val="clear" w:color="auto" w:fill="FFFFFF"/>
      <w:spacing w:line="244" w:lineRule="exact"/>
    </w:pPr>
    <w:rPr>
      <w:i/>
      <w:iCs/>
      <w:sz w:val="22"/>
      <w:szCs w:val="22"/>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 Char1 Char Char Char Char Char"/>
    <w:basedOn w:val="Normal"/>
    <w:link w:val="FootnoteTextChar1"/>
    <w:qFormat/>
    <w:rsid w:val="00276891"/>
    <w:pPr>
      <w:autoSpaceDE w:val="0"/>
      <w:autoSpaceDN w:val="0"/>
      <w:adjustRightInd w:val="0"/>
      <w:spacing w:after="120"/>
      <w:ind w:left="284" w:hanging="284"/>
      <w:jc w:val="both"/>
    </w:pPr>
    <w:rPr>
      <w:rFonts w:ascii="Verdana" w:hAnsi="Verdana"/>
      <w:color w:val="auto"/>
      <w:sz w:val="20"/>
      <w:szCs w:val="20"/>
      <w:lang w:eastAsia="en-GB" w:bidi="ar-SA"/>
    </w:rPr>
  </w:style>
  <w:style w:type="character" w:customStyle="1" w:styleId="FootnoteTextChar">
    <w:name w:val="Footnote Text Char"/>
    <w:basedOn w:val="DefaultParagraphFont"/>
    <w:uiPriority w:val="99"/>
    <w:semiHidden/>
    <w:rsid w:val="00276891"/>
    <w:rPr>
      <w:color w:val="000000"/>
      <w:sz w:val="20"/>
      <w:szCs w:val="20"/>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1 Char Char1,Footnote Text Char Char Char1 Char Char1"/>
    <w:link w:val="FootnoteText"/>
    <w:locked/>
    <w:rsid w:val="00276891"/>
    <w:rPr>
      <w:rFonts w:ascii="Verdana" w:hAnsi="Verdana"/>
      <w:sz w:val="20"/>
      <w:szCs w:val="20"/>
      <w:lang w:val="pl-PL" w:eastAsia="en-GB" w:bidi="ar-SA"/>
    </w:rPr>
  </w:style>
  <w:style w:type="character" w:styleId="Hyperlink">
    <w:name w:val="Hyperlink"/>
    <w:uiPriority w:val="99"/>
    <w:rsid w:val="00276891"/>
    <w:rPr>
      <w:color w:val="0000FF"/>
      <w:u w:val="single"/>
    </w:rPr>
  </w:style>
  <w:style w:type="character" w:customStyle="1" w:styleId="FootnoteTextCharChar">
    <w:name w:val="Footnote Text Char Char"/>
    <w:aliases w:val="Footnote Text Char1 Char Char,Footnote Text Char Char Char Char,Footnote Text Char1 Char Char Char Char,Footnote Text Char Char Char Char Char Char,Footnote Text Char1 Char1 Char Char,Footnote Text Char Char Char1 Char Char"/>
    <w:rsid w:val="00276891"/>
    <w:rPr>
      <w:lang w:val="pl-PL" w:eastAsia="ko-KR" w:bidi="ar-SA"/>
    </w:rPr>
  </w:style>
  <w:style w:type="character" w:styleId="FootnoteReference">
    <w:name w:val="footnote reference"/>
    <w:aliases w:val="Footnote symbol,Footnote reference number,Footnote,Times 10 Point,Exposant 3 Point,Ref,de nota al pie,note TESI,SUPERS,EN Footnote Reference,EN Footnote text,-E Fußnotenzeichen, BVI fnr,Footnote number,Footnote Reference Number,BVI f"/>
    <w:link w:val="Nota"/>
    <w:qFormat/>
    <w:rsid w:val="00276891"/>
    <w:rPr>
      <w:vertAlign w:val="superscript"/>
    </w:rPr>
  </w:style>
  <w:style w:type="paragraph" w:customStyle="1" w:styleId="AARText">
    <w:name w:val="AAR Text"/>
    <w:basedOn w:val="Normal"/>
    <w:link w:val="AARTextChar"/>
    <w:qFormat/>
    <w:rsid w:val="00276891"/>
    <w:pPr>
      <w:autoSpaceDE w:val="0"/>
      <w:autoSpaceDN w:val="0"/>
      <w:adjustRightInd w:val="0"/>
      <w:spacing w:after="240"/>
      <w:jc w:val="both"/>
    </w:pPr>
    <w:rPr>
      <w:rFonts w:ascii="Verdana" w:hAnsi="Verdana"/>
      <w:color w:val="auto"/>
      <w:sz w:val="20"/>
      <w:lang w:eastAsia="en-GB" w:bidi="ar-SA"/>
    </w:rPr>
  </w:style>
  <w:style w:type="character" w:customStyle="1" w:styleId="AARTextChar">
    <w:name w:val="AAR Text Char"/>
    <w:link w:val="AARText"/>
    <w:rsid w:val="00276891"/>
    <w:rPr>
      <w:rFonts w:ascii="Verdana" w:hAnsi="Verdana"/>
      <w:sz w:val="20"/>
      <w:lang w:val="pl-PL" w:eastAsia="en-GB" w:bidi="ar-SA"/>
    </w:rPr>
  </w:style>
  <w:style w:type="paragraph" w:customStyle="1" w:styleId="Nota">
    <w:name w:val="Nota"/>
    <w:aliases w:val=" Char1,Char1,(NECG) Footnote Reference,fr,Appel note de bas de p,o,Style 6,Signature Ch"/>
    <w:basedOn w:val="Normal"/>
    <w:link w:val="FootnoteReference"/>
    <w:rsid w:val="00276891"/>
    <w:pPr>
      <w:widowControl/>
      <w:spacing w:after="160" w:line="240" w:lineRule="exact"/>
    </w:pPr>
    <w:rPr>
      <w:color w:val="auto"/>
      <w:vertAlign w:val="superscript"/>
    </w:rPr>
  </w:style>
  <w:style w:type="paragraph" w:styleId="ListParagraph">
    <w:name w:val="List Paragraph"/>
    <w:basedOn w:val="Normal"/>
    <w:uiPriority w:val="34"/>
    <w:qFormat/>
    <w:rsid w:val="00276891"/>
    <w:pPr>
      <w:widowControl/>
      <w:ind w:left="1440" w:hanging="360"/>
    </w:pPr>
    <w:rPr>
      <w:rFonts w:ascii="Verdana" w:eastAsia="Calibri" w:hAnsi="Verdana" w:cs="Calibri"/>
      <w:b/>
      <w:i/>
      <w:color w:val="auto"/>
      <w:sz w:val="20"/>
      <w:szCs w:val="22"/>
      <w:lang w:bidi="ar-SA"/>
    </w:rPr>
  </w:style>
  <w:style w:type="table" w:styleId="TableGrid">
    <w:name w:val="Table Grid"/>
    <w:basedOn w:val="TableNormal"/>
    <w:uiPriority w:val="59"/>
    <w:rsid w:val="00276891"/>
    <w:pPr>
      <w:autoSpaceDE w:val="0"/>
      <w:autoSpaceDN w:val="0"/>
      <w:adjustRightInd w:val="0"/>
    </w:pPr>
    <w:rPr>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rsid w:val="009C2C7B"/>
    <w:pPr>
      <w:spacing w:after="100"/>
      <w:ind w:left="720"/>
    </w:pPr>
  </w:style>
  <w:style w:type="character" w:customStyle="1" w:styleId="m-7373738379908728024bumpedfont15">
    <w:name w:val="m_-7373738379908728024bumpedfont15"/>
    <w:rsid w:val="009C2C7B"/>
    <w:rPr>
      <w:lang w:val="pl-PL"/>
    </w:rPr>
  </w:style>
  <w:style w:type="paragraph" w:styleId="TOC1">
    <w:name w:val="toc 1"/>
    <w:basedOn w:val="Normal"/>
    <w:next w:val="Normal"/>
    <w:autoRedefine/>
    <w:uiPriority w:val="39"/>
    <w:unhideWhenUsed/>
    <w:rsid w:val="00CA6945"/>
    <w:pPr>
      <w:spacing w:after="100"/>
    </w:pPr>
  </w:style>
  <w:style w:type="paragraph" w:styleId="TOC3">
    <w:name w:val="toc 3"/>
    <w:basedOn w:val="Normal"/>
    <w:next w:val="Normal"/>
    <w:autoRedefine/>
    <w:uiPriority w:val="39"/>
    <w:unhideWhenUsed/>
    <w:rsid w:val="00CA6945"/>
    <w:pPr>
      <w:spacing w:after="100"/>
      <w:ind w:left="480"/>
    </w:pPr>
  </w:style>
  <w:style w:type="paragraph" w:styleId="Header">
    <w:name w:val="header"/>
    <w:basedOn w:val="Normal"/>
    <w:link w:val="HeaderChar"/>
    <w:uiPriority w:val="99"/>
    <w:unhideWhenUsed/>
    <w:rsid w:val="009F0860"/>
    <w:pPr>
      <w:tabs>
        <w:tab w:val="center" w:pos="4513"/>
        <w:tab w:val="right" w:pos="9026"/>
      </w:tabs>
    </w:pPr>
  </w:style>
  <w:style w:type="character" w:customStyle="1" w:styleId="HeaderChar">
    <w:name w:val="Header Char"/>
    <w:basedOn w:val="DefaultParagraphFont"/>
    <w:link w:val="Header"/>
    <w:uiPriority w:val="99"/>
    <w:rsid w:val="009F0860"/>
    <w:rPr>
      <w:color w:val="000000"/>
    </w:rPr>
  </w:style>
  <w:style w:type="paragraph" w:styleId="Footer">
    <w:name w:val="footer"/>
    <w:basedOn w:val="Normal"/>
    <w:link w:val="FooterChar"/>
    <w:uiPriority w:val="99"/>
    <w:unhideWhenUsed/>
    <w:rsid w:val="009F0860"/>
    <w:pPr>
      <w:tabs>
        <w:tab w:val="center" w:pos="4513"/>
        <w:tab w:val="right" w:pos="9026"/>
      </w:tabs>
    </w:pPr>
  </w:style>
  <w:style w:type="character" w:customStyle="1" w:styleId="FooterChar">
    <w:name w:val="Footer Char"/>
    <w:basedOn w:val="DefaultParagraphFont"/>
    <w:link w:val="Footer"/>
    <w:uiPriority w:val="99"/>
    <w:rsid w:val="009F0860"/>
    <w:rPr>
      <w:color w:val="000000"/>
    </w:rPr>
  </w:style>
  <w:style w:type="character" w:styleId="CommentReference">
    <w:name w:val="annotation reference"/>
    <w:basedOn w:val="DefaultParagraphFont"/>
    <w:uiPriority w:val="99"/>
    <w:unhideWhenUsed/>
    <w:rsid w:val="002B4BED"/>
    <w:rPr>
      <w:sz w:val="16"/>
      <w:szCs w:val="16"/>
    </w:rPr>
  </w:style>
  <w:style w:type="paragraph" w:styleId="CommentText">
    <w:name w:val="annotation text"/>
    <w:basedOn w:val="Normal"/>
    <w:link w:val="CommentTextChar"/>
    <w:uiPriority w:val="99"/>
    <w:semiHidden/>
    <w:unhideWhenUsed/>
    <w:rsid w:val="002B4BED"/>
    <w:rPr>
      <w:sz w:val="20"/>
      <w:szCs w:val="20"/>
    </w:rPr>
  </w:style>
  <w:style w:type="character" w:customStyle="1" w:styleId="CommentTextChar">
    <w:name w:val="Comment Text Char"/>
    <w:basedOn w:val="DefaultParagraphFont"/>
    <w:link w:val="CommentText"/>
    <w:uiPriority w:val="99"/>
    <w:semiHidden/>
    <w:rsid w:val="002B4BED"/>
    <w:rPr>
      <w:color w:val="000000"/>
      <w:sz w:val="20"/>
      <w:szCs w:val="20"/>
    </w:rPr>
  </w:style>
  <w:style w:type="paragraph" w:styleId="BalloonText">
    <w:name w:val="Balloon Text"/>
    <w:basedOn w:val="Normal"/>
    <w:link w:val="BalloonTextChar"/>
    <w:uiPriority w:val="99"/>
    <w:semiHidden/>
    <w:unhideWhenUsed/>
    <w:rsid w:val="002B4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BED"/>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336215"/>
    <w:rPr>
      <w:b/>
      <w:bCs/>
    </w:rPr>
  </w:style>
  <w:style w:type="character" w:customStyle="1" w:styleId="CommentSubjectChar">
    <w:name w:val="Comment Subject Char"/>
    <w:basedOn w:val="CommentTextChar"/>
    <w:link w:val="CommentSubject"/>
    <w:uiPriority w:val="99"/>
    <w:semiHidden/>
    <w:rsid w:val="00336215"/>
    <w:rPr>
      <w:b/>
      <w:bCs/>
      <w:color w:val="000000"/>
      <w:sz w:val="20"/>
      <w:szCs w:val="20"/>
    </w:rPr>
  </w:style>
  <w:style w:type="paragraph" w:customStyle="1" w:styleId="Text1">
    <w:name w:val="Text 1"/>
    <w:basedOn w:val="Normal"/>
    <w:link w:val="Text1Char"/>
    <w:rsid w:val="00336215"/>
    <w:pPr>
      <w:widowControl/>
      <w:spacing w:after="240"/>
      <w:ind w:left="482"/>
      <w:jc w:val="both"/>
    </w:pPr>
    <w:rPr>
      <w:color w:val="auto"/>
      <w:szCs w:val="20"/>
      <w:lang w:bidi="ar-SA"/>
    </w:rPr>
  </w:style>
  <w:style w:type="character" w:customStyle="1" w:styleId="Text1Char">
    <w:name w:val="Text 1 Char"/>
    <w:basedOn w:val="DefaultParagraphFont"/>
    <w:link w:val="Text1"/>
    <w:rsid w:val="00336215"/>
    <w:rPr>
      <w:szCs w:val="20"/>
      <w:lang w:val="pl-PL" w:bidi="ar-SA"/>
    </w:rPr>
  </w:style>
  <w:style w:type="character" w:customStyle="1" w:styleId="Marker">
    <w:name w:val="Marker"/>
    <w:basedOn w:val="DefaultParagraphFont"/>
    <w:rsid w:val="00F362EF"/>
    <w:rPr>
      <w:color w:val="0000FF"/>
      <w:shd w:val="clear" w:color="auto" w:fill="auto"/>
    </w:rPr>
  </w:style>
  <w:style w:type="paragraph" w:customStyle="1" w:styleId="Pagedecouverture">
    <w:name w:val="Page de couverture"/>
    <w:basedOn w:val="Normal"/>
    <w:next w:val="Normal"/>
    <w:rsid w:val="00F362EF"/>
    <w:pPr>
      <w:widowControl/>
      <w:jc w:val="both"/>
    </w:pPr>
    <w:rPr>
      <w:rFonts w:eastAsiaTheme="minorHAnsi"/>
      <w:color w:val="auto"/>
      <w:szCs w:val="22"/>
      <w:lang w:bidi="ar-SA"/>
    </w:rPr>
  </w:style>
  <w:style w:type="paragraph" w:customStyle="1" w:styleId="FooterCoverPage">
    <w:name w:val="Footer Cover Page"/>
    <w:basedOn w:val="Normal"/>
    <w:link w:val="FooterCoverPageChar"/>
    <w:rsid w:val="00F362EF"/>
    <w:pPr>
      <w:tabs>
        <w:tab w:val="center" w:pos="4535"/>
        <w:tab w:val="right" w:pos="9071"/>
        <w:tab w:val="right" w:pos="9921"/>
      </w:tabs>
      <w:spacing w:before="360"/>
      <w:ind w:left="-850" w:right="-850"/>
    </w:pPr>
  </w:style>
  <w:style w:type="character" w:customStyle="1" w:styleId="FooterCoverPageChar">
    <w:name w:val="Footer Cover Page Char"/>
    <w:basedOn w:val="TOC2Char"/>
    <w:link w:val="FooterCoverPage"/>
    <w:rsid w:val="00F362EF"/>
    <w:rPr>
      <w:b w:val="0"/>
      <w:bCs w:val="0"/>
      <w:i w:val="0"/>
      <w:iCs w:val="0"/>
      <w:smallCaps w:val="0"/>
      <w:strike w:val="0"/>
      <w:color w:val="000000"/>
      <w:u w:val="none"/>
    </w:rPr>
  </w:style>
  <w:style w:type="paragraph" w:customStyle="1" w:styleId="FooterSensitivity">
    <w:name w:val="Footer Sensitivity"/>
    <w:basedOn w:val="Normal"/>
    <w:link w:val="FooterSensitivityChar"/>
    <w:rsid w:val="00F362EF"/>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2Char"/>
    <w:link w:val="FooterSensitivity"/>
    <w:rsid w:val="00F362EF"/>
    <w:rPr>
      <w:b/>
      <w:bCs w:val="0"/>
      <w:i w:val="0"/>
      <w:iCs w:val="0"/>
      <w:smallCaps w:val="0"/>
      <w:strike w:val="0"/>
      <w:color w:val="000000"/>
      <w:sz w:val="32"/>
      <w:u w:val="none"/>
    </w:rPr>
  </w:style>
  <w:style w:type="paragraph" w:customStyle="1" w:styleId="HeaderCoverPage">
    <w:name w:val="Header Cover Page"/>
    <w:basedOn w:val="Normal"/>
    <w:link w:val="HeaderCoverPageChar"/>
    <w:rsid w:val="00F362EF"/>
    <w:pPr>
      <w:tabs>
        <w:tab w:val="center" w:pos="4535"/>
        <w:tab w:val="right" w:pos="9071"/>
      </w:tabs>
      <w:spacing w:after="120"/>
      <w:jc w:val="both"/>
    </w:pPr>
  </w:style>
  <w:style w:type="character" w:customStyle="1" w:styleId="HeaderCoverPageChar">
    <w:name w:val="Header Cover Page Char"/>
    <w:basedOn w:val="TOC2Char"/>
    <w:link w:val="HeaderCoverPage"/>
    <w:rsid w:val="00F362EF"/>
    <w:rPr>
      <w:b w:val="0"/>
      <w:bCs w:val="0"/>
      <w:i w:val="0"/>
      <w:iCs w:val="0"/>
      <w:smallCaps w:val="0"/>
      <w:strike w:val="0"/>
      <w:color w:val="000000"/>
      <w:u w:val="none"/>
    </w:rPr>
  </w:style>
  <w:style w:type="paragraph" w:customStyle="1" w:styleId="HeaderSensitivity">
    <w:name w:val="Header Sensitivity"/>
    <w:basedOn w:val="Normal"/>
    <w:link w:val="HeaderSensitivityChar"/>
    <w:rsid w:val="00F362EF"/>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2Char"/>
    <w:link w:val="HeaderSensitivity"/>
    <w:rsid w:val="00F362EF"/>
    <w:rPr>
      <w:b/>
      <w:bCs w:val="0"/>
      <w:i w:val="0"/>
      <w:iCs w:val="0"/>
      <w:smallCaps w:val="0"/>
      <w:strike w:val="0"/>
      <w:color w:val="000000"/>
      <w:sz w:val="32"/>
      <w:u w:val="none"/>
    </w:rPr>
  </w:style>
  <w:style w:type="paragraph" w:customStyle="1" w:styleId="HeaderSensitivityRight">
    <w:name w:val="Header Sensitivity Right"/>
    <w:basedOn w:val="Normal"/>
    <w:link w:val="HeaderSensitivityRightChar"/>
    <w:rsid w:val="00F362EF"/>
    <w:pPr>
      <w:spacing w:after="120"/>
      <w:jc w:val="right"/>
    </w:pPr>
    <w:rPr>
      <w:sz w:val="28"/>
    </w:rPr>
  </w:style>
  <w:style w:type="character" w:customStyle="1" w:styleId="HeaderSensitivityRightChar">
    <w:name w:val="Header Sensitivity Right Char"/>
    <w:basedOn w:val="TOC2Char"/>
    <w:link w:val="HeaderSensitivityRight"/>
    <w:rsid w:val="00F362EF"/>
    <w:rPr>
      <w:b w:val="0"/>
      <w:bCs w:val="0"/>
      <w:i w:val="0"/>
      <w:iCs w:val="0"/>
      <w:smallCaps w:val="0"/>
      <w:strike w:val="0"/>
      <w:color w:val="000000"/>
      <w:sz w:val="28"/>
      <w:u w:val="none"/>
    </w:rPr>
  </w:style>
  <w:style w:type="paragraph" w:styleId="NormalWeb">
    <w:name w:val="Normal (Web)"/>
    <w:basedOn w:val="Normal"/>
    <w:uiPriority w:val="99"/>
    <w:unhideWhenUsed/>
    <w:rsid w:val="00F648D4"/>
    <w:pPr>
      <w:widowControl/>
      <w:spacing w:before="100" w:beforeAutospacing="1" w:after="100" w:afterAutospacing="1"/>
    </w:pPr>
    <w:rPr>
      <w:color w:val="auto"/>
      <w:lang w:eastAsia="fr-BE" w:bidi="ar-SA"/>
    </w:rPr>
  </w:style>
  <w:style w:type="paragraph" w:styleId="Revision">
    <w:name w:val="Revision"/>
    <w:hidden/>
    <w:uiPriority w:val="99"/>
    <w:semiHidden/>
    <w:rsid w:val="00443498"/>
    <w:pPr>
      <w:widowControl/>
    </w:pPr>
    <w:rPr>
      <w:color w:val="000000"/>
    </w:rPr>
  </w:style>
  <w:style w:type="character" w:styleId="FollowedHyperlink">
    <w:name w:val="FollowedHyperlink"/>
    <w:basedOn w:val="DefaultParagraphFont"/>
    <w:uiPriority w:val="99"/>
    <w:semiHidden/>
    <w:unhideWhenUsed/>
    <w:rsid w:val="003057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912456">
      <w:bodyDiv w:val="1"/>
      <w:marLeft w:val="0"/>
      <w:marRight w:val="0"/>
      <w:marTop w:val="0"/>
      <w:marBottom w:val="0"/>
      <w:divBdr>
        <w:top w:val="none" w:sz="0" w:space="0" w:color="auto"/>
        <w:left w:val="none" w:sz="0" w:space="0" w:color="auto"/>
        <w:bottom w:val="none" w:sz="0" w:space="0" w:color="auto"/>
        <w:right w:val="none" w:sz="0" w:space="0" w:color="auto"/>
      </w:divBdr>
    </w:div>
    <w:div w:id="561988505">
      <w:bodyDiv w:val="1"/>
      <w:marLeft w:val="0"/>
      <w:marRight w:val="0"/>
      <w:marTop w:val="0"/>
      <w:marBottom w:val="0"/>
      <w:divBdr>
        <w:top w:val="none" w:sz="0" w:space="0" w:color="auto"/>
        <w:left w:val="none" w:sz="0" w:space="0" w:color="auto"/>
        <w:bottom w:val="none" w:sz="0" w:space="0" w:color="auto"/>
        <w:right w:val="none" w:sz="0" w:space="0" w:color="auto"/>
      </w:divBdr>
      <w:divsChild>
        <w:div w:id="798570704">
          <w:marLeft w:val="0"/>
          <w:marRight w:val="0"/>
          <w:marTop w:val="0"/>
          <w:marBottom w:val="0"/>
          <w:divBdr>
            <w:top w:val="none" w:sz="0" w:space="0" w:color="auto"/>
            <w:left w:val="none" w:sz="0" w:space="0" w:color="auto"/>
            <w:bottom w:val="none" w:sz="0" w:space="0" w:color="auto"/>
            <w:right w:val="none" w:sz="0" w:space="0" w:color="auto"/>
          </w:divBdr>
          <w:divsChild>
            <w:div w:id="1714498467">
              <w:marLeft w:val="0"/>
              <w:marRight w:val="0"/>
              <w:marTop w:val="0"/>
              <w:marBottom w:val="0"/>
              <w:divBdr>
                <w:top w:val="none" w:sz="0" w:space="0" w:color="auto"/>
                <w:left w:val="none" w:sz="0" w:space="0" w:color="auto"/>
                <w:bottom w:val="none" w:sz="0" w:space="0" w:color="auto"/>
                <w:right w:val="none" w:sz="0" w:space="0" w:color="auto"/>
              </w:divBdr>
            </w:div>
            <w:div w:id="1816601597">
              <w:marLeft w:val="0"/>
              <w:marRight w:val="0"/>
              <w:marTop w:val="0"/>
              <w:marBottom w:val="0"/>
              <w:divBdr>
                <w:top w:val="none" w:sz="0" w:space="0" w:color="auto"/>
                <w:left w:val="none" w:sz="0" w:space="0" w:color="auto"/>
                <w:bottom w:val="none" w:sz="0" w:space="0" w:color="auto"/>
                <w:right w:val="none" w:sz="0" w:space="0" w:color="auto"/>
              </w:divBdr>
              <w:divsChild>
                <w:div w:id="1621843180">
                  <w:marLeft w:val="0"/>
                  <w:marRight w:val="0"/>
                  <w:marTop w:val="0"/>
                  <w:marBottom w:val="0"/>
                  <w:divBdr>
                    <w:top w:val="none" w:sz="0" w:space="0" w:color="auto"/>
                    <w:left w:val="none" w:sz="0" w:space="0" w:color="auto"/>
                    <w:bottom w:val="none" w:sz="0" w:space="0" w:color="auto"/>
                    <w:right w:val="none" w:sz="0" w:space="0" w:color="auto"/>
                  </w:divBdr>
                  <w:divsChild>
                    <w:div w:id="404571377">
                      <w:marLeft w:val="0"/>
                      <w:marRight w:val="0"/>
                      <w:marTop w:val="0"/>
                      <w:marBottom w:val="0"/>
                      <w:divBdr>
                        <w:top w:val="none" w:sz="0" w:space="0" w:color="auto"/>
                        <w:left w:val="none" w:sz="0" w:space="0" w:color="auto"/>
                        <w:bottom w:val="none" w:sz="0" w:space="0" w:color="auto"/>
                        <w:right w:val="none" w:sz="0" w:space="0" w:color="auto"/>
                      </w:divBdr>
                      <w:divsChild>
                        <w:div w:id="4686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014656">
      <w:bodyDiv w:val="1"/>
      <w:marLeft w:val="0"/>
      <w:marRight w:val="0"/>
      <w:marTop w:val="0"/>
      <w:marBottom w:val="0"/>
      <w:divBdr>
        <w:top w:val="none" w:sz="0" w:space="0" w:color="auto"/>
        <w:left w:val="none" w:sz="0" w:space="0" w:color="auto"/>
        <w:bottom w:val="none" w:sz="0" w:space="0" w:color="auto"/>
        <w:right w:val="none" w:sz="0" w:space="0" w:color="auto"/>
      </w:divBdr>
    </w:div>
    <w:div w:id="927932752">
      <w:bodyDiv w:val="1"/>
      <w:marLeft w:val="0"/>
      <w:marRight w:val="0"/>
      <w:marTop w:val="0"/>
      <w:marBottom w:val="0"/>
      <w:divBdr>
        <w:top w:val="none" w:sz="0" w:space="0" w:color="auto"/>
        <w:left w:val="none" w:sz="0" w:space="0" w:color="auto"/>
        <w:bottom w:val="none" w:sz="0" w:space="0" w:color="auto"/>
        <w:right w:val="none" w:sz="0" w:space="0" w:color="auto"/>
      </w:divBdr>
    </w:div>
    <w:div w:id="1404377741">
      <w:bodyDiv w:val="1"/>
      <w:marLeft w:val="0"/>
      <w:marRight w:val="0"/>
      <w:marTop w:val="0"/>
      <w:marBottom w:val="0"/>
      <w:divBdr>
        <w:top w:val="none" w:sz="0" w:space="0" w:color="auto"/>
        <w:left w:val="none" w:sz="0" w:space="0" w:color="auto"/>
        <w:bottom w:val="none" w:sz="0" w:space="0" w:color="auto"/>
        <w:right w:val="none" w:sz="0" w:space="0" w:color="auto"/>
      </w:divBdr>
    </w:div>
    <w:div w:id="1556887708">
      <w:bodyDiv w:val="1"/>
      <w:marLeft w:val="0"/>
      <w:marRight w:val="0"/>
      <w:marTop w:val="0"/>
      <w:marBottom w:val="0"/>
      <w:divBdr>
        <w:top w:val="none" w:sz="0" w:space="0" w:color="auto"/>
        <w:left w:val="none" w:sz="0" w:space="0" w:color="auto"/>
        <w:bottom w:val="none" w:sz="0" w:space="0" w:color="auto"/>
        <w:right w:val="none" w:sz="0" w:space="0" w:color="auto"/>
      </w:divBdr>
    </w:div>
    <w:div w:id="1651667928">
      <w:bodyDiv w:val="1"/>
      <w:marLeft w:val="0"/>
      <w:marRight w:val="0"/>
      <w:marTop w:val="0"/>
      <w:marBottom w:val="0"/>
      <w:divBdr>
        <w:top w:val="none" w:sz="0" w:space="0" w:color="auto"/>
        <w:left w:val="none" w:sz="0" w:space="0" w:color="auto"/>
        <w:bottom w:val="none" w:sz="0" w:space="0" w:color="auto"/>
        <w:right w:val="none" w:sz="0" w:space="0" w:color="auto"/>
      </w:divBdr>
    </w:div>
    <w:div w:id="1792283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ec.europa.eu/echo/who/accountability/annual-reports_en" TargetMode="External"/><Relationship Id="rId3" Type="http://schemas.openxmlformats.org/officeDocument/2006/relationships/styles" Target="styles.xml"/><Relationship Id="rId21" Type="http://schemas.openxmlformats.org/officeDocument/2006/relationships/hyperlink" Target="https://ec.europa.eu/echo/sites/echo-site/files/kr0220290enn.pdf"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ec.europa.eu/echo/funding-evaluations/funding-decisions-hips_en" TargetMode="Externa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c.europa.eu/echo/en"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ec.europa.eu/budget/fts/index_pl.htm" TargetMode="External"/><Relationship Id="rId28" Type="http://schemas.openxmlformats.org/officeDocument/2006/relationships/hyperlink" Target="https://webgate.ec.europa.eu/hac/"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c.europa.eu/echo/sites/echo-site/files/evaluation_eu_humanitarian_assistance_ukraine_2014-2018.pdf" TargetMode="External"/><Relationship Id="rId27" Type="http://schemas.openxmlformats.org/officeDocument/2006/relationships/hyperlink" Target="https://ec.europa.eu/echo/funding-evaluations/evaluations_en" TargetMode="External"/><Relationship Id="rId30" Type="http://schemas.openxmlformats.org/officeDocument/2006/relationships/header" Target="header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ocha.org/ukraine" TargetMode="External"/><Relationship Id="rId2" Type="http://schemas.openxmlformats.org/officeDocument/2006/relationships/hyperlink" Target="https://ec.europa.eu/echo/sites/default/files/guidance_note_cash_23_11_2017.pdf" TargetMode="External"/><Relationship Id="rId1" Type="http://schemas.openxmlformats.org/officeDocument/2006/relationships/hyperlink" Target="http://www.exteriores.gob.es/Portal/es/SalaDePrensa/ElMinisterioInforma/Paginas/Noticias/20200519_MINISTERIO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825A06B-5512-40FD-B529-477EDBC4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4993</Words>
  <Characters>33160</Characters>
  <Application>Microsoft Office Word</Application>
  <DocSecurity>0</DocSecurity>
  <Lines>1069</Lines>
  <Paragraphs>646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EC CoDe</cp:lastModifiedBy>
  <cp:revision>33</cp:revision>
  <dcterms:created xsi:type="dcterms:W3CDTF">2021-09-27T09:41:00Z</dcterms:created>
  <dcterms:modified xsi:type="dcterms:W3CDTF">2021-10-29T09:42:00Z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20200226</vt:lpwstr>
  </property>
  <property fmtid="{D5CDD505-2E9C-101B-9397-08002B2CF9AE}" pid="8" name="Created using">
    <vt:lpwstr>LW 7.0, Build 20190717</vt:lpwstr>
  </property>
</Properties>
</file>