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3F44A" w14:textId="78DB4957" w:rsidR="005C09B6" w:rsidRPr="007C766C" w:rsidRDefault="00C24E69" w:rsidP="00C24E69">
      <w:pPr>
        <w:pStyle w:val="Pagedecouverture"/>
        <w:rPr>
          <w:noProof/>
        </w:rPr>
      </w:pPr>
      <w:r>
        <w:rPr>
          <w:noProof/>
        </w:rPr>
        <w:pict w14:anchorId="2B3D4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A9ED26A-F2C5-4EFF-AF8B-74FEC6C23CB0" style="width:455.25pt;height:369.75pt">
            <v:imagedata r:id="rId11" o:title=""/>
          </v:shape>
        </w:pict>
      </w:r>
    </w:p>
    <w:p w14:paraId="15B3F44B" w14:textId="77777777" w:rsidR="005C09B6" w:rsidRPr="007C766C" w:rsidRDefault="005C09B6" w:rsidP="005C09B6">
      <w:pPr>
        <w:rPr>
          <w:noProof/>
        </w:rPr>
        <w:sectPr w:rsidR="005C09B6" w:rsidRPr="007C766C" w:rsidSect="00C24E69">
          <w:footerReference w:type="default" r:id="rId12"/>
          <w:pgSz w:w="11907" w:h="16839"/>
          <w:pgMar w:top="1134" w:right="1417" w:bottom="1134" w:left="1417" w:header="709" w:footer="709" w:gutter="0"/>
          <w:pgNumType w:start="0"/>
          <w:cols w:space="720"/>
          <w:docGrid w:linePitch="360"/>
        </w:sectPr>
      </w:pPr>
    </w:p>
    <w:p w14:paraId="15B3F44C" w14:textId="77777777" w:rsidR="005C09B6" w:rsidRPr="007C766C" w:rsidRDefault="005C09B6" w:rsidP="00F903F3">
      <w:pPr>
        <w:pStyle w:val="Exposdesmotifstitre"/>
        <w:rPr>
          <w:noProof/>
        </w:rPr>
      </w:pPr>
      <w:bookmarkStart w:id="0" w:name="_GoBack"/>
      <w:bookmarkEnd w:id="0"/>
      <w:r w:rsidRPr="007C766C">
        <w:rPr>
          <w:noProof/>
        </w:rPr>
        <w:lastRenderedPageBreak/>
        <w:t>EXPLANATORY MEMORANDUM</w:t>
      </w:r>
    </w:p>
    <w:p w14:paraId="15B3F44D" w14:textId="3B09DFF3" w:rsidR="00D1281A" w:rsidRPr="007C766C" w:rsidRDefault="00C1434B" w:rsidP="00C1434B">
      <w:pPr>
        <w:pStyle w:val="ManualHeading1"/>
        <w:rPr>
          <w:noProof/>
        </w:rPr>
      </w:pPr>
      <w:r w:rsidRPr="00C1434B">
        <w:t>1.</w:t>
      </w:r>
      <w:r w:rsidRPr="00C1434B">
        <w:tab/>
      </w:r>
      <w:r w:rsidR="000B5E1F" w:rsidRPr="007C766C">
        <w:rPr>
          <w:noProof/>
        </w:rPr>
        <w:t>THE SUBJECT OF THE PROPOSAL</w:t>
      </w:r>
    </w:p>
    <w:p w14:paraId="1B0C568E" w14:textId="7B2621AB" w:rsidR="007C42A7" w:rsidRPr="00927D98" w:rsidRDefault="002A3E15" w:rsidP="007C42A7">
      <w:pPr>
        <w:widowControl w:val="0"/>
        <w:shd w:val="clear" w:color="auto" w:fill="FFFFFF"/>
        <w:autoSpaceDE w:val="0"/>
        <w:autoSpaceDN w:val="0"/>
        <w:adjustRightInd w:val="0"/>
        <w:spacing w:before="230" w:after="0" w:line="269" w:lineRule="exact"/>
        <w:ind w:right="86"/>
        <w:rPr>
          <w:noProof/>
        </w:rPr>
      </w:pPr>
      <w:r w:rsidRPr="007C766C">
        <w:rPr>
          <w:noProof/>
        </w:rPr>
        <w:t xml:space="preserve">The present proposal concerns the decision authorising Member States to </w:t>
      </w:r>
      <w:r w:rsidR="00535733">
        <w:rPr>
          <w:noProof/>
        </w:rPr>
        <w:t>ratify</w:t>
      </w:r>
      <w:r w:rsidRPr="007C766C">
        <w:rPr>
          <w:noProof/>
        </w:rPr>
        <w:t xml:space="preserve">, in the interest of the European Union, the Second Additional Protocol </w:t>
      </w:r>
      <w:r w:rsidR="009B4E58" w:rsidRPr="007C766C">
        <w:rPr>
          <w:noProof/>
        </w:rPr>
        <w:t xml:space="preserve">on enhanced co-operation and disclosure of electronic evidence </w:t>
      </w:r>
      <w:r w:rsidRPr="007C766C">
        <w:rPr>
          <w:noProof/>
        </w:rPr>
        <w:t xml:space="preserve">to the </w:t>
      </w:r>
      <w:r w:rsidR="009B4E58" w:rsidRPr="007C766C">
        <w:rPr>
          <w:noProof/>
        </w:rPr>
        <w:t xml:space="preserve">Council of Europe ‘Budapest’ </w:t>
      </w:r>
      <w:r w:rsidRPr="007C766C">
        <w:rPr>
          <w:noProof/>
        </w:rPr>
        <w:t>Convention on Cybercrime (‘the Protocol').</w:t>
      </w:r>
      <w:r w:rsidR="005A6CE5">
        <w:rPr>
          <w:rStyle w:val="FootnoteReference0"/>
          <w:noProof/>
        </w:rPr>
        <w:footnoteReference w:id="2"/>
      </w:r>
      <w:r w:rsidRPr="007C766C">
        <w:rPr>
          <w:noProof/>
        </w:rPr>
        <w:t xml:space="preserve"> </w:t>
      </w:r>
      <w:r w:rsidR="007C42A7" w:rsidRPr="00EA1935">
        <w:rPr>
          <w:noProof/>
        </w:rPr>
        <w:t>The aim of the Protocol is to provide common rules at international level to enhance co-operation on cybercrime and the collection of evidence in electronic form for criminal investigations or proceedings.</w:t>
      </w:r>
    </w:p>
    <w:p w14:paraId="15B3F44E" w14:textId="1137FFA0" w:rsidR="00E46C6F" w:rsidRPr="007C766C" w:rsidRDefault="002A3E15" w:rsidP="00E46C6F">
      <w:pPr>
        <w:widowControl w:val="0"/>
        <w:shd w:val="clear" w:color="auto" w:fill="FFFFFF"/>
        <w:autoSpaceDE w:val="0"/>
        <w:autoSpaceDN w:val="0"/>
        <w:adjustRightInd w:val="0"/>
        <w:spacing w:before="230" w:after="0" w:line="269" w:lineRule="exact"/>
        <w:ind w:right="86"/>
        <w:rPr>
          <w:noProof/>
        </w:rPr>
      </w:pPr>
      <w:r w:rsidRPr="007C766C">
        <w:rPr>
          <w:noProof/>
        </w:rPr>
        <w:t>Th</w:t>
      </w:r>
      <w:r w:rsidR="00535733">
        <w:rPr>
          <w:noProof/>
        </w:rPr>
        <w:t>is proposal complements a separate proposal from th</w:t>
      </w:r>
      <w:r w:rsidRPr="007C766C">
        <w:rPr>
          <w:noProof/>
        </w:rPr>
        <w:t xml:space="preserve">e Commission for a </w:t>
      </w:r>
      <w:r w:rsidR="005A6CE5">
        <w:rPr>
          <w:noProof/>
        </w:rPr>
        <w:t>D</w:t>
      </w:r>
      <w:r w:rsidRPr="007C766C">
        <w:rPr>
          <w:noProof/>
        </w:rPr>
        <w:t xml:space="preserve">ecision </w:t>
      </w:r>
      <w:r w:rsidR="003D0C11">
        <w:rPr>
          <w:noProof/>
        </w:rPr>
        <w:t xml:space="preserve">of the Council of the European Union (‘the Council’) </w:t>
      </w:r>
      <w:r w:rsidRPr="007C766C">
        <w:rPr>
          <w:noProof/>
        </w:rPr>
        <w:t xml:space="preserve">authorising Member States to </w:t>
      </w:r>
      <w:r w:rsidR="00535733">
        <w:rPr>
          <w:noProof/>
        </w:rPr>
        <w:t>sign</w:t>
      </w:r>
      <w:r w:rsidR="00535733" w:rsidRPr="001A4B27">
        <w:rPr>
          <w:noProof/>
        </w:rPr>
        <w:t xml:space="preserve"> </w:t>
      </w:r>
      <w:r w:rsidR="001A4B27" w:rsidRPr="007C766C">
        <w:rPr>
          <w:noProof/>
        </w:rPr>
        <w:t>the Protocol</w:t>
      </w:r>
      <w:r w:rsidRPr="007C766C">
        <w:rPr>
          <w:noProof/>
        </w:rPr>
        <w:t xml:space="preserve"> in the interest of the European Union.</w:t>
      </w:r>
    </w:p>
    <w:p w14:paraId="7561490E" w14:textId="52488B39" w:rsidR="001773A4" w:rsidRPr="007C766C" w:rsidRDefault="001773A4" w:rsidP="00E46C6F">
      <w:pPr>
        <w:widowControl w:val="0"/>
        <w:shd w:val="clear" w:color="auto" w:fill="FFFFFF"/>
        <w:autoSpaceDE w:val="0"/>
        <w:autoSpaceDN w:val="0"/>
        <w:adjustRightInd w:val="0"/>
        <w:spacing w:before="230" w:after="0" w:line="269" w:lineRule="exact"/>
        <w:ind w:right="86"/>
        <w:rPr>
          <w:noProof/>
        </w:rPr>
      </w:pPr>
      <w:r w:rsidRPr="007C766C">
        <w:rPr>
          <w:noProof/>
        </w:rPr>
        <w:t>Cybercrime continues to represent a considerable challenge to our society. Notwithstanding the efforts of law enforcement and judicial authorities, cyberattacks, including ransomware attacks, are increasing and are becoming more complex.</w:t>
      </w:r>
      <w:r w:rsidR="00A77C01" w:rsidRPr="007C766C">
        <w:rPr>
          <w:rStyle w:val="FootnoteReference0"/>
          <w:noProof/>
        </w:rPr>
        <w:footnoteReference w:id="3"/>
      </w:r>
      <w:r w:rsidRPr="007C766C">
        <w:rPr>
          <w:noProof/>
        </w:rPr>
        <w:t xml:space="preserve"> </w:t>
      </w:r>
      <w:r w:rsidR="00A77C01" w:rsidRPr="007C766C">
        <w:rPr>
          <w:noProof/>
        </w:rPr>
        <w:t xml:space="preserve">In particular the borderless nature of the internet makes cybercrime investigations almost always cross-border in nature, thus requiring close cooperation between authorities in different countries.  </w:t>
      </w:r>
    </w:p>
    <w:p w14:paraId="15B3F44F" w14:textId="609210E2" w:rsidR="00E46C6F" w:rsidRPr="00A3179E" w:rsidRDefault="00E46C6F" w:rsidP="00E46C6F">
      <w:pPr>
        <w:widowControl w:val="0"/>
        <w:shd w:val="clear" w:color="auto" w:fill="FFFFFF"/>
        <w:autoSpaceDE w:val="0"/>
        <w:autoSpaceDN w:val="0"/>
        <w:adjustRightInd w:val="0"/>
        <w:spacing w:before="230" w:after="0" w:line="269" w:lineRule="exact"/>
        <w:ind w:right="86"/>
        <w:rPr>
          <w:noProof/>
        </w:rPr>
      </w:pPr>
      <w:r w:rsidRPr="00A3179E">
        <w:rPr>
          <w:noProof/>
        </w:rPr>
        <w:t xml:space="preserve">Electronic evidence is increasingly important for criminal investigations. </w:t>
      </w:r>
      <w:r w:rsidR="00B6373E" w:rsidRPr="00A3179E">
        <w:rPr>
          <w:noProof/>
        </w:rPr>
        <w:t>The Commission estimates that n</w:t>
      </w:r>
      <w:r w:rsidRPr="00A3179E">
        <w:rPr>
          <w:noProof/>
        </w:rPr>
        <w:t>owadays law enforcement and judicial authorities need access to electronic evidence in 85% of criminal investigations</w:t>
      </w:r>
      <w:r w:rsidR="001773A4" w:rsidRPr="00A3179E">
        <w:rPr>
          <w:noProof/>
        </w:rPr>
        <w:t>, including cybercrime</w:t>
      </w:r>
      <w:r w:rsidRPr="00A3179E">
        <w:rPr>
          <w:noProof/>
        </w:rPr>
        <w:t>.</w:t>
      </w:r>
      <w:r w:rsidRPr="007C766C">
        <w:rPr>
          <w:rStyle w:val="FootnoteReference0"/>
          <w:rFonts w:eastAsia="Arial Unicode MS"/>
          <w:noProof/>
          <w:lang w:val="en-US"/>
        </w:rPr>
        <w:footnoteReference w:id="4"/>
      </w:r>
      <w:r w:rsidRPr="00A3179E">
        <w:rPr>
          <w:noProof/>
        </w:rPr>
        <w:t xml:space="preserve"> Evidence of any criminal offence is increasingly </w:t>
      </w:r>
      <w:r w:rsidR="001A4B27" w:rsidRPr="00A3179E">
        <w:rPr>
          <w:noProof/>
        </w:rPr>
        <w:t xml:space="preserve">held </w:t>
      </w:r>
      <w:r w:rsidRPr="00A3179E">
        <w:rPr>
          <w:noProof/>
        </w:rPr>
        <w:t xml:space="preserve">in electronic form </w:t>
      </w:r>
      <w:r w:rsidR="001A4B27" w:rsidRPr="00A3179E">
        <w:rPr>
          <w:noProof/>
        </w:rPr>
        <w:t>by service providers</w:t>
      </w:r>
      <w:r w:rsidRPr="00A3179E">
        <w:rPr>
          <w:noProof/>
        </w:rPr>
        <w:t xml:space="preserve"> in foreign</w:t>
      </w:r>
      <w:r w:rsidR="001A4B27" w:rsidRPr="00A3179E">
        <w:rPr>
          <w:noProof/>
        </w:rPr>
        <w:t xml:space="preserve"> </w:t>
      </w:r>
      <w:r w:rsidRPr="00A3179E">
        <w:rPr>
          <w:noProof/>
        </w:rPr>
        <w:t>jurisdictions, and an effective criminal justice response requires appropriate measures to obtain such evidence to uphold the rule of law.</w:t>
      </w:r>
    </w:p>
    <w:p w14:paraId="15B3F450" w14:textId="5E9E9979" w:rsidR="005C09B6" w:rsidRPr="00A3179E" w:rsidRDefault="00E46C6F" w:rsidP="00F903F3">
      <w:pPr>
        <w:widowControl w:val="0"/>
        <w:shd w:val="clear" w:color="auto" w:fill="FFFFFF"/>
        <w:autoSpaceDE w:val="0"/>
        <w:autoSpaceDN w:val="0"/>
        <w:adjustRightInd w:val="0"/>
        <w:spacing w:before="230" w:after="0" w:line="269" w:lineRule="exact"/>
        <w:ind w:right="86"/>
        <w:rPr>
          <w:noProof/>
        </w:rPr>
      </w:pPr>
      <w:r w:rsidRPr="00A3179E">
        <w:rPr>
          <w:noProof/>
        </w:rPr>
        <w:t xml:space="preserve">Efforts to improve cross-border access to electronic evidence </w:t>
      </w:r>
      <w:r w:rsidR="0019291E" w:rsidRPr="00A3179E">
        <w:rPr>
          <w:noProof/>
        </w:rPr>
        <w:t xml:space="preserve">for criminal investigations </w:t>
      </w:r>
      <w:r w:rsidRPr="00A3179E">
        <w:rPr>
          <w:noProof/>
        </w:rPr>
        <w:t>are undertaken around the globe, at national</w:t>
      </w:r>
      <w:r w:rsidR="00883242" w:rsidRPr="00A3179E">
        <w:rPr>
          <w:noProof/>
        </w:rPr>
        <w:t>, at European Union</w:t>
      </w:r>
      <w:r w:rsidR="00883242" w:rsidRPr="007C766C">
        <w:rPr>
          <w:rStyle w:val="FootnoteReference0"/>
          <w:rFonts w:eastAsia="Arial Unicode MS"/>
          <w:noProof/>
        </w:rPr>
        <w:footnoteReference w:id="5"/>
      </w:r>
      <w:r w:rsidRPr="00A3179E">
        <w:rPr>
          <w:noProof/>
        </w:rPr>
        <w:t xml:space="preserve"> and at international level</w:t>
      </w:r>
      <w:r w:rsidR="0019291E" w:rsidRPr="00A3179E">
        <w:rPr>
          <w:noProof/>
        </w:rPr>
        <w:t xml:space="preserve">, </w:t>
      </w:r>
      <w:r w:rsidR="00FB348B" w:rsidRPr="00A3179E">
        <w:rPr>
          <w:noProof/>
        </w:rPr>
        <w:t>including</w:t>
      </w:r>
      <w:r w:rsidR="009C6702" w:rsidRPr="00A3179E">
        <w:rPr>
          <w:noProof/>
        </w:rPr>
        <w:t xml:space="preserve"> </w:t>
      </w:r>
      <w:r w:rsidR="0019291E" w:rsidRPr="00A3179E">
        <w:rPr>
          <w:noProof/>
        </w:rPr>
        <w:t>through the Protocol</w:t>
      </w:r>
      <w:r w:rsidRPr="00A3179E">
        <w:rPr>
          <w:noProof/>
        </w:rPr>
        <w:t xml:space="preserve">. </w:t>
      </w:r>
      <w:r w:rsidR="007C42A7" w:rsidRPr="00A3179E">
        <w:rPr>
          <w:noProof/>
        </w:rPr>
        <w:t>It is important to ensure c</w:t>
      </w:r>
      <w:r w:rsidRPr="00A3179E">
        <w:rPr>
          <w:noProof/>
        </w:rPr>
        <w:t xml:space="preserve">ompatible rules at international level </w:t>
      </w:r>
      <w:r w:rsidR="009C6702" w:rsidRPr="00A3179E">
        <w:rPr>
          <w:noProof/>
        </w:rPr>
        <w:t>to avoid conflicts of law</w:t>
      </w:r>
      <w:r w:rsidR="004A649F" w:rsidRPr="00A3179E">
        <w:rPr>
          <w:noProof/>
        </w:rPr>
        <w:t xml:space="preserve"> when cross-border access to electronic evidence is sought</w:t>
      </w:r>
      <w:r w:rsidRPr="00A3179E">
        <w:rPr>
          <w:noProof/>
        </w:rPr>
        <w:t>.</w:t>
      </w:r>
    </w:p>
    <w:p w14:paraId="15B3F451" w14:textId="528E601B" w:rsidR="005C09B6" w:rsidRPr="007C766C" w:rsidRDefault="00C1434B" w:rsidP="00C1434B">
      <w:pPr>
        <w:pStyle w:val="ManualHeading1"/>
        <w:rPr>
          <w:noProof/>
        </w:rPr>
      </w:pPr>
      <w:r w:rsidRPr="00C1434B">
        <w:t>2.</w:t>
      </w:r>
      <w:r w:rsidRPr="00C1434B">
        <w:tab/>
      </w:r>
      <w:r w:rsidR="005C09B6" w:rsidRPr="007C766C">
        <w:rPr>
          <w:noProof/>
        </w:rPr>
        <w:t>CONTEXT OF THE PROPOSAL</w:t>
      </w:r>
    </w:p>
    <w:p w14:paraId="15B3F452" w14:textId="2CFF207F" w:rsidR="005C09B6" w:rsidRPr="007C766C" w:rsidRDefault="00C1434B" w:rsidP="00C1434B">
      <w:pPr>
        <w:pStyle w:val="ManualHeading2"/>
        <w:rPr>
          <w:noProof/>
        </w:rPr>
      </w:pPr>
      <w:r w:rsidRPr="00C1434B">
        <w:t>2.1.</w:t>
      </w:r>
      <w:r w:rsidRPr="00C1434B">
        <w:tab/>
      </w:r>
      <w:r w:rsidR="002A3E15" w:rsidRPr="007C766C">
        <w:rPr>
          <w:noProof/>
        </w:rPr>
        <w:t>Background</w:t>
      </w:r>
    </w:p>
    <w:p w14:paraId="15B3F453" w14:textId="05729BF7" w:rsidR="0012735F" w:rsidRPr="00A3179E" w:rsidRDefault="002A3E15" w:rsidP="002A3E15">
      <w:pPr>
        <w:pBdr>
          <w:top w:val="nil"/>
          <w:left w:val="nil"/>
          <w:bottom w:val="nil"/>
          <w:right w:val="nil"/>
          <w:between w:val="nil"/>
          <w:bar w:val="nil"/>
        </w:pBdr>
        <w:spacing w:before="0" w:after="240"/>
        <w:rPr>
          <w:noProof/>
        </w:rPr>
      </w:pPr>
      <w:r w:rsidRPr="00A3179E">
        <w:rPr>
          <w:noProof/>
        </w:rPr>
        <w:t>The Council of Europe</w:t>
      </w:r>
      <w:r w:rsidR="009B4E58" w:rsidRPr="00A3179E">
        <w:rPr>
          <w:noProof/>
        </w:rPr>
        <w:t xml:space="preserve"> ‘Budapest’</w:t>
      </w:r>
      <w:r w:rsidRPr="00A3179E">
        <w:rPr>
          <w:noProof/>
        </w:rPr>
        <w:t xml:space="preserve"> Convention on Cybercrime (CETS No. 185) </w:t>
      </w:r>
      <w:r w:rsidR="009B4E58" w:rsidRPr="00A3179E">
        <w:rPr>
          <w:noProof/>
        </w:rPr>
        <w:t xml:space="preserve">(‘the Convention’) </w:t>
      </w:r>
      <w:r w:rsidRPr="00A3179E">
        <w:rPr>
          <w:noProof/>
        </w:rPr>
        <w:t xml:space="preserve">aims at facilitating the fight against criminal offences making use of computer networks. It </w:t>
      </w:r>
      <w:r w:rsidR="008E6CD1" w:rsidRPr="00A3179E">
        <w:rPr>
          <w:noProof/>
        </w:rPr>
        <w:t xml:space="preserve">(1) </w:t>
      </w:r>
      <w:r w:rsidRPr="00A3179E">
        <w:rPr>
          <w:noProof/>
        </w:rPr>
        <w:t xml:space="preserve">contains provisions harmonising domestic criminal substantive law elements of offences and connected provisions in the area of cybercrime, (2) provides for domestic criminal procedural law powers necessary for the investigation and prosecution of such offences as well as other offences committed by means of a computer system or </w:t>
      </w:r>
      <w:r w:rsidR="00FB348B" w:rsidRPr="00A3179E">
        <w:rPr>
          <w:noProof/>
        </w:rPr>
        <w:t xml:space="preserve">where the </w:t>
      </w:r>
      <w:r w:rsidRPr="00A3179E">
        <w:rPr>
          <w:noProof/>
        </w:rPr>
        <w:t xml:space="preserve">evidence is in electronic form, and (3) aims to set up a fast and effective regime of international cooperation. </w:t>
      </w:r>
    </w:p>
    <w:p w14:paraId="15B3F454" w14:textId="6B5FB88A" w:rsidR="005C09B6" w:rsidRPr="00A3179E" w:rsidRDefault="002A3E15" w:rsidP="002A3E15">
      <w:pPr>
        <w:pBdr>
          <w:top w:val="nil"/>
          <w:left w:val="nil"/>
          <w:bottom w:val="nil"/>
          <w:right w:val="nil"/>
          <w:between w:val="nil"/>
          <w:bar w:val="nil"/>
        </w:pBdr>
        <w:spacing w:before="0" w:after="240"/>
        <w:rPr>
          <w:noProof/>
        </w:rPr>
      </w:pPr>
      <w:r w:rsidRPr="00A3179E">
        <w:rPr>
          <w:noProof/>
        </w:rPr>
        <w:t>The Convention is open to Member States of the Council of Europe</w:t>
      </w:r>
      <w:r w:rsidR="008E6CD1" w:rsidRPr="00A3179E">
        <w:rPr>
          <w:noProof/>
        </w:rPr>
        <w:t>,</w:t>
      </w:r>
      <w:r w:rsidRPr="00A3179E">
        <w:rPr>
          <w:noProof/>
        </w:rPr>
        <w:t xml:space="preserve"> and non-members</w:t>
      </w:r>
      <w:r w:rsidR="008E6CD1" w:rsidRPr="00A3179E">
        <w:rPr>
          <w:noProof/>
        </w:rPr>
        <w:t xml:space="preserve"> upon invitation</w:t>
      </w:r>
      <w:r w:rsidRPr="00A3179E">
        <w:rPr>
          <w:noProof/>
        </w:rPr>
        <w:t xml:space="preserve">. </w:t>
      </w:r>
      <w:r w:rsidR="00D1281A" w:rsidRPr="00A3179E">
        <w:rPr>
          <w:noProof/>
        </w:rPr>
        <w:t>Currently</w:t>
      </w:r>
      <w:r w:rsidR="008E6CD1" w:rsidRPr="00A3179E">
        <w:rPr>
          <w:noProof/>
        </w:rPr>
        <w:t>,</w:t>
      </w:r>
      <w:r w:rsidR="00D1281A" w:rsidRPr="00A3179E">
        <w:rPr>
          <w:noProof/>
        </w:rPr>
        <w:t xml:space="preserve"> </w:t>
      </w:r>
      <w:r w:rsidRPr="00A3179E">
        <w:rPr>
          <w:noProof/>
        </w:rPr>
        <w:t>6</w:t>
      </w:r>
      <w:r w:rsidR="00D1281A" w:rsidRPr="00A3179E">
        <w:rPr>
          <w:noProof/>
        </w:rPr>
        <w:t>6</w:t>
      </w:r>
      <w:r w:rsidRPr="00A3179E">
        <w:rPr>
          <w:noProof/>
        </w:rPr>
        <w:t xml:space="preserve"> countries are Parties to the Convention, inc</w:t>
      </w:r>
      <w:r w:rsidR="00D1281A" w:rsidRPr="00A3179E">
        <w:rPr>
          <w:noProof/>
        </w:rPr>
        <w:t>luding 2</w:t>
      </w:r>
      <w:r w:rsidR="006A757D" w:rsidRPr="00A3179E">
        <w:rPr>
          <w:noProof/>
        </w:rPr>
        <w:t>6</w:t>
      </w:r>
      <w:r w:rsidR="00D1281A" w:rsidRPr="00A3179E">
        <w:rPr>
          <w:noProof/>
        </w:rPr>
        <w:t xml:space="preserve"> </w:t>
      </w:r>
      <w:r w:rsidR="008E6CD1" w:rsidRPr="00A3179E">
        <w:rPr>
          <w:noProof/>
        </w:rPr>
        <w:t xml:space="preserve">European Union </w:t>
      </w:r>
      <w:r w:rsidR="00D1281A" w:rsidRPr="00A3179E">
        <w:rPr>
          <w:noProof/>
        </w:rPr>
        <w:t>Member States</w:t>
      </w:r>
      <w:r w:rsidRPr="00A3179E">
        <w:rPr>
          <w:noProof/>
        </w:rPr>
        <w:t>.</w:t>
      </w:r>
      <w:r w:rsidR="009B4E58" w:rsidRPr="007C766C">
        <w:rPr>
          <w:rStyle w:val="FootnoteReference0"/>
          <w:rFonts w:eastAsia="Arial Unicode MS"/>
          <w:noProof/>
        </w:rPr>
        <w:footnoteReference w:id="6"/>
      </w:r>
      <w:r w:rsidRPr="00A3179E">
        <w:rPr>
          <w:noProof/>
        </w:rPr>
        <w:t xml:space="preserve"> The Convention does not envisage that the European Union may accede to the Convention. The European Union is </w:t>
      </w:r>
      <w:r w:rsidR="00FB348B" w:rsidRPr="00A3179E">
        <w:rPr>
          <w:noProof/>
        </w:rPr>
        <w:t xml:space="preserve">however </w:t>
      </w:r>
      <w:r w:rsidRPr="00A3179E">
        <w:rPr>
          <w:noProof/>
        </w:rPr>
        <w:t xml:space="preserve">recognised as an Observer Organisation to the </w:t>
      </w:r>
      <w:r w:rsidR="00EC7843" w:rsidRPr="00A3179E">
        <w:rPr>
          <w:noProof/>
        </w:rPr>
        <w:t xml:space="preserve">Cybercrime </w:t>
      </w:r>
      <w:r w:rsidRPr="00A3179E">
        <w:rPr>
          <w:noProof/>
        </w:rPr>
        <w:t>Convention Committee (T-CY).</w:t>
      </w:r>
      <w:r w:rsidR="003D0C11">
        <w:rPr>
          <w:rStyle w:val="FootnoteReference0"/>
          <w:rFonts w:eastAsia="Arial Unicode MS"/>
          <w:noProof/>
        </w:rPr>
        <w:footnoteReference w:id="7"/>
      </w:r>
      <w:r w:rsidRPr="00A3179E">
        <w:rPr>
          <w:noProof/>
        </w:rPr>
        <w:t xml:space="preserve"> </w:t>
      </w:r>
    </w:p>
    <w:p w14:paraId="15B3F455" w14:textId="18D60084" w:rsidR="0012735F" w:rsidRPr="00A3179E" w:rsidRDefault="0012735F" w:rsidP="002A3E15">
      <w:pPr>
        <w:pBdr>
          <w:top w:val="nil"/>
          <w:left w:val="nil"/>
          <w:bottom w:val="nil"/>
          <w:right w:val="nil"/>
          <w:between w:val="nil"/>
          <w:bar w:val="nil"/>
        </w:pBdr>
        <w:spacing w:before="0" w:after="240"/>
        <w:rPr>
          <w:noProof/>
        </w:rPr>
      </w:pPr>
      <w:r w:rsidRPr="00A3179E">
        <w:rPr>
          <w:noProof/>
        </w:rPr>
        <w:t>Notwithstanding efforts to negotiate a new cybercrime convention at the level of the United Nations</w:t>
      </w:r>
      <w:r w:rsidR="006124EB" w:rsidRPr="007C766C">
        <w:rPr>
          <w:rStyle w:val="FootnoteReference0"/>
          <w:rFonts w:eastAsia="Arial Unicode MS"/>
          <w:noProof/>
        </w:rPr>
        <w:footnoteReference w:id="8"/>
      </w:r>
      <w:r w:rsidRPr="00A3179E">
        <w:rPr>
          <w:noProof/>
        </w:rPr>
        <w:t>, the Budapest Convention remains the main multilateral Convention for the fight against cybercrime. The Union consistently supports the Convention</w:t>
      </w:r>
      <w:r w:rsidR="008B40DF" w:rsidRPr="007C766C">
        <w:rPr>
          <w:rStyle w:val="FootnoteReference0"/>
          <w:rFonts w:eastAsia="Arial Unicode MS"/>
          <w:noProof/>
        </w:rPr>
        <w:footnoteReference w:id="9"/>
      </w:r>
      <w:r w:rsidRPr="00A3179E">
        <w:rPr>
          <w:noProof/>
        </w:rPr>
        <w:t>, also in the framework of the financing of capacity building programmes.</w:t>
      </w:r>
      <w:r w:rsidR="006365F6" w:rsidRPr="007C766C">
        <w:rPr>
          <w:rStyle w:val="FootnoteReference0"/>
          <w:rFonts w:eastAsia="Arial Unicode MS"/>
          <w:noProof/>
        </w:rPr>
        <w:footnoteReference w:id="10"/>
      </w:r>
      <w:r w:rsidRPr="00A3179E">
        <w:rPr>
          <w:noProof/>
        </w:rPr>
        <w:t xml:space="preserve"> </w:t>
      </w:r>
    </w:p>
    <w:p w14:paraId="15B3F456" w14:textId="0C601BA7" w:rsidR="00D1281A" w:rsidRPr="00A3179E" w:rsidRDefault="00FB348B" w:rsidP="00137B09">
      <w:pPr>
        <w:pBdr>
          <w:top w:val="nil"/>
          <w:left w:val="nil"/>
          <w:bottom w:val="nil"/>
          <w:right w:val="nil"/>
          <w:between w:val="nil"/>
          <w:bar w:val="nil"/>
        </w:pBdr>
        <w:spacing w:before="0" w:after="240"/>
        <w:rPr>
          <w:noProof/>
        </w:rPr>
      </w:pPr>
      <w:r w:rsidRPr="00A3179E">
        <w:rPr>
          <w:noProof/>
        </w:rPr>
        <w:t>Following</w:t>
      </w:r>
      <w:r w:rsidR="006A757D" w:rsidRPr="00A3179E">
        <w:rPr>
          <w:noProof/>
        </w:rPr>
        <w:t xml:space="preserve"> </w:t>
      </w:r>
      <w:r w:rsidR="00D1281A" w:rsidRPr="00A3179E">
        <w:rPr>
          <w:noProof/>
        </w:rPr>
        <w:t>proposals from the Cloud Evidence Group</w:t>
      </w:r>
      <w:r w:rsidR="009B4E58" w:rsidRPr="007C766C">
        <w:rPr>
          <w:rStyle w:val="FootnoteReference0"/>
          <w:rFonts w:eastAsia="Arial Unicode MS"/>
          <w:noProof/>
        </w:rPr>
        <w:footnoteReference w:id="11"/>
      </w:r>
      <w:r w:rsidR="00D1281A" w:rsidRPr="00A3179E">
        <w:rPr>
          <w:noProof/>
        </w:rPr>
        <w:t xml:space="preserve">, the </w:t>
      </w:r>
      <w:r w:rsidR="00EB7884">
        <w:rPr>
          <w:noProof/>
        </w:rPr>
        <w:t>Cybercrime Convention Committee</w:t>
      </w:r>
      <w:r w:rsidR="00D1281A" w:rsidRPr="00A3179E">
        <w:rPr>
          <w:noProof/>
        </w:rPr>
        <w:t xml:space="preserve"> adopted several </w:t>
      </w:r>
      <w:r w:rsidR="00BB071A" w:rsidRPr="00A3179E">
        <w:rPr>
          <w:noProof/>
        </w:rPr>
        <w:t>r</w:t>
      </w:r>
      <w:r w:rsidR="00D1281A" w:rsidRPr="00A3179E">
        <w:rPr>
          <w:noProof/>
        </w:rPr>
        <w:t>ecommendations</w:t>
      </w:r>
      <w:r w:rsidR="001F214C" w:rsidRPr="00A3179E">
        <w:rPr>
          <w:noProof/>
        </w:rPr>
        <w:t xml:space="preserve"> to address,</w:t>
      </w:r>
      <w:r w:rsidR="00D1281A" w:rsidRPr="00A3179E">
        <w:rPr>
          <w:noProof/>
        </w:rPr>
        <w:t xml:space="preserve"> </w:t>
      </w:r>
      <w:r w:rsidR="001F214C" w:rsidRPr="00A3179E">
        <w:rPr>
          <w:noProof/>
        </w:rPr>
        <w:t xml:space="preserve">including through the negotiation of a Second Additional Protocol to the Convention on Cybercrime on enhanced international cooperation, </w:t>
      </w:r>
      <w:r w:rsidR="00137B09" w:rsidRPr="00A3179E">
        <w:rPr>
          <w:noProof/>
        </w:rPr>
        <w:t>the challenge that electronic</w:t>
      </w:r>
      <w:r w:rsidR="00BB071A" w:rsidRPr="00A3179E">
        <w:rPr>
          <w:noProof/>
        </w:rPr>
        <w:t xml:space="preserve"> evidence relating to </w:t>
      </w:r>
      <w:r w:rsidR="00137B09" w:rsidRPr="00A3179E">
        <w:rPr>
          <w:noProof/>
        </w:rPr>
        <w:t xml:space="preserve">cybercrime and other offences </w:t>
      </w:r>
      <w:r w:rsidR="00BB071A" w:rsidRPr="00A3179E">
        <w:rPr>
          <w:noProof/>
        </w:rPr>
        <w:t xml:space="preserve">is increasingly </w:t>
      </w:r>
      <w:r w:rsidR="00D601B3" w:rsidRPr="00A3179E">
        <w:rPr>
          <w:noProof/>
        </w:rPr>
        <w:t>held by service providers in</w:t>
      </w:r>
      <w:r w:rsidR="00BB071A" w:rsidRPr="00A3179E">
        <w:rPr>
          <w:noProof/>
        </w:rPr>
        <w:t xml:space="preserve"> foreign jurisdictions, </w:t>
      </w:r>
      <w:r w:rsidR="008E6CD1" w:rsidRPr="00A3179E">
        <w:rPr>
          <w:noProof/>
        </w:rPr>
        <w:t xml:space="preserve">while </w:t>
      </w:r>
      <w:r w:rsidR="00BB071A" w:rsidRPr="00A3179E">
        <w:rPr>
          <w:noProof/>
        </w:rPr>
        <w:t>the powers of law enforcement remain li</w:t>
      </w:r>
      <w:r w:rsidR="00137B09" w:rsidRPr="00A3179E">
        <w:rPr>
          <w:noProof/>
        </w:rPr>
        <w:t>mited by territorial boundaries</w:t>
      </w:r>
      <w:r w:rsidR="00D1281A" w:rsidRPr="00A3179E">
        <w:rPr>
          <w:noProof/>
        </w:rPr>
        <w:t xml:space="preserve">. In June 2017, the </w:t>
      </w:r>
      <w:r w:rsidR="00EB7884">
        <w:rPr>
          <w:noProof/>
        </w:rPr>
        <w:t xml:space="preserve">Cybercrime Convention Committee </w:t>
      </w:r>
      <w:r w:rsidR="00D1281A" w:rsidRPr="00A3179E">
        <w:rPr>
          <w:noProof/>
        </w:rPr>
        <w:t>approved the Terms of Reference for the preparation of the Second Additional Protocol during the period from September 2017 to December 2019.</w:t>
      </w:r>
      <w:r w:rsidR="009B4E58" w:rsidRPr="007C766C">
        <w:rPr>
          <w:rStyle w:val="FootnoteReference0"/>
          <w:rFonts w:eastAsia="Arial Unicode MS"/>
          <w:noProof/>
        </w:rPr>
        <w:footnoteReference w:id="12"/>
      </w:r>
      <w:r w:rsidR="00D1281A" w:rsidRPr="00A3179E">
        <w:rPr>
          <w:noProof/>
        </w:rPr>
        <w:t xml:space="preserve"> In view of the need </w:t>
      </w:r>
      <w:r w:rsidR="00D601B3" w:rsidRPr="00A3179E">
        <w:rPr>
          <w:noProof/>
        </w:rPr>
        <w:t>for</w:t>
      </w:r>
      <w:r w:rsidR="00D1281A" w:rsidRPr="00A3179E">
        <w:rPr>
          <w:noProof/>
        </w:rPr>
        <w:t xml:space="preserve"> more time to finalise discussions, as well as the limitations posed by the Covid-19 pandemic in 2020 and 2021, the </w:t>
      </w:r>
      <w:r w:rsidR="00EB7884">
        <w:rPr>
          <w:noProof/>
        </w:rPr>
        <w:t>Cybercrime Convention Committee</w:t>
      </w:r>
      <w:r w:rsidR="00D1281A" w:rsidRPr="00A3179E">
        <w:rPr>
          <w:noProof/>
        </w:rPr>
        <w:t xml:space="preserve"> subsequently extended the terms of reference </w:t>
      </w:r>
      <w:r w:rsidR="009B4E58" w:rsidRPr="00A3179E">
        <w:rPr>
          <w:noProof/>
        </w:rPr>
        <w:t xml:space="preserve">twice, </w:t>
      </w:r>
      <w:r w:rsidR="00D1281A" w:rsidRPr="00A3179E">
        <w:rPr>
          <w:noProof/>
        </w:rPr>
        <w:t xml:space="preserve">until December 2020, and </w:t>
      </w:r>
      <w:r w:rsidR="009B4E58" w:rsidRPr="00A3179E">
        <w:rPr>
          <w:noProof/>
        </w:rPr>
        <w:t xml:space="preserve">subsequently until </w:t>
      </w:r>
      <w:r w:rsidR="00D1281A" w:rsidRPr="00A3179E">
        <w:rPr>
          <w:noProof/>
        </w:rPr>
        <w:t xml:space="preserve">May 2021. </w:t>
      </w:r>
    </w:p>
    <w:p w14:paraId="565E71C4" w14:textId="1EF12447" w:rsidR="004D3430" w:rsidRPr="00A3179E" w:rsidRDefault="00313366" w:rsidP="00D1281A">
      <w:pPr>
        <w:pBdr>
          <w:top w:val="nil"/>
          <w:left w:val="nil"/>
          <w:bottom w:val="nil"/>
          <w:right w:val="nil"/>
          <w:between w:val="nil"/>
          <w:bar w:val="nil"/>
        </w:pBdr>
        <w:spacing w:before="0" w:after="240"/>
        <w:rPr>
          <w:noProof/>
        </w:rPr>
      </w:pPr>
      <w:r w:rsidRPr="00A3179E">
        <w:rPr>
          <w:noProof/>
        </w:rPr>
        <w:t xml:space="preserve">Following the call from the European Council in its conclusions of 18 October </w:t>
      </w:r>
      <w:r w:rsidR="00C442B3" w:rsidRPr="00A3179E">
        <w:rPr>
          <w:noProof/>
        </w:rPr>
        <w:t>2018</w:t>
      </w:r>
      <w:r w:rsidR="00D37576" w:rsidRPr="007C766C">
        <w:rPr>
          <w:rStyle w:val="FootnoteReference0"/>
          <w:rFonts w:eastAsia="Arial Unicode MS"/>
          <w:noProof/>
        </w:rPr>
        <w:footnoteReference w:id="13"/>
      </w:r>
      <w:r w:rsidRPr="00A3179E">
        <w:rPr>
          <w:noProof/>
        </w:rPr>
        <w:t xml:space="preserve">, the Commission adopted on 5 February 2019 </w:t>
      </w:r>
      <w:r w:rsidR="009B4E58" w:rsidRPr="00A3179E">
        <w:rPr>
          <w:noProof/>
        </w:rPr>
        <w:t>a Recommendation for a Council Decision authorising</w:t>
      </w:r>
      <w:r w:rsidR="00EC7843" w:rsidRPr="00A3179E">
        <w:rPr>
          <w:noProof/>
        </w:rPr>
        <w:t xml:space="preserve"> the Commission to</w:t>
      </w:r>
      <w:r w:rsidR="009B4E58" w:rsidRPr="00A3179E">
        <w:rPr>
          <w:noProof/>
        </w:rPr>
        <w:t xml:space="preserve"> participat</w:t>
      </w:r>
      <w:r w:rsidR="00EC7843" w:rsidRPr="00A3179E">
        <w:rPr>
          <w:noProof/>
        </w:rPr>
        <w:t>e, on behalf of the European Union,</w:t>
      </w:r>
      <w:r w:rsidR="009B4E58" w:rsidRPr="00A3179E">
        <w:rPr>
          <w:noProof/>
        </w:rPr>
        <w:t xml:space="preserve"> in the negotiations on a second Additional Protocol to the Council of Europe Convention on Cybercrime.</w:t>
      </w:r>
      <w:r w:rsidR="009B4E58" w:rsidRPr="007C766C">
        <w:rPr>
          <w:rStyle w:val="FootnoteReference0"/>
          <w:rFonts w:eastAsia="Arial Unicode MS"/>
          <w:noProof/>
        </w:rPr>
        <w:footnoteReference w:id="14"/>
      </w:r>
      <w:r w:rsidR="009B4E58" w:rsidRPr="00A3179E">
        <w:rPr>
          <w:noProof/>
        </w:rPr>
        <w:t xml:space="preserve"> </w:t>
      </w:r>
      <w:r w:rsidR="004D3430" w:rsidRPr="00A3179E">
        <w:rPr>
          <w:noProof/>
        </w:rPr>
        <w:t>The European Data Protection Supervisor adopted an opinion regarding the Recommendation on 2 April 2019.</w:t>
      </w:r>
      <w:r w:rsidR="004D3430" w:rsidRPr="007C766C">
        <w:rPr>
          <w:rStyle w:val="FootnoteReference0"/>
          <w:rFonts w:eastAsia="Arial Unicode MS"/>
          <w:noProof/>
        </w:rPr>
        <w:footnoteReference w:id="15"/>
      </w:r>
      <w:r w:rsidR="004D3430" w:rsidRPr="00A3179E">
        <w:rPr>
          <w:noProof/>
        </w:rPr>
        <w:t xml:space="preserve"> </w:t>
      </w:r>
      <w:r w:rsidR="00D1281A" w:rsidRPr="00A3179E">
        <w:rPr>
          <w:noProof/>
        </w:rPr>
        <w:t>With a decision of 6 June 2019, the Council</w:t>
      </w:r>
      <w:r w:rsidR="009B4E58" w:rsidRPr="00A3179E">
        <w:rPr>
          <w:noProof/>
        </w:rPr>
        <w:t xml:space="preserve"> of the European Union</w:t>
      </w:r>
      <w:r w:rsidR="00D1281A" w:rsidRPr="00A3179E">
        <w:rPr>
          <w:noProof/>
        </w:rPr>
        <w:t xml:space="preserve"> authorised the Commission to participate, on behalf of the European Union, in the negotiations for the Second Additional Protocol.</w:t>
      </w:r>
      <w:r w:rsidR="009B4E58" w:rsidRPr="007C766C">
        <w:rPr>
          <w:rStyle w:val="FootnoteReference0"/>
          <w:rFonts w:eastAsia="Arial Unicode MS"/>
          <w:noProof/>
        </w:rPr>
        <w:footnoteReference w:id="16"/>
      </w:r>
      <w:r w:rsidR="004315BE" w:rsidRPr="00A3179E">
        <w:rPr>
          <w:noProof/>
        </w:rPr>
        <w:t xml:space="preserve"> </w:t>
      </w:r>
    </w:p>
    <w:p w14:paraId="15B3F457" w14:textId="473EFC36" w:rsidR="005E6204" w:rsidRPr="00A3179E" w:rsidRDefault="00534024" w:rsidP="00D1281A">
      <w:pPr>
        <w:pBdr>
          <w:top w:val="nil"/>
          <w:left w:val="nil"/>
          <w:bottom w:val="nil"/>
          <w:right w:val="nil"/>
          <w:between w:val="nil"/>
          <w:bar w:val="nil"/>
        </w:pBdr>
        <w:spacing w:before="0" w:after="240"/>
        <w:rPr>
          <w:noProof/>
        </w:rPr>
      </w:pPr>
      <w:r w:rsidRPr="00A3179E">
        <w:rPr>
          <w:noProof/>
        </w:rPr>
        <w:t xml:space="preserve">As expressed in </w:t>
      </w:r>
      <w:r w:rsidR="008B40DF" w:rsidRPr="00A3179E">
        <w:rPr>
          <w:noProof/>
        </w:rPr>
        <w:t xml:space="preserve">the </w:t>
      </w:r>
      <w:r w:rsidR="00313366" w:rsidRPr="00A3179E">
        <w:rPr>
          <w:noProof/>
        </w:rPr>
        <w:t>2020 EU Security Union Strategy</w:t>
      </w:r>
      <w:r w:rsidR="00313366" w:rsidRPr="007C766C">
        <w:rPr>
          <w:rStyle w:val="FootnoteReference0"/>
          <w:rFonts w:eastAsia="Arial Unicode MS"/>
          <w:noProof/>
        </w:rPr>
        <w:footnoteReference w:id="17"/>
      </w:r>
      <w:r w:rsidR="00313366" w:rsidRPr="00A3179E">
        <w:rPr>
          <w:noProof/>
        </w:rPr>
        <w:t xml:space="preserve">, the </w:t>
      </w:r>
      <w:r w:rsidR="008B40DF" w:rsidRPr="00A3179E">
        <w:rPr>
          <w:noProof/>
        </w:rPr>
        <w:t>2020 EU Cybersecurity Strategy for the Digital Decade</w:t>
      </w:r>
      <w:r w:rsidR="008B40DF" w:rsidRPr="007C766C">
        <w:rPr>
          <w:rStyle w:val="FootnoteReference0"/>
          <w:rFonts w:eastAsia="Arial Unicode MS"/>
          <w:noProof/>
        </w:rPr>
        <w:footnoteReference w:id="18"/>
      </w:r>
      <w:r w:rsidR="008B40DF" w:rsidRPr="00A3179E">
        <w:rPr>
          <w:noProof/>
        </w:rPr>
        <w:t xml:space="preserve"> and the 2021 </w:t>
      </w:r>
      <w:r w:rsidR="00313366" w:rsidRPr="00A3179E">
        <w:rPr>
          <w:noProof/>
        </w:rPr>
        <w:t xml:space="preserve">EU </w:t>
      </w:r>
      <w:r w:rsidR="008B40DF" w:rsidRPr="00A3179E">
        <w:rPr>
          <w:noProof/>
        </w:rPr>
        <w:t>Organised Crime Strategy</w:t>
      </w:r>
      <w:r w:rsidR="008B40DF" w:rsidRPr="007C766C">
        <w:rPr>
          <w:rStyle w:val="FootnoteReference0"/>
          <w:rFonts w:eastAsia="Arial Unicode MS"/>
          <w:noProof/>
        </w:rPr>
        <w:footnoteReference w:id="19"/>
      </w:r>
      <w:r w:rsidRPr="00A3179E">
        <w:rPr>
          <w:noProof/>
        </w:rPr>
        <w:t>, the Commission has been committed to the swift and successful conclusion of the negotiations</w:t>
      </w:r>
      <w:r w:rsidR="00783089" w:rsidRPr="00A3179E">
        <w:rPr>
          <w:noProof/>
        </w:rPr>
        <w:t xml:space="preserve"> of the Protocol</w:t>
      </w:r>
      <w:r w:rsidRPr="00A3179E">
        <w:rPr>
          <w:noProof/>
        </w:rPr>
        <w:t xml:space="preserve">. </w:t>
      </w:r>
      <w:r w:rsidR="00313366" w:rsidRPr="00A3179E">
        <w:rPr>
          <w:noProof/>
        </w:rPr>
        <w:t>The European Parliament also recognised the need to conclude the work on the Protocol in its 2021 Resolution on the EU Cybersecurity Strategy for the Digital Decade.</w:t>
      </w:r>
      <w:r w:rsidR="00313366" w:rsidRPr="007C766C">
        <w:rPr>
          <w:rStyle w:val="FootnoteReference0"/>
          <w:rFonts w:eastAsia="Arial Unicode MS"/>
          <w:noProof/>
        </w:rPr>
        <w:footnoteReference w:id="20"/>
      </w:r>
      <w:r w:rsidR="00313366" w:rsidRPr="00A3179E">
        <w:rPr>
          <w:noProof/>
        </w:rPr>
        <w:t xml:space="preserve"> </w:t>
      </w:r>
    </w:p>
    <w:p w14:paraId="15B3F459" w14:textId="06A2CEC4" w:rsidR="00F1653B" w:rsidRPr="007C766C" w:rsidRDefault="00F1653B" w:rsidP="00F1653B">
      <w:pPr>
        <w:pStyle w:val="Normal2"/>
        <w:jc w:val="both"/>
        <w:rPr>
          <w:noProof/>
        </w:rPr>
      </w:pPr>
      <w:r w:rsidRPr="007C766C">
        <w:rPr>
          <w:noProof/>
        </w:rPr>
        <w:t xml:space="preserve">The Commission participated, on behalf of the European Union, in the negotiations for the Protocol in line with the Decision of the Council of the European Union. The Commission consistently consulted the Council’s special committee for the negotiations on the Union position. </w:t>
      </w:r>
    </w:p>
    <w:p w14:paraId="15B3F45A" w14:textId="5047A0ED" w:rsidR="00F1653B" w:rsidRPr="007C766C" w:rsidRDefault="00F1653B" w:rsidP="00F1653B">
      <w:pPr>
        <w:pStyle w:val="Normal2"/>
        <w:jc w:val="both"/>
        <w:rPr>
          <w:noProof/>
        </w:rPr>
      </w:pPr>
      <w:r w:rsidRPr="007C766C">
        <w:rPr>
          <w:noProof/>
        </w:rPr>
        <w:t xml:space="preserve">In line with </w:t>
      </w:r>
      <w:r w:rsidR="002846C2" w:rsidRPr="007C766C">
        <w:rPr>
          <w:noProof/>
        </w:rPr>
        <w:t>the Framework Agreement on relations between the European Parliament and the European Commission</w:t>
      </w:r>
      <w:r w:rsidR="002846C2" w:rsidRPr="007C766C">
        <w:rPr>
          <w:rStyle w:val="FootnoteReference0"/>
          <w:noProof/>
        </w:rPr>
        <w:footnoteReference w:id="21"/>
      </w:r>
      <w:r w:rsidR="002846C2" w:rsidRPr="007C766C">
        <w:rPr>
          <w:noProof/>
        </w:rPr>
        <w:t>,</w:t>
      </w:r>
      <w:r w:rsidR="00D37576" w:rsidRPr="007C766C">
        <w:rPr>
          <w:noProof/>
        </w:rPr>
        <w:t xml:space="preserve"> </w:t>
      </w:r>
      <w:r w:rsidR="002846C2" w:rsidRPr="007C766C">
        <w:rPr>
          <w:noProof/>
        </w:rPr>
        <w:t>the</w:t>
      </w:r>
      <w:r w:rsidRPr="007C766C">
        <w:rPr>
          <w:noProof/>
        </w:rPr>
        <w:t xml:space="preserve"> Commission also kept the European Parliament informed of the negotiations by means of written reports and oral presentations. </w:t>
      </w:r>
    </w:p>
    <w:p w14:paraId="15B3F45B" w14:textId="15C07777" w:rsidR="00D1281A" w:rsidRPr="007C766C" w:rsidRDefault="00D1281A" w:rsidP="002A3E15">
      <w:pPr>
        <w:pBdr>
          <w:top w:val="nil"/>
          <w:left w:val="nil"/>
          <w:bottom w:val="nil"/>
          <w:right w:val="nil"/>
          <w:between w:val="nil"/>
          <w:bar w:val="nil"/>
        </w:pBdr>
        <w:spacing w:before="0" w:after="240"/>
        <w:rPr>
          <w:rFonts w:eastAsia="Arial Unicode MS"/>
          <w:noProof/>
        </w:rPr>
      </w:pPr>
      <w:r w:rsidRPr="00A3179E">
        <w:rPr>
          <w:noProof/>
        </w:rPr>
        <w:t xml:space="preserve">At the plenary meeting of the </w:t>
      </w:r>
      <w:r w:rsidR="00EB7884">
        <w:rPr>
          <w:noProof/>
        </w:rPr>
        <w:t>Cybercrime Convention Committee</w:t>
      </w:r>
      <w:r w:rsidRPr="00A3179E">
        <w:rPr>
          <w:noProof/>
        </w:rPr>
        <w:t xml:space="preserve"> of 28 May 2021, </w:t>
      </w:r>
      <w:r w:rsidR="00D601B3" w:rsidRPr="00A3179E">
        <w:rPr>
          <w:noProof/>
        </w:rPr>
        <w:t xml:space="preserve">the </w:t>
      </w:r>
      <w:r w:rsidR="00EB7884">
        <w:rPr>
          <w:noProof/>
        </w:rPr>
        <w:t>Cybercrime Convention Committee</w:t>
      </w:r>
      <w:r w:rsidR="00D601B3" w:rsidRPr="00A3179E">
        <w:rPr>
          <w:noProof/>
        </w:rPr>
        <w:t xml:space="preserve"> </w:t>
      </w:r>
      <w:r w:rsidRPr="00A3179E">
        <w:rPr>
          <w:noProof/>
        </w:rPr>
        <w:t>approved the draft Protocol</w:t>
      </w:r>
      <w:r w:rsidR="0010137D" w:rsidRPr="00A3179E">
        <w:rPr>
          <w:noProof/>
        </w:rPr>
        <w:t xml:space="preserve"> at its level and forwarded the draft for adoption by the </w:t>
      </w:r>
      <w:r w:rsidR="0046345A">
        <w:rPr>
          <w:noProof/>
        </w:rPr>
        <w:t>Committee</w:t>
      </w:r>
      <w:r w:rsidR="0046345A" w:rsidRPr="00A3179E">
        <w:rPr>
          <w:noProof/>
        </w:rPr>
        <w:t xml:space="preserve"> </w:t>
      </w:r>
      <w:r w:rsidR="0010137D" w:rsidRPr="00A3179E">
        <w:rPr>
          <w:noProof/>
        </w:rPr>
        <w:t>of Ministers of the Council of Europe</w:t>
      </w:r>
      <w:r w:rsidRPr="00A3179E">
        <w:rPr>
          <w:noProof/>
        </w:rPr>
        <w:t>.</w:t>
      </w:r>
      <w:r w:rsidR="009B4E58" w:rsidRPr="007C766C">
        <w:rPr>
          <w:rStyle w:val="FootnoteReference0"/>
          <w:rFonts w:eastAsia="Arial Unicode MS"/>
          <w:noProof/>
        </w:rPr>
        <w:footnoteReference w:id="22"/>
      </w:r>
      <w:r w:rsidRPr="00A3179E">
        <w:rPr>
          <w:noProof/>
        </w:rPr>
        <w:t xml:space="preserve"> </w:t>
      </w:r>
      <w:r w:rsidR="006365F6" w:rsidRPr="008C0A35">
        <w:rPr>
          <w:noProof/>
        </w:rPr>
        <w:t>On</w:t>
      </w:r>
      <w:r w:rsidRPr="008C0A35">
        <w:rPr>
          <w:noProof/>
        </w:rPr>
        <w:t xml:space="preserve"> </w:t>
      </w:r>
      <w:r w:rsidRPr="004267E1">
        <w:rPr>
          <w:noProof/>
        </w:rPr>
        <w:t>17 November 2021</w:t>
      </w:r>
      <w:r w:rsidRPr="008C0A35">
        <w:rPr>
          <w:noProof/>
        </w:rPr>
        <w:t>,</w:t>
      </w:r>
      <w:r w:rsidRPr="00A3179E">
        <w:rPr>
          <w:noProof/>
        </w:rPr>
        <w:t xml:space="preserve"> the </w:t>
      </w:r>
      <w:r w:rsidR="0046345A">
        <w:rPr>
          <w:noProof/>
        </w:rPr>
        <w:t>Committee</w:t>
      </w:r>
      <w:r w:rsidR="0046345A" w:rsidRPr="00A3179E">
        <w:rPr>
          <w:noProof/>
        </w:rPr>
        <w:t xml:space="preserve"> </w:t>
      </w:r>
      <w:r w:rsidRPr="00A3179E">
        <w:rPr>
          <w:noProof/>
        </w:rPr>
        <w:t>of Ministers of the Council of Europe adopted the Protocol.</w:t>
      </w:r>
      <w:r w:rsidR="009B4E58" w:rsidRPr="00A3179E">
        <w:rPr>
          <w:noProof/>
        </w:rPr>
        <w:t xml:space="preserve"> </w:t>
      </w:r>
    </w:p>
    <w:p w14:paraId="15B3F45C" w14:textId="4852D696" w:rsidR="005C09B6" w:rsidRPr="005A52B9" w:rsidRDefault="00C1434B" w:rsidP="00C1434B">
      <w:pPr>
        <w:pStyle w:val="ManualHeading2"/>
        <w:rPr>
          <w:rFonts w:eastAsia="Arial Unicode MS"/>
          <w:noProof/>
          <w:color w:val="000000"/>
          <w:u w:color="000000"/>
          <w:bdr w:val="nil"/>
          <w:lang w:val="en-US" w:eastAsia="en-GB"/>
        </w:rPr>
      </w:pPr>
      <w:r w:rsidRPr="00C1434B">
        <w:t>2.2.</w:t>
      </w:r>
      <w:r w:rsidRPr="00C1434B">
        <w:tab/>
      </w:r>
      <w:r w:rsidR="00D1281A" w:rsidRPr="005A52B9">
        <w:rPr>
          <w:rStyle w:val="Heading2Char"/>
          <w:b/>
          <w:noProof/>
        </w:rPr>
        <w:t>The Second Additional Protocol</w:t>
      </w:r>
    </w:p>
    <w:p w14:paraId="15B3F45D" w14:textId="34C48F73" w:rsidR="00727CAE" w:rsidRPr="00A3179E" w:rsidRDefault="006365F6" w:rsidP="006365F6">
      <w:pPr>
        <w:pBdr>
          <w:top w:val="nil"/>
          <w:left w:val="nil"/>
          <w:bottom w:val="nil"/>
          <w:right w:val="nil"/>
          <w:between w:val="nil"/>
          <w:bar w:val="nil"/>
        </w:pBdr>
        <w:spacing w:before="0" w:after="240"/>
        <w:rPr>
          <w:noProof/>
        </w:rPr>
      </w:pPr>
      <w:r w:rsidRPr="00A3179E">
        <w:rPr>
          <w:noProof/>
        </w:rPr>
        <w:t>T</w:t>
      </w:r>
      <w:r w:rsidR="00BB071A" w:rsidRPr="00A3179E">
        <w:rPr>
          <w:noProof/>
        </w:rPr>
        <w:t xml:space="preserve">he </w:t>
      </w:r>
      <w:r w:rsidRPr="00A3179E">
        <w:rPr>
          <w:noProof/>
        </w:rPr>
        <w:t xml:space="preserve">aim of the </w:t>
      </w:r>
      <w:r w:rsidR="00BB071A" w:rsidRPr="00A3179E">
        <w:rPr>
          <w:noProof/>
        </w:rPr>
        <w:t xml:space="preserve">Protocol </w:t>
      </w:r>
      <w:r w:rsidRPr="00A3179E">
        <w:rPr>
          <w:noProof/>
        </w:rPr>
        <w:t>is to enhance co-operation on cybercrime and the collection of evidence in electronic form of a criminal offence for the purpose of specific criminal investigations or proceedings</w:t>
      </w:r>
      <w:r w:rsidR="00727CAE" w:rsidRPr="00A3179E">
        <w:rPr>
          <w:noProof/>
        </w:rPr>
        <w:t xml:space="preserve">. </w:t>
      </w:r>
      <w:r w:rsidR="002E512D" w:rsidRPr="00A3179E">
        <w:rPr>
          <w:noProof/>
        </w:rPr>
        <w:t>The Protocol</w:t>
      </w:r>
      <w:r w:rsidR="00727CAE" w:rsidRPr="00A3179E">
        <w:rPr>
          <w:noProof/>
        </w:rPr>
        <w:t xml:space="preserve"> recognises the need for increased and more efficient co-operation between States and </w:t>
      </w:r>
      <w:r w:rsidR="00392FBC" w:rsidRPr="00A3179E">
        <w:rPr>
          <w:noProof/>
        </w:rPr>
        <w:t xml:space="preserve">with </w:t>
      </w:r>
      <w:r w:rsidR="00727CAE" w:rsidRPr="00A3179E">
        <w:rPr>
          <w:noProof/>
        </w:rPr>
        <w:t xml:space="preserve">the private sector, and </w:t>
      </w:r>
      <w:r w:rsidR="008E6CD1" w:rsidRPr="00A3179E">
        <w:rPr>
          <w:noProof/>
        </w:rPr>
        <w:t xml:space="preserve">for </w:t>
      </w:r>
      <w:r w:rsidR="00727CAE" w:rsidRPr="00A3179E">
        <w:rPr>
          <w:noProof/>
        </w:rPr>
        <w:t xml:space="preserve">greater clarity </w:t>
      </w:r>
      <w:r w:rsidR="006A757D" w:rsidRPr="00A3179E">
        <w:rPr>
          <w:noProof/>
        </w:rPr>
        <w:t xml:space="preserve">and </w:t>
      </w:r>
      <w:r w:rsidR="00727CAE" w:rsidRPr="00A3179E">
        <w:rPr>
          <w:noProof/>
        </w:rPr>
        <w:t xml:space="preserve">legal certainty for service providers and other entities regarding the circumstances in which they may respond to requests from criminal justice authorities in other Parties for the disclosure of electronic evidence. </w:t>
      </w:r>
    </w:p>
    <w:p w14:paraId="15B3F45E" w14:textId="70399810" w:rsidR="00727CAE" w:rsidRPr="00A3179E" w:rsidRDefault="002E512D" w:rsidP="006365F6">
      <w:pPr>
        <w:pBdr>
          <w:top w:val="nil"/>
          <w:left w:val="nil"/>
          <w:bottom w:val="nil"/>
          <w:right w:val="nil"/>
          <w:between w:val="nil"/>
          <w:bar w:val="nil"/>
        </w:pBdr>
        <w:spacing w:before="0" w:after="240"/>
        <w:rPr>
          <w:noProof/>
        </w:rPr>
      </w:pPr>
      <w:r w:rsidRPr="00A3179E">
        <w:rPr>
          <w:noProof/>
        </w:rPr>
        <w:t>The Protocol also recognises that e</w:t>
      </w:r>
      <w:r w:rsidR="00727CAE" w:rsidRPr="00A3179E">
        <w:rPr>
          <w:noProof/>
        </w:rPr>
        <w:t xml:space="preserve">ffective cross-border cooperation for criminal justice purposes, including between public sector authorities and private sector entities, </w:t>
      </w:r>
      <w:r w:rsidR="00105DF3" w:rsidRPr="00A3179E">
        <w:rPr>
          <w:noProof/>
        </w:rPr>
        <w:t xml:space="preserve">requires </w:t>
      </w:r>
      <w:r w:rsidR="00727CAE" w:rsidRPr="00A3179E">
        <w:rPr>
          <w:noProof/>
        </w:rPr>
        <w:t>effective conditions and strong safeguards for the protection of fundamental rights. For that purpose, the Protocol follows a rights-based approach and provides for conditions and safeguards in line with international human rights instruments</w:t>
      </w:r>
      <w:r w:rsidR="008E6CD1" w:rsidRPr="00A3179E">
        <w:rPr>
          <w:noProof/>
        </w:rPr>
        <w:t>,</w:t>
      </w:r>
      <w:r w:rsidR="00727CAE" w:rsidRPr="00A3179E">
        <w:rPr>
          <w:noProof/>
        </w:rPr>
        <w:t xml:space="preserve"> </w:t>
      </w:r>
      <w:r w:rsidR="005E6204" w:rsidRPr="00A3179E">
        <w:rPr>
          <w:noProof/>
        </w:rPr>
        <w:t>including</w:t>
      </w:r>
      <w:r w:rsidR="00727CAE" w:rsidRPr="00A3179E">
        <w:rPr>
          <w:noProof/>
        </w:rPr>
        <w:t xml:space="preserve"> the 1950 Council of Europe Convention for the Protection of Human Rights and Fundamental Freedoms</w:t>
      </w:r>
      <w:r w:rsidR="005E6204" w:rsidRPr="00A3179E">
        <w:rPr>
          <w:noProof/>
        </w:rPr>
        <w:t>.</w:t>
      </w:r>
      <w:r w:rsidR="00727CAE" w:rsidRPr="00A3179E">
        <w:rPr>
          <w:noProof/>
        </w:rPr>
        <w:t xml:space="preserve"> </w:t>
      </w:r>
      <w:r w:rsidR="005E6204" w:rsidRPr="00A3179E">
        <w:rPr>
          <w:noProof/>
        </w:rPr>
        <w:t>As e</w:t>
      </w:r>
      <w:r w:rsidR="00727CAE" w:rsidRPr="00A3179E">
        <w:rPr>
          <w:noProof/>
        </w:rPr>
        <w:t xml:space="preserve">lectronic evidence often concerns personal data, the Protocol </w:t>
      </w:r>
      <w:r w:rsidR="005E6204" w:rsidRPr="00A3179E">
        <w:rPr>
          <w:noProof/>
        </w:rPr>
        <w:t xml:space="preserve">also </w:t>
      </w:r>
      <w:r w:rsidR="00392FBC" w:rsidRPr="00A3179E">
        <w:rPr>
          <w:noProof/>
        </w:rPr>
        <w:t>includes</w:t>
      </w:r>
      <w:r w:rsidR="005E6204" w:rsidRPr="00A3179E">
        <w:rPr>
          <w:noProof/>
        </w:rPr>
        <w:t xml:space="preserve"> strong safeguards for the protection of </w:t>
      </w:r>
      <w:r w:rsidR="00727CAE" w:rsidRPr="00A3179E">
        <w:rPr>
          <w:noProof/>
        </w:rPr>
        <w:t xml:space="preserve">privacy and personal data. </w:t>
      </w:r>
    </w:p>
    <w:p w14:paraId="15B3F45F" w14:textId="76D5110C" w:rsidR="008531C5" w:rsidRPr="00A3179E" w:rsidRDefault="008531C5" w:rsidP="006365F6">
      <w:pPr>
        <w:pBdr>
          <w:top w:val="nil"/>
          <w:left w:val="nil"/>
          <w:bottom w:val="nil"/>
          <w:right w:val="nil"/>
          <w:between w:val="nil"/>
          <w:bar w:val="nil"/>
        </w:pBdr>
        <w:spacing w:before="0" w:after="240"/>
        <w:rPr>
          <w:noProof/>
        </w:rPr>
      </w:pPr>
      <w:r w:rsidRPr="00A3179E">
        <w:rPr>
          <w:noProof/>
        </w:rPr>
        <w:t>The provisions</w:t>
      </w:r>
      <w:r w:rsidR="00EC7843" w:rsidRPr="00A3179E">
        <w:rPr>
          <w:noProof/>
        </w:rPr>
        <w:t xml:space="preserve"> referred to in the following subparagraphs</w:t>
      </w:r>
      <w:r w:rsidR="00EC7843" w:rsidDel="00EC7843">
        <w:rPr>
          <w:rStyle w:val="CommentReference"/>
          <w:noProof/>
        </w:rPr>
        <w:t xml:space="preserve"> </w:t>
      </w:r>
      <w:r w:rsidRPr="00A3179E">
        <w:rPr>
          <w:noProof/>
        </w:rPr>
        <w:t xml:space="preserve">are of particular importance for the Protocol. </w:t>
      </w:r>
      <w:r w:rsidR="00105DF3" w:rsidRPr="00A3179E">
        <w:rPr>
          <w:noProof/>
        </w:rPr>
        <w:t xml:space="preserve">The Protocol is accompanied by a detailed explanatory report. Although the explanatory report does not constitute an instrument providing an authoritative interpretation of the Protocol, it is </w:t>
      </w:r>
      <w:r w:rsidR="008C0A35">
        <w:rPr>
          <w:noProof/>
        </w:rPr>
        <w:t xml:space="preserve">intended to </w:t>
      </w:r>
      <w:r w:rsidR="00105DF3" w:rsidRPr="00A3179E">
        <w:rPr>
          <w:noProof/>
        </w:rPr>
        <w:t>‘</w:t>
      </w:r>
      <w:r w:rsidR="008C0A35">
        <w:rPr>
          <w:noProof/>
        </w:rPr>
        <w:t xml:space="preserve">guide and assist Parties’ in </w:t>
      </w:r>
      <w:r w:rsidR="00105DF3" w:rsidRPr="00A3179E">
        <w:rPr>
          <w:noProof/>
        </w:rPr>
        <w:t xml:space="preserve">the application of the </w:t>
      </w:r>
      <w:r w:rsidR="008C0A35">
        <w:rPr>
          <w:noProof/>
        </w:rPr>
        <w:t>Protocol</w:t>
      </w:r>
      <w:r w:rsidR="00105DF3" w:rsidRPr="00A3179E">
        <w:rPr>
          <w:noProof/>
        </w:rPr>
        <w:t>.</w:t>
      </w:r>
      <w:r w:rsidR="00DE438F">
        <w:rPr>
          <w:rStyle w:val="FootnoteReference0"/>
          <w:noProof/>
        </w:rPr>
        <w:footnoteReference w:id="23"/>
      </w:r>
      <w:r w:rsidR="00105DF3" w:rsidRPr="00A3179E">
        <w:rPr>
          <w:noProof/>
        </w:rPr>
        <w:t xml:space="preserve"> </w:t>
      </w:r>
    </w:p>
    <w:p w14:paraId="15B3F460" w14:textId="3EDD3BFB" w:rsidR="00BB071A" w:rsidRPr="00A3179E" w:rsidRDefault="00C1434B" w:rsidP="00C1434B">
      <w:pPr>
        <w:pStyle w:val="ManualHeading3"/>
        <w:rPr>
          <w:noProof/>
        </w:rPr>
      </w:pPr>
      <w:r w:rsidRPr="00C1434B">
        <w:t>2.2.1.</w:t>
      </w:r>
      <w:r w:rsidRPr="00C1434B">
        <w:tab/>
      </w:r>
      <w:r w:rsidR="00BB071A" w:rsidRPr="00A3179E">
        <w:rPr>
          <w:noProof/>
        </w:rPr>
        <w:t>Common provisions</w:t>
      </w:r>
    </w:p>
    <w:p w14:paraId="15B3F461" w14:textId="140BA554" w:rsidR="000B5E1F" w:rsidRPr="00A3179E" w:rsidRDefault="00392FBC" w:rsidP="00F903F3">
      <w:pPr>
        <w:pBdr>
          <w:top w:val="nil"/>
          <w:left w:val="nil"/>
          <w:bottom w:val="nil"/>
          <w:right w:val="nil"/>
          <w:between w:val="nil"/>
          <w:bar w:val="nil"/>
        </w:pBdr>
        <w:spacing w:before="0" w:after="240"/>
        <w:rPr>
          <w:noProof/>
        </w:rPr>
      </w:pPr>
      <w:r w:rsidRPr="00A3179E">
        <w:rPr>
          <w:noProof/>
        </w:rPr>
        <w:t xml:space="preserve">Chapter </w:t>
      </w:r>
      <w:r w:rsidR="00105DF3" w:rsidRPr="00A3179E">
        <w:rPr>
          <w:noProof/>
        </w:rPr>
        <w:t xml:space="preserve">I </w:t>
      </w:r>
      <w:r w:rsidRPr="00A3179E">
        <w:rPr>
          <w:noProof/>
        </w:rPr>
        <w:t xml:space="preserve">of the Protocol provides for common provisions. </w:t>
      </w:r>
      <w:r w:rsidR="00253DDA" w:rsidRPr="00A3179E">
        <w:rPr>
          <w:noProof/>
        </w:rPr>
        <w:t xml:space="preserve">Article 2 </w:t>
      </w:r>
      <w:r w:rsidRPr="00A3179E">
        <w:rPr>
          <w:noProof/>
        </w:rPr>
        <w:t>determines</w:t>
      </w:r>
      <w:r w:rsidR="00253DDA" w:rsidRPr="00A3179E">
        <w:rPr>
          <w:noProof/>
        </w:rPr>
        <w:t xml:space="preserve"> </w:t>
      </w:r>
      <w:r w:rsidRPr="00A3179E">
        <w:rPr>
          <w:noProof/>
        </w:rPr>
        <w:t>the</w:t>
      </w:r>
      <w:r w:rsidR="00253DDA" w:rsidRPr="00A3179E">
        <w:rPr>
          <w:noProof/>
        </w:rPr>
        <w:t xml:space="preserve"> scope of application</w:t>
      </w:r>
      <w:r w:rsidRPr="00A3179E">
        <w:rPr>
          <w:noProof/>
        </w:rPr>
        <w:t xml:space="preserve"> of the Protocol</w:t>
      </w:r>
      <w:r w:rsidR="00D37576" w:rsidRPr="00A3179E">
        <w:rPr>
          <w:noProof/>
        </w:rPr>
        <w:t>, in line with the scope of the Convention</w:t>
      </w:r>
      <w:r w:rsidR="00253DDA" w:rsidRPr="00A3179E">
        <w:rPr>
          <w:noProof/>
        </w:rPr>
        <w:t>: it applies to specific criminal investigations or proceedings concerning criminal offences related to computer systems and data, and to the collection of evidence in electronic form of a criminal offence.</w:t>
      </w:r>
    </w:p>
    <w:p w14:paraId="15B3F462" w14:textId="31C66766" w:rsidR="00253DDA" w:rsidRPr="00A3179E" w:rsidRDefault="00392FBC" w:rsidP="00F903F3">
      <w:pPr>
        <w:pBdr>
          <w:top w:val="nil"/>
          <w:left w:val="nil"/>
          <w:bottom w:val="nil"/>
          <w:right w:val="nil"/>
          <w:between w:val="nil"/>
          <w:bar w:val="nil"/>
        </w:pBdr>
        <w:spacing w:before="0" w:after="240"/>
        <w:rPr>
          <w:noProof/>
        </w:rPr>
      </w:pPr>
      <w:r w:rsidRPr="00A3179E">
        <w:rPr>
          <w:noProof/>
        </w:rPr>
        <w:t xml:space="preserve">In </w:t>
      </w:r>
      <w:r w:rsidR="00253DDA" w:rsidRPr="00A3179E">
        <w:rPr>
          <w:noProof/>
        </w:rPr>
        <w:t>Article 3</w:t>
      </w:r>
      <w:r w:rsidRPr="00A3179E">
        <w:rPr>
          <w:noProof/>
        </w:rPr>
        <w:t xml:space="preserve">, </w:t>
      </w:r>
      <w:r w:rsidR="00253DDA" w:rsidRPr="00A3179E">
        <w:rPr>
          <w:noProof/>
        </w:rPr>
        <w:t xml:space="preserve">definitions </w:t>
      </w:r>
      <w:r w:rsidRPr="00A3179E">
        <w:rPr>
          <w:noProof/>
        </w:rPr>
        <w:t xml:space="preserve">are included </w:t>
      </w:r>
      <w:r w:rsidR="00253DDA" w:rsidRPr="00A3179E">
        <w:rPr>
          <w:noProof/>
        </w:rPr>
        <w:t>with regard to ‘central authorities’, ‘competent authorities’, ‘emergency situations’, ‘personal data’ and ‘transferring Party’.</w:t>
      </w:r>
      <w:r w:rsidRPr="00A3179E">
        <w:rPr>
          <w:noProof/>
        </w:rPr>
        <w:t xml:space="preserve"> These definitions apply to the Protocol, together with definitions included in the Convention. </w:t>
      </w:r>
    </w:p>
    <w:p w14:paraId="15B3F463" w14:textId="77777777" w:rsidR="00253DDA" w:rsidRPr="00A3179E" w:rsidRDefault="00253DDA" w:rsidP="00F903F3">
      <w:pPr>
        <w:pBdr>
          <w:top w:val="nil"/>
          <w:left w:val="nil"/>
          <w:bottom w:val="nil"/>
          <w:right w:val="nil"/>
          <w:between w:val="nil"/>
          <w:bar w:val="nil"/>
        </w:pBdr>
        <w:spacing w:before="0" w:after="240"/>
        <w:rPr>
          <w:noProof/>
        </w:rPr>
      </w:pPr>
      <w:r w:rsidRPr="00A3179E">
        <w:rPr>
          <w:noProof/>
        </w:rPr>
        <w:t xml:space="preserve">Article 4 determines </w:t>
      </w:r>
      <w:r w:rsidR="006124EB" w:rsidRPr="00A3179E">
        <w:rPr>
          <w:noProof/>
        </w:rPr>
        <w:t xml:space="preserve">the </w:t>
      </w:r>
      <w:r w:rsidRPr="00A3179E">
        <w:rPr>
          <w:noProof/>
        </w:rPr>
        <w:t xml:space="preserve">languages </w:t>
      </w:r>
      <w:r w:rsidR="006124EB" w:rsidRPr="00A3179E">
        <w:rPr>
          <w:noProof/>
        </w:rPr>
        <w:t>in which Parties should submit orders, requests or notifications under the Protocol.</w:t>
      </w:r>
    </w:p>
    <w:p w14:paraId="15B3F464" w14:textId="45E6B5E7" w:rsidR="00BB071A" w:rsidRPr="00A3179E" w:rsidRDefault="00C1434B" w:rsidP="00C1434B">
      <w:pPr>
        <w:pStyle w:val="ManualHeading3"/>
        <w:rPr>
          <w:noProof/>
        </w:rPr>
      </w:pPr>
      <w:r w:rsidRPr="00C1434B">
        <w:t>2.2.2.</w:t>
      </w:r>
      <w:r w:rsidRPr="00C1434B">
        <w:tab/>
      </w:r>
      <w:r w:rsidR="00BB071A" w:rsidRPr="00A3179E">
        <w:rPr>
          <w:noProof/>
        </w:rPr>
        <w:t>Cooperation measures</w:t>
      </w:r>
    </w:p>
    <w:p w14:paraId="15B3F465" w14:textId="6F3080E4" w:rsidR="0029232E" w:rsidRPr="00A3179E" w:rsidRDefault="00392FBC" w:rsidP="00CA533D">
      <w:pPr>
        <w:pBdr>
          <w:top w:val="nil"/>
          <w:left w:val="nil"/>
          <w:bottom w:val="nil"/>
          <w:right w:val="nil"/>
          <w:between w:val="nil"/>
          <w:bar w:val="nil"/>
        </w:pBdr>
        <w:spacing w:before="0" w:after="240"/>
        <w:rPr>
          <w:noProof/>
        </w:rPr>
      </w:pPr>
      <w:r w:rsidRPr="00A3179E">
        <w:rPr>
          <w:noProof/>
        </w:rPr>
        <w:t xml:space="preserve">Chapter </w:t>
      </w:r>
      <w:r w:rsidR="00105DF3" w:rsidRPr="00A3179E">
        <w:rPr>
          <w:noProof/>
        </w:rPr>
        <w:t xml:space="preserve">II </w:t>
      </w:r>
      <w:r w:rsidRPr="00A3179E">
        <w:rPr>
          <w:noProof/>
        </w:rPr>
        <w:t xml:space="preserve">of the Protocol </w:t>
      </w:r>
      <w:r w:rsidR="006124EB" w:rsidRPr="00A3179E">
        <w:rPr>
          <w:noProof/>
        </w:rPr>
        <w:t xml:space="preserve">provides for </w:t>
      </w:r>
      <w:r w:rsidRPr="00A3179E">
        <w:rPr>
          <w:noProof/>
        </w:rPr>
        <w:t>m</w:t>
      </w:r>
      <w:r w:rsidR="006124EB" w:rsidRPr="00A3179E">
        <w:rPr>
          <w:noProof/>
        </w:rPr>
        <w:t xml:space="preserve">easures to enhance cooperation. </w:t>
      </w:r>
      <w:r w:rsidR="0029232E" w:rsidRPr="00A3179E">
        <w:rPr>
          <w:noProof/>
        </w:rPr>
        <w:t xml:space="preserve">First, Article 5, paragraph 1, determines that Parties shall cooperate on the basis of the Protocol to the widest extent possible. Article 5, paragraphs 2 to 5, determines </w:t>
      </w:r>
      <w:r w:rsidR="006C11BE" w:rsidRPr="00A3179E">
        <w:rPr>
          <w:noProof/>
        </w:rPr>
        <w:t xml:space="preserve">the application of </w:t>
      </w:r>
      <w:r w:rsidR="0029232E" w:rsidRPr="00A3179E">
        <w:rPr>
          <w:noProof/>
        </w:rPr>
        <w:t xml:space="preserve">the measures of the Protocol in relation to existing mutual assistance treaties or arrangements. Article 5, paragraph 7, sets out that the measures </w:t>
      </w:r>
      <w:r w:rsidR="00DA019F" w:rsidRPr="00A3179E">
        <w:rPr>
          <w:noProof/>
        </w:rPr>
        <w:t xml:space="preserve">in Chapter </w:t>
      </w:r>
      <w:r w:rsidR="006C11BE" w:rsidRPr="00A3179E">
        <w:rPr>
          <w:noProof/>
        </w:rPr>
        <w:t xml:space="preserve">II </w:t>
      </w:r>
      <w:r w:rsidR="0029232E" w:rsidRPr="00A3179E">
        <w:rPr>
          <w:noProof/>
        </w:rPr>
        <w:t xml:space="preserve">shall not restrict cooperation between Parties, or with service providers or entities, through other applicable agreements, arrangements, practices, or domestic law. </w:t>
      </w:r>
    </w:p>
    <w:p w14:paraId="15B3F466" w14:textId="77777777" w:rsidR="00392FBC" w:rsidRPr="00A3179E" w:rsidRDefault="00E41448" w:rsidP="00CA533D">
      <w:pPr>
        <w:pBdr>
          <w:top w:val="nil"/>
          <w:left w:val="nil"/>
          <w:bottom w:val="nil"/>
          <w:right w:val="nil"/>
          <w:between w:val="nil"/>
          <w:bar w:val="nil"/>
        </w:pBdr>
        <w:spacing w:before="0" w:after="240"/>
        <w:rPr>
          <w:noProof/>
        </w:rPr>
      </w:pPr>
      <w:r w:rsidRPr="00A3179E">
        <w:rPr>
          <w:noProof/>
        </w:rPr>
        <w:t xml:space="preserve">Article 6 provides a basis for the direct cooperation between competent authorities in one Party and entities providing domain name registration services in another Party, for the disclosure of domain name registration data. </w:t>
      </w:r>
    </w:p>
    <w:p w14:paraId="15B3F467" w14:textId="77777777" w:rsidR="00E41448" w:rsidRPr="00A3179E" w:rsidRDefault="00E41448" w:rsidP="00CA533D">
      <w:pPr>
        <w:pBdr>
          <w:top w:val="nil"/>
          <w:left w:val="nil"/>
          <w:bottom w:val="nil"/>
          <w:right w:val="nil"/>
          <w:between w:val="nil"/>
          <w:bar w:val="nil"/>
        </w:pBdr>
        <w:spacing w:before="0" w:after="240"/>
        <w:rPr>
          <w:noProof/>
        </w:rPr>
      </w:pPr>
      <w:r w:rsidRPr="00A3179E">
        <w:rPr>
          <w:noProof/>
        </w:rPr>
        <w:t>Article 7 provides a basis for the direct cooperation between competent authorities in one Party and service providers in another Party for the disclosure of subscriber data.</w:t>
      </w:r>
      <w:r w:rsidR="00CA533D" w:rsidRPr="00A3179E">
        <w:rPr>
          <w:noProof/>
        </w:rPr>
        <w:t xml:space="preserve"> </w:t>
      </w:r>
    </w:p>
    <w:p w14:paraId="15B3F468" w14:textId="77777777" w:rsidR="00392FBC" w:rsidRPr="00A3179E" w:rsidRDefault="00E41448" w:rsidP="00F903F3">
      <w:pPr>
        <w:pBdr>
          <w:top w:val="nil"/>
          <w:left w:val="nil"/>
          <w:bottom w:val="nil"/>
          <w:right w:val="nil"/>
          <w:between w:val="nil"/>
          <w:bar w:val="nil"/>
        </w:pBdr>
        <w:spacing w:before="0" w:after="240"/>
        <w:rPr>
          <w:noProof/>
        </w:rPr>
      </w:pPr>
      <w:r w:rsidRPr="00A3179E">
        <w:rPr>
          <w:noProof/>
        </w:rPr>
        <w:t xml:space="preserve">Article 8 provides a basis for enhanced cooperation between authorities for the disclosure of computer data. </w:t>
      </w:r>
    </w:p>
    <w:p w14:paraId="15B3F469" w14:textId="77777777" w:rsidR="00E41448" w:rsidRPr="00A3179E" w:rsidRDefault="00E41448" w:rsidP="00F903F3">
      <w:pPr>
        <w:pBdr>
          <w:top w:val="nil"/>
          <w:left w:val="nil"/>
          <w:bottom w:val="nil"/>
          <w:right w:val="nil"/>
          <w:between w:val="nil"/>
          <w:bar w:val="nil"/>
        </w:pBdr>
        <w:spacing w:before="0" w:after="240"/>
        <w:rPr>
          <w:noProof/>
        </w:rPr>
      </w:pPr>
      <w:r w:rsidRPr="00A3179E">
        <w:rPr>
          <w:noProof/>
        </w:rPr>
        <w:t>Article 9 provides a basis for the cooperation between authorities for the disclosure of computer data in emergency situations.</w:t>
      </w:r>
    </w:p>
    <w:p w14:paraId="15B3F46A" w14:textId="77777777" w:rsidR="00E41448" w:rsidRPr="00A3179E" w:rsidRDefault="00E41448" w:rsidP="00F903F3">
      <w:pPr>
        <w:pBdr>
          <w:top w:val="nil"/>
          <w:left w:val="nil"/>
          <w:bottom w:val="nil"/>
          <w:right w:val="nil"/>
          <w:between w:val="nil"/>
          <w:bar w:val="nil"/>
        </w:pBdr>
        <w:spacing w:before="0" w:after="240"/>
        <w:rPr>
          <w:noProof/>
        </w:rPr>
      </w:pPr>
      <w:r w:rsidRPr="00A3179E">
        <w:rPr>
          <w:noProof/>
        </w:rPr>
        <w:t xml:space="preserve">Article 10 provides a basis for mutual legal assistance in emergency situations. </w:t>
      </w:r>
    </w:p>
    <w:p w14:paraId="15B3F46B" w14:textId="32CDAEB4" w:rsidR="00392FBC" w:rsidRPr="00A3179E" w:rsidRDefault="00E41448" w:rsidP="00F903F3">
      <w:pPr>
        <w:pBdr>
          <w:top w:val="nil"/>
          <w:left w:val="nil"/>
          <w:bottom w:val="nil"/>
          <w:right w:val="nil"/>
          <w:between w:val="nil"/>
          <w:bar w:val="nil"/>
        </w:pBdr>
        <w:spacing w:before="0" w:after="240"/>
        <w:rPr>
          <w:noProof/>
        </w:rPr>
      </w:pPr>
      <w:r w:rsidRPr="00A3179E">
        <w:rPr>
          <w:noProof/>
        </w:rPr>
        <w:t xml:space="preserve">Article 11 provides a basis for cooperation by video conference. </w:t>
      </w:r>
    </w:p>
    <w:p w14:paraId="15B3F46C" w14:textId="77777777" w:rsidR="00E41448" w:rsidRPr="00A3179E" w:rsidRDefault="00E41448" w:rsidP="00F903F3">
      <w:pPr>
        <w:pBdr>
          <w:top w:val="nil"/>
          <w:left w:val="nil"/>
          <w:bottom w:val="nil"/>
          <w:right w:val="nil"/>
          <w:between w:val="nil"/>
          <w:bar w:val="nil"/>
        </w:pBdr>
        <w:spacing w:before="0" w:after="240"/>
        <w:rPr>
          <w:noProof/>
        </w:rPr>
      </w:pPr>
      <w:r w:rsidRPr="00A3179E">
        <w:rPr>
          <w:noProof/>
        </w:rPr>
        <w:t>Article 12 provides a basis for joint investigations and joint investigation teams.</w:t>
      </w:r>
    </w:p>
    <w:p w14:paraId="15B3F46D" w14:textId="10707936" w:rsidR="000B5E1F" w:rsidRPr="00A3179E" w:rsidRDefault="00C1434B" w:rsidP="00C1434B">
      <w:pPr>
        <w:pStyle w:val="ManualHeading3"/>
        <w:rPr>
          <w:noProof/>
        </w:rPr>
      </w:pPr>
      <w:r w:rsidRPr="00C1434B">
        <w:t>2.2.3.</w:t>
      </w:r>
      <w:r w:rsidRPr="00C1434B">
        <w:tab/>
      </w:r>
      <w:r w:rsidR="000B5E1F" w:rsidRPr="00A3179E">
        <w:rPr>
          <w:noProof/>
        </w:rPr>
        <w:t>Safeguards</w:t>
      </w:r>
    </w:p>
    <w:p w14:paraId="5BE3B855" w14:textId="01F94CF2" w:rsidR="00D37576" w:rsidRPr="00A3179E" w:rsidRDefault="005922B5" w:rsidP="00F903F3">
      <w:pPr>
        <w:pBdr>
          <w:top w:val="nil"/>
          <w:left w:val="nil"/>
          <w:bottom w:val="nil"/>
          <w:right w:val="nil"/>
          <w:between w:val="nil"/>
          <w:bar w:val="nil"/>
        </w:pBdr>
        <w:spacing w:before="0" w:after="240"/>
        <w:rPr>
          <w:noProof/>
        </w:rPr>
      </w:pPr>
      <w:r w:rsidRPr="00A3179E">
        <w:rPr>
          <w:noProof/>
        </w:rPr>
        <w:t xml:space="preserve">The Protocol </w:t>
      </w:r>
      <w:r w:rsidR="00392FBC" w:rsidRPr="00A3179E">
        <w:rPr>
          <w:noProof/>
        </w:rPr>
        <w:t>follows</w:t>
      </w:r>
      <w:r w:rsidR="00C047C9" w:rsidRPr="00A3179E">
        <w:rPr>
          <w:noProof/>
        </w:rPr>
        <w:t xml:space="preserve"> </w:t>
      </w:r>
      <w:r w:rsidR="00435D5B" w:rsidRPr="00A3179E">
        <w:rPr>
          <w:noProof/>
        </w:rPr>
        <w:t xml:space="preserve">a rights-based approach with specific conditions and safeguards, some of which are incorporated in the </w:t>
      </w:r>
      <w:r w:rsidR="002E512D" w:rsidRPr="00A3179E">
        <w:rPr>
          <w:noProof/>
        </w:rPr>
        <w:t xml:space="preserve">specific </w:t>
      </w:r>
      <w:r w:rsidR="00435D5B" w:rsidRPr="00A3179E">
        <w:rPr>
          <w:noProof/>
        </w:rPr>
        <w:t>cooperation m</w:t>
      </w:r>
      <w:r w:rsidR="00392FBC" w:rsidRPr="00A3179E">
        <w:rPr>
          <w:noProof/>
        </w:rPr>
        <w:t>easures, as well as</w:t>
      </w:r>
      <w:r w:rsidR="00435D5B" w:rsidRPr="00A3179E">
        <w:rPr>
          <w:noProof/>
        </w:rPr>
        <w:t xml:space="preserve"> in </w:t>
      </w:r>
      <w:r w:rsidR="00105DF3" w:rsidRPr="00A3179E">
        <w:rPr>
          <w:noProof/>
        </w:rPr>
        <w:t>C</w:t>
      </w:r>
      <w:r w:rsidR="002E512D" w:rsidRPr="00A3179E">
        <w:rPr>
          <w:noProof/>
        </w:rPr>
        <w:t xml:space="preserve">hapter </w:t>
      </w:r>
      <w:r w:rsidR="00105DF3" w:rsidRPr="00A3179E">
        <w:rPr>
          <w:noProof/>
        </w:rPr>
        <w:t>III</w:t>
      </w:r>
      <w:r w:rsidR="002E512D" w:rsidRPr="00A3179E">
        <w:rPr>
          <w:noProof/>
        </w:rPr>
        <w:t xml:space="preserve"> of the Protocol</w:t>
      </w:r>
      <w:r w:rsidR="00435D5B" w:rsidRPr="00A3179E">
        <w:rPr>
          <w:noProof/>
        </w:rPr>
        <w:t xml:space="preserve">. Article 13 of the Protocol </w:t>
      </w:r>
      <w:r w:rsidR="00392FBC" w:rsidRPr="00A3179E">
        <w:rPr>
          <w:noProof/>
        </w:rPr>
        <w:t xml:space="preserve">requires Parties to </w:t>
      </w:r>
      <w:r w:rsidR="00435D5B" w:rsidRPr="00A3179E">
        <w:rPr>
          <w:noProof/>
        </w:rPr>
        <w:t>ensure that powers and procedures are subject to an appropriate level of protection for fundamental rights</w:t>
      </w:r>
      <w:r w:rsidR="00F1653B" w:rsidRPr="00A3179E">
        <w:rPr>
          <w:noProof/>
        </w:rPr>
        <w:t>, which, i</w:t>
      </w:r>
      <w:r w:rsidR="00435D5B" w:rsidRPr="00A3179E">
        <w:rPr>
          <w:noProof/>
        </w:rPr>
        <w:t>n line with Article 15 of the Convention, ensures the application of the principle of proportionality.</w:t>
      </w:r>
      <w:r w:rsidR="00D37576" w:rsidRPr="00A3179E">
        <w:rPr>
          <w:noProof/>
        </w:rPr>
        <w:t xml:space="preserve"> </w:t>
      </w:r>
    </w:p>
    <w:p w14:paraId="0AC89465" w14:textId="1262D9C6" w:rsidR="00D27DDC" w:rsidRPr="00A3179E" w:rsidRDefault="00435D5B" w:rsidP="0009217F">
      <w:pPr>
        <w:pBdr>
          <w:top w:val="nil"/>
          <w:left w:val="nil"/>
          <w:bottom w:val="nil"/>
          <w:right w:val="nil"/>
          <w:between w:val="nil"/>
          <w:bar w:val="nil"/>
        </w:pBdr>
        <w:spacing w:before="0" w:after="240"/>
        <w:rPr>
          <w:noProof/>
        </w:rPr>
      </w:pPr>
      <w:r w:rsidRPr="00A3179E">
        <w:rPr>
          <w:noProof/>
        </w:rPr>
        <w:t>Article 14 of the Protocol provides for the protection of personal data</w:t>
      </w:r>
      <w:r w:rsidR="000B3FE5" w:rsidRPr="00A3179E">
        <w:rPr>
          <w:noProof/>
        </w:rPr>
        <w:t>, as defined in</w:t>
      </w:r>
      <w:r w:rsidR="00137707" w:rsidRPr="00A3179E">
        <w:rPr>
          <w:noProof/>
        </w:rPr>
        <w:t xml:space="preserve"> Article 3</w:t>
      </w:r>
      <w:r w:rsidR="007C766C" w:rsidRPr="00A3179E">
        <w:rPr>
          <w:noProof/>
        </w:rPr>
        <w:t xml:space="preserve"> of the Protocol</w:t>
      </w:r>
      <w:r w:rsidR="00137707" w:rsidRPr="00A3179E">
        <w:rPr>
          <w:noProof/>
        </w:rPr>
        <w:t xml:space="preserve"> </w:t>
      </w:r>
      <w:r w:rsidR="0009217F" w:rsidRPr="00A3179E">
        <w:rPr>
          <w:noProof/>
        </w:rPr>
        <w:t xml:space="preserve">in line with </w:t>
      </w:r>
      <w:r w:rsidR="00B62841" w:rsidRPr="00A3179E">
        <w:rPr>
          <w:noProof/>
        </w:rPr>
        <w:t xml:space="preserve">the </w:t>
      </w:r>
      <w:r w:rsidR="00137707" w:rsidRPr="00A3179E">
        <w:rPr>
          <w:noProof/>
        </w:rPr>
        <w:t>Amending Protocol to the Convention for the Protection of Individuals with Regard to the Processing of Personal Data (CETS 223) (</w:t>
      </w:r>
      <w:r w:rsidR="0009217F" w:rsidRPr="00A3179E">
        <w:rPr>
          <w:noProof/>
        </w:rPr>
        <w:t>Convention 108</w:t>
      </w:r>
      <w:r w:rsidR="00137707" w:rsidRPr="00A3179E">
        <w:rPr>
          <w:noProof/>
        </w:rPr>
        <w:t>+)</w:t>
      </w:r>
      <w:r w:rsidR="007F603A" w:rsidRPr="00A3179E">
        <w:rPr>
          <w:noProof/>
        </w:rPr>
        <w:t xml:space="preserve"> and U</w:t>
      </w:r>
      <w:r w:rsidR="00D956E3" w:rsidRPr="00A3179E">
        <w:rPr>
          <w:noProof/>
        </w:rPr>
        <w:t>nion</w:t>
      </w:r>
      <w:r w:rsidR="007F603A" w:rsidRPr="00A3179E">
        <w:rPr>
          <w:noProof/>
        </w:rPr>
        <w:t xml:space="preserve"> law</w:t>
      </w:r>
      <w:r w:rsidR="0009217F" w:rsidRPr="00A3179E">
        <w:rPr>
          <w:noProof/>
        </w:rPr>
        <w:t xml:space="preserve">. </w:t>
      </w:r>
    </w:p>
    <w:p w14:paraId="191A2407" w14:textId="0C7D83A3" w:rsidR="003102AA" w:rsidRPr="00A3179E" w:rsidRDefault="0009217F" w:rsidP="0009217F">
      <w:pPr>
        <w:pBdr>
          <w:top w:val="nil"/>
          <w:left w:val="nil"/>
          <w:bottom w:val="nil"/>
          <w:right w:val="nil"/>
          <w:between w:val="nil"/>
          <w:bar w:val="nil"/>
        </w:pBdr>
        <w:spacing w:before="0" w:after="240"/>
        <w:rPr>
          <w:noProof/>
        </w:rPr>
      </w:pPr>
      <w:r w:rsidRPr="00A3179E">
        <w:rPr>
          <w:noProof/>
        </w:rPr>
        <w:t>On that basis, Article 14</w:t>
      </w:r>
      <w:r w:rsidR="007C766C" w:rsidRPr="00A3179E">
        <w:rPr>
          <w:noProof/>
        </w:rPr>
        <w:t>, paragraphs 2 to 15,</w:t>
      </w:r>
      <w:r w:rsidRPr="00A3179E">
        <w:rPr>
          <w:noProof/>
        </w:rPr>
        <w:t xml:space="preserve"> </w:t>
      </w:r>
      <w:r w:rsidR="00D0511C" w:rsidRPr="00A3179E">
        <w:rPr>
          <w:noProof/>
        </w:rPr>
        <w:t>set out</w:t>
      </w:r>
      <w:r w:rsidRPr="00A3179E">
        <w:rPr>
          <w:noProof/>
        </w:rPr>
        <w:t xml:space="preserve"> fundamental data protection principles,</w:t>
      </w:r>
      <w:r w:rsidR="00D0511C" w:rsidRPr="00A3179E">
        <w:rPr>
          <w:noProof/>
        </w:rPr>
        <w:t xml:space="preserve"> including purpose limitation, </w:t>
      </w:r>
      <w:r w:rsidR="006E3F95" w:rsidRPr="00A3179E">
        <w:rPr>
          <w:noProof/>
        </w:rPr>
        <w:t xml:space="preserve">legal basis, </w:t>
      </w:r>
      <w:r w:rsidR="00D0511C" w:rsidRPr="00A3179E">
        <w:rPr>
          <w:noProof/>
        </w:rPr>
        <w:t>data quality and rules applicable to the processing of special categories of data,</w:t>
      </w:r>
      <w:r w:rsidRPr="00A3179E">
        <w:rPr>
          <w:noProof/>
        </w:rPr>
        <w:t xml:space="preserve"> obligations applicable to controllers, including </w:t>
      </w:r>
      <w:r w:rsidR="00977966" w:rsidRPr="00A3179E">
        <w:rPr>
          <w:noProof/>
        </w:rPr>
        <w:t>on retention, keeping of records, security and</w:t>
      </w:r>
      <w:r w:rsidRPr="00A3179E">
        <w:rPr>
          <w:noProof/>
        </w:rPr>
        <w:t xml:space="preserve"> as regards onward transfers, enforceable individual rights, </w:t>
      </w:r>
      <w:r w:rsidR="00977966" w:rsidRPr="00A3179E">
        <w:rPr>
          <w:noProof/>
        </w:rPr>
        <w:t xml:space="preserve">including on notification, </w:t>
      </w:r>
      <w:r w:rsidR="006E3F95" w:rsidRPr="00A3179E">
        <w:rPr>
          <w:noProof/>
        </w:rPr>
        <w:t xml:space="preserve">access, rectification and automated decision-making, </w:t>
      </w:r>
      <w:r w:rsidRPr="00A3179E">
        <w:rPr>
          <w:noProof/>
        </w:rPr>
        <w:t xml:space="preserve">independent </w:t>
      </w:r>
      <w:r w:rsidR="00D0511C" w:rsidRPr="00A3179E">
        <w:rPr>
          <w:noProof/>
        </w:rPr>
        <w:t xml:space="preserve">and effective </w:t>
      </w:r>
      <w:r w:rsidRPr="00A3179E">
        <w:rPr>
          <w:noProof/>
        </w:rPr>
        <w:t xml:space="preserve">supervision by one or more authorities as well as administrative and judicial redress. The safeguards </w:t>
      </w:r>
      <w:r w:rsidR="00105DF3" w:rsidRPr="00A3179E">
        <w:rPr>
          <w:noProof/>
        </w:rPr>
        <w:t xml:space="preserve">cover all forms of cooperation set out in the Protocol, with adaptations where necessary to address the specific features of direct cooperation (e.g. in the context of breach notification). The exercise of certain individual rights can be delayed, limited or refused where necessary and proportionate to pursue important public interest objectives, in particular to prevent risk to an ongoing law enforcement investigations, which is also in line with </w:t>
      </w:r>
      <w:r w:rsidR="001F71EE" w:rsidRPr="00A3179E">
        <w:rPr>
          <w:noProof/>
        </w:rPr>
        <w:t>Union</w:t>
      </w:r>
      <w:r w:rsidR="00105DF3" w:rsidRPr="00A3179E">
        <w:rPr>
          <w:noProof/>
        </w:rPr>
        <w:t xml:space="preserve"> law. </w:t>
      </w:r>
    </w:p>
    <w:p w14:paraId="447AD870" w14:textId="4C0B79BF" w:rsidR="003102AA" w:rsidRPr="00A3179E" w:rsidRDefault="00137707" w:rsidP="0009217F">
      <w:pPr>
        <w:pBdr>
          <w:top w:val="nil"/>
          <w:left w:val="nil"/>
          <w:bottom w:val="nil"/>
          <w:right w:val="nil"/>
          <w:between w:val="nil"/>
          <w:bar w:val="nil"/>
        </w:pBdr>
        <w:spacing w:before="0" w:after="240"/>
        <w:rPr>
          <w:noProof/>
        </w:rPr>
      </w:pPr>
      <w:r w:rsidRPr="00A3179E">
        <w:rPr>
          <w:noProof/>
        </w:rPr>
        <w:t xml:space="preserve">Article 14 of the Protocol should also be read in conjunction with </w:t>
      </w:r>
      <w:r w:rsidR="009D4362" w:rsidRPr="00A3179E" w:rsidDel="00137707">
        <w:rPr>
          <w:noProof/>
        </w:rPr>
        <w:t xml:space="preserve">Article </w:t>
      </w:r>
      <w:r w:rsidR="003102AA" w:rsidRPr="00A3179E" w:rsidDel="00137707">
        <w:rPr>
          <w:noProof/>
        </w:rPr>
        <w:t xml:space="preserve">23 </w:t>
      </w:r>
      <w:r w:rsidR="009D4362" w:rsidRPr="00A3179E" w:rsidDel="00137707">
        <w:rPr>
          <w:noProof/>
        </w:rPr>
        <w:t>of the Protocol</w:t>
      </w:r>
      <w:r w:rsidRPr="00A3179E">
        <w:rPr>
          <w:noProof/>
        </w:rPr>
        <w:t xml:space="preserve">. Article 23 </w:t>
      </w:r>
      <w:r w:rsidRPr="007C766C" w:rsidDel="00137707">
        <w:rPr>
          <w:noProof/>
          <w:color w:val="000000"/>
          <w:shd w:val="clear" w:color="auto" w:fill="FFFFFF"/>
        </w:rPr>
        <w:t xml:space="preserve">strengthens the effectiveness of the safeguards </w:t>
      </w:r>
      <w:r w:rsidRPr="007C766C">
        <w:rPr>
          <w:noProof/>
          <w:color w:val="000000"/>
          <w:shd w:val="clear" w:color="auto" w:fill="FFFFFF"/>
        </w:rPr>
        <w:t xml:space="preserve">in the Protocol </w:t>
      </w:r>
      <w:r w:rsidRPr="007C766C" w:rsidDel="00137707">
        <w:rPr>
          <w:noProof/>
          <w:color w:val="000000"/>
          <w:shd w:val="clear" w:color="auto" w:fill="FFFFFF"/>
        </w:rPr>
        <w:t xml:space="preserve">by providing that the Cybercrime Convention Committee will assess the </w:t>
      </w:r>
      <w:r w:rsidR="00D27DDC" w:rsidRPr="007C766C">
        <w:rPr>
          <w:noProof/>
          <w:color w:val="000000"/>
          <w:shd w:val="clear" w:color="auto" w:fill="FFFFFF"/>
        </w:rPr>
        <w:t>implementation and application</w:t>
      </w:r>
      <w:r w:rsidRPr="007C766C" w:rsidDel="00137707">
        <w:rPr>
          <w:noProof/>
          <w:color w:val="000000"/>
          <w:shd w:val="clear" w:color="auto" w:fill="FFFFFF"/>
        </w:rPr>
        <w:t xml:space="preserve"> of the measures taken in national legislation to give effect to the provisions of the Protocol</w:t>
      </w:r>
      <w:r w:rsidRPr="007C766C">
        <w:rPr>
          <w:noProof/>
          <w:color w:val="000000"/>
          <w:shd w:val="clear" w:color="auto" w:fill="FFFFFF"/>
        </w:rPr>
        <w:t>. In particular, A</w:t>
      </w:r>
      <w:r w:rsidRPr="00A3179E">
        <w:rPr>
          <w:noProof/>
        </w:rPr>
        <w:t xml:space="preserve">rticle 23, paragraph </w:t>
      </w:r>
      <w:r w:rsidR="001E2FBE" w:rsidRPr="00A3179E">
        <w:rPr>
          <w:noProof/>
        </w:rPr>
        <w:t>3</w:t>
      </w:r>
      <w:r w:rsidR="009D4362" w:rsidRPr="00A3179E" w:rsidDel="00137707">
        <w:rPr>
          <w:noProof/>
        </w:rPr>
        <w:t xml:space="preserve"> </w:t>
      </w:r>
      <w:r w:rsidR="003A1F11" w:rsidRPr="00A3179E" w:rsidDel="00137707">
        <w:rPr>
          <w:noProof/>
        </w:rPr>
        <w:t>explicitly acknowledge</w:t>
      </w:r>
      <w:r w:rsidRPr="00A3179E">
        <w:rPr>
          <w:noProof/>
        </w:rPr>
        <w:t>s</w:t>
      </w:r>
      <w:r w:rsidR="009D4362" w:rsidRPr="00A3179E" w:rsidDel="00137707">
        <w:rPr>
          <w:noProof/>
        </w:rPr>
        <w:t xml:space="preserve"> </w:t>
      </w:r>
      <w:r w:rsidR="00B62841" w:rsidRPr="00A3179E">
        <w:rPr>
          <w:noProof/>
        </w:rPr>
        <w:t>that</w:t>
      </w:r>
      <w:r w:rsidR="009D4362" w:rsidRPr="00A3179E" w:rsidDel="00137707">
        <w:rPr>
          <w:noProof/>
        </w:rPr>
        <w:t xml:space="preserve"> the implementation by the Parties of </w:t>
      </w:r>
      <w:r w:rsidR="003A1F11" w:rsidRPr="00A3179E" w:rsidDel="00137707">
        <w:rPr>
          <w:noProof/>
        </w:rPr>
        <w:t>Article 14</w:t>
      </w:r>
      <w:r w:rsidR="003A1F11" w:rsidRPr="00A3179E" w:rsidDel="007C766C">
        <w:rPr>
          <w:noProof/>
        </w:rPr>
        <w:t xml:space="preserve"> </w:t>
      </w:r>
      <w:r w:rsidR="00B62841" w:rsidRPr="00A3179E">
        <w:rPr>
          <w:noProof/>
        </w:rPr>
        <w:t>shall be assessed</w:t>
      </w:r>
      <w:r w:rsidR="003A1F11" w:rsidRPr="00A3179E" w:rsidDel="007C766C">
        <w:rPr>
          <w:noProof/>
        </w:rPr>
        <w:t xml:space="preserve"> </w:t>
      </w:r>
      <w:r w:rsidR="007F4A80" w:rsidRPr="00A3179E">
        <w:rPr>
          <w:noProof/>
        </w:rPr>
        <w:t xml:space="preserve">once ten Parties to the Convention have </w:t>
      </w:r>
      <w:r w:rsidR="007E34E6" w:rsidRPr="00A3179E">
        <w:rPr>
          <w:noProof/>
        </w:rPr>
        <w:t>expressed their</w:t>
      </w:r>
      <w:r w:rsidR="007F4A80" w:rsidRPr="00A3179E">
        <w:rPr>
          <w:noProof/>
        </w:rPr>
        <w:t xml:space="preserve"> consent to be bound to the Protocol</w:t>
      </w:r>
      <w:r w:rsidR="009D4362" w:rsidRPr="00A3179E" w:rsidDel="00137707">
        <w:rPr>
          <w:noProof/>
        </w:rPr>
        <w:t xml:space="preserve">. </w:t>
      </w:r>
    </w:p>
    <w:p w14:paraId="6F4A7C03" w14:textId="75494D5B" w:rsidR="006E3F95" w:rsidRPr="00A3179E" w:rsidRDefault="000B3FE5" w:rsidP="00021EE7">
      <w:pPr>
        <w:pBdr>
          <w:top w:val="nil"/>
          <w:left w:val="nil"/>
          <w:bottom w:val="nil"/>
          <w:right w:val="nil"/>
          <w:between w:val="nil"/>
          <w:bar w:val="nil"/>
        </w:pBdr>
        <w:spacing w:before="0" w:after="240"/>
        <w:rPr>
          <w:noProof/>
        </w:rPr>
      </w:pPr>
      <w:r w:rsidRPr="00A3179E">
        <w:rPr>
          <w:noProof/>
        </w:rPr>
        <w:t>As a further safeguard, p</w:t>
      </w:r>
      <w:r w:rsidR="001F71EE" w:rsidRPr="00A3179E">
        <w:rPr>
          <w:noProof/>
        </w:rPr>
        <w:t>ursuant to Article 14</w:t>
      </w:r>
      <w:r w:rsidRPr="00A3179E">
        <w:rPr>
          <w:noProof/>
        </w:rPr>
        <w:t>,</w:t>
      </w:r>
      <w:r w:rsidR="001F71EE" w:rsidRPr="00A3179E">
        <w:rPr>
          <w:noProof/>
        </w:rPr>
        <w:t xml:space="preserve"> paragraph 15, w</w:t>
      </w:r>
      <w:r w:rsidR="006E3F95" w:rsidRPr="00A3179E">
        <w:rPr>
          <w:noProof/>
        </w:rPr>
        <w:t xml:space="preserve">here a Party has substantial evidence that another Party is in systematic or material breach of the safeguards set out in the Protocol, it may suspend the transfer of personal data to that Party following consultation (which is not required in case of urgency). </w:t>
      </w:r>
      <w:r w:rsidR="00021EE7" w:rsidRPr="00A3179E">
        <w:rPr>
          <w:noProof/>
        </w:rPr>
        <w:t>Any personal data transferred prior to suspension shall continue to be treated in accordance with the Protocol.</w:t>
      </w:r>
    </w:p>
    <w:p w14:paraId="47CC178B" w14:textId="511EA90D" w:rsidR="0009217F" w:rsidRPr="00A3179E" w:rsidRDefault="0009217F" w:rsidP="0009217F">
      <w:pPr>
        <w:pBdr>
          <w:top w:val="nil"/>
          <w:left w:val="nil"/>
          <w:bottom w:val="nil"/>
          <w:right w:val="nil"/>
          <w:between w:val="nil"/>
          <w:bar w:val="nil"/>
        </w:pBdr>
        <w:spacing w:before="0" w:after="240"/>
        <w:rPr>
          <w:noProof/>
        </w:rPr>
      </w:pPr>
      <w:r w:rsidRPr="00A3179E">
        <w:rPr>
          <w:noProof/>
        </w:rPr>
        <w:t xml:space="preserve">Finally, </w:t>
      </w:r>
      <w:r w:rsidR="00137707" w:rsidRPr="00A3179E">
        <w:rPr>
          <w:noProof/>
        </w:rPr>
        <w:t xml:space="preserve">in view of </w:t>
      </w:r>
      <w:r w:rsidR="00B62841" w:rsidRPr="00A3179E">
        <w:rPr>
          <w:noProof/>
        </w:rPr>
        <w:t>the</w:t>
      </w:r>
      <w:r w:rsidR="00137707" w:rsidRPr="00A3179E">
        <w:rPr>
          <w:noProof/>
        </w:rPr>
        <w:t xml:space="preserve"> multilateral character</w:t>
      </w:r>
      <w:r w:rsidR="00B62841" w:rsidRPr="00A3179E">
        <w:rPr>
          <w:noProof/>
        </w:rPr>
        <w:t xml:space="preserve"> of the Protocol</w:t>
      </w:r>
      <w:r w:rsidR="00137707" w:rsidRPr="00A3179E">
        <w:rPr>
          <w:noProof/>
        </w:rPr>
        <w:t xml:space="preserve">, </w:t>
      </w:r>
      <w:r w:rsidR="00D27DDC" w:rsidRPr="00A3179E">
        <w:rPr>
          <w:noProof/>
        </w:rPr>
        <w:t>Article 14, paragraph 1</w:t>
      </w:r>
      <w:r w:rsidR="002425C9" w:rsidRPr="00A3179E">
        <w:rPr>
          <w:noProof/>
        </w:rPr>
        <w:t xml:space="preserve">, </w:t>
      </w:r>
      <w:r w:rsidR="0010137D" w:rsidRPr="00A3179E">
        <w:rPr>
          <w:noProof/>
        </w:rPr>
        <w:t>point</w:t>
      </w:r>
      <w:r w:rsidR="002425C9" w:rsidRPr="00A3179E">
        <w:rPr>
          <w:noProof/>
        </w:rPr>
        <w:t xml:space="preserve"> b and </w:t>
      </w:r>
      <w:r w:rsidR="0010137D" w:rsidRPr="00A3179E">
        <w:rPr>
          <w:noProof/>
        </w:rPr>
        <w:t>point</w:t>
      </w:r>
      <w:r w:rsidR="002425C9" w:rsidRPr="00A3179E">
        <w:rPr>
          <w:noProof/>
        </w:rPr>
        <w:t xml:space="preserve"> c</w:t>
      </w:r>
      <w:r w:rsidR="00D27DDC" w:rsidRPr="00A3179E">
        <w:rPr>
          <w:noProof/>
        </w:rPr>
        <w:t xml:space="preserve"> of </w:t>
      </w:r>
      <w:r w:rsidRPr="00A3179E">
        <w:rPr>
          <w:noProof/>
        </w:rPr>
        <w:t xml:space="preserve">the Protocol </w:t>
      </w:r>
      <w:r w:rsidR="00137707" w:rsidRPr="00A3179E">
        <w:rPr>
          <w:noProof/>
        </w:rPr>
        <w:t>a</w:t>
      </w:r>
      <w:r w:rsidR="002425C9" w:rsidRPr="00A3179E">
        <w:rPr>
          <w:noProof/>
        </w:rPr>
        <w:t>llow</w:t>
      </w:r>
      <w:r w:rsidRPr="00A3179E">
        <w:rPr>
          <w:noProof/>
        </w:rPr>
        <w:t xml:space="preserve"> </w:t>
      </w:r>
      <w:r w:rsidR="00137707" w:rsidRPr="00A3179E">
        <w:rPr>
          <w:noProof/>
        </w:rPr>
        <w:t>P</w:t>
      </w:r>
      <w:r w:rsidRPr="00A3179E">
        <w:rPr>
          <w:noProof/>
        </w:rPr>
        <w:t>arties in their bilateral relationship</w:t>
      </w:r>
      <w:r w:rsidR="00D27DDC" w:rsidRPr="00A3179E">
        <w:rPr>
          <w:noProof/>
        </w:rPr>
        <w:t>s</w:t>
      </w:r>
      <w:r w:rsidRPr="00A3179E">
        <w:rPr>
          <w:noProof/>
        </w:rPr>
        <w:t xml:space="preserve"> to agree, under certain conditions, on </w:t>
      </w:r>
      <w:r w:rsidR="00D27DDC" w:rsidRPr="00A3179E">
        <w:rPr>
          <w:noProof/>
        </w:rPr>
        <w:t xml:space="preserve">alternative </w:t>
      </w:r>
      <w:r w:rsidRPr="00A3179E">
        <w:rPr>
          <w:noProof/>
        </w:rPr>
        <w:t xml:space="preserve">ways to ensure </w:t>
      </w:r>
      <w:r w:rsidR="00137707" w:rsidRPr="00A3179E">
        <w:rPr>
          <w:noProof/>
        </w:rPr>
        <w:t xml:space="preserve">the </w:t>
      </w:r>
      <w:r w:rsidRPr="00A3179E">
        <w:rPr>
          <w:noProof/>
        </w:rPr>
        <w:t xml:space="preserve">protection </w:t>
      </w:r>
      <w:r w:rsidR="00137707" w:rsidRPr="00A3179E">
        <w:rPr>
          <w:noProof/>
        </w:rPr>
        <w:t>of personal data</w:t>
      </w:r>
      <w:r w:rsidR="00D27DDC" w:rsidRPr="00A3179E">
        <w:rPr>
          <w:noProof/>
        </w:rPr>
        <w:t xml:space="preserve"> transferred under the Protocol</w:t>
      </w:r>
      <w:r w:rsidRPr="00A3179E">
        <w:rPr>
          <w:noProof/>
        </w:rPr>
        <w:t xml:space="preserve">. </w:t>
      </w:r>
      <w:r w:rsidR="007F603A" w:rsidRPr="00A3179E">
        <w:rPr>
          <w:noProof/>
        </w:rPr>
        <w:t xml:space="preserve">While </w:t>
      </w:r>
      <w:r w:rsidRPr="00A3179E">
        <w:rPr>
          <w:noProof/>
        </w:rPr>
        <w:t>the safeguards of Article 14</w:t>
      </w:r>
      <w:r w:rsidR="00137707" w:rsidRPr="00A3179E">
        <w:rPr>
          <w:noProof/>
        </w:rPr>
        <w:t>, paragraphs 2 to 15</w:t>
      </w:r>
      <w:r w:rsidRPr="00A3179E">
        <w:rPr>
          <w:noProof/>
        </w:rPr>
        <w:t xml:space="preserve"> appl</w:t>
      </w:r>
      <w:r w:rsidR="002425C9" w:rsidRPr="00A3179E">
        <w:rPr>
          <w:noProof/>
        </w:rPr>
        <w:t>y</w:t>
      </w:r>
      <w:r w:rsidRPr="00A3179E">
        <w:rPr>
          <w:noProof/>
        </w:rPr>
        <w:t xml:space="preserve"> </w:t>
      </w:r>
      <w:r w:rsidR="00D27DDC" w:rsidRPr="00A3179E">
        <w:rPr>
          <w:noProof/>
        </w:rPr>
        <w:t xml:space="preserve">by default </w:t>
      </w:r>
      <w:r w:rsidRPr="00A3179E">
        <w:rPr>
          <w:noProof/>
        </w:rPr>
        <w:t>to Parties receiving personal data</w:t>
      </w:r>
      <w:r w:rsidR="00137707" w:rsidRPr="00A3179E">
        <w:rPr>
          <w:noProof/>
        </w:rPr>
        <w:t>,</w:t>
      </w:r>
      <w:r w:rsidR="002425C9" w:rsidRPr="00A3179E">
        <w:rPr>
          <w:noProof/>
        </w:rPr>
        <w:t xml:space="preserve"> </w:t>
      </w:r>
      <w:r w:rsidR="007F603A" w:rsidRPr="00A3179E">
        <w:rPr>
          <w:noProof/>
        </w:rPr>
        <w:t>o</w:t>
      </w:r>
      <w:r w:rsidR="002425C9" w:rsidRPr="00A3179E">
        <w:rPr>
          <w:noProof/>
        </w:rPr>
        <w:t xml:space="preserve">n the basis of Article 14, paragraph 1, </w:t>
      </w:r>
      <w:r w:rsidR="0010137D" w:rsidRPr="00A3179E">
        <w:rPr>
          <w:noProof/>
        </w:rPr>
        <w:t>point</w:t>
      </w:r>
      <w:r w:rsidR="002425C9" w:rsidRPr="00A3179E">
        <w:rPr>
          <w:noProof/>
        </w:rPr>
        <w:t xml:space="preserve"> b, </w:t>
      </w:r>
      <w:r w:rsidR="00137707" w:rsidRPr="00A3179E">
        <w:rPr>
          <w:noProof/>
        </w:rPr>
        <w:t>Parties</w:t>
      </w:r>
      <w:r w:rsidR="00A70439" w:rsidRPr="00A3179E">
        <w:rPr>
          <w:noProof/>
        </w:rPr>
        <w:t xml:space="preserve"> mutually bound by an international agreement establishing a comprehensive framework for the protection of personal data in line with the applicable requirements of the legislation of the Parties concerned </w:t>
      </w:r>
      <w:r w:rsidR="003102AA" w:rsidRPr="00A3179E">
        <w:rPr>
          <w:noProof/>
        </w:rPr>
        <w:t>may</w:t>
      </w:r>
      <w:r w:rsidR="00A70439" w:rsidRPr="00A3179E">
        <w:rPr>
          <w:noProof/>
        </w:rPr>
        <w:t xml:space="preserve"> </w:t>
      </w:r>
      <w:r w:rsidR="003102AA" w:rsidRPr="00A3179E">
        <w:rPr>
          <w:noProof/>
        </w:rPr>
        <w:t>also</w:t>
      </w:r>
      <w:r w:rsidR="00A70439" w:rsidRPr="00A3179E">
        <w:rPr>
          <w:noProof/>
        </w:rPr>
        <w:t xml:space="preserve"> rely on that framework. </w:t>
      </w:r>
      <w:r w:rsidR="007F603A" w:rsidRPr="00A3179E">
        <w:rPr>
          <w:noProof/>
        </w:rPr>
        <w:t xml:space="preserve">This concerns for instance Convention 108+ (for those Parties </w:t>
      </w:r>
      <w:r w:rsidR="006E3F95" w:rsidRPr="00A3179E">
        <w:rPr>
          <w:noProof/>
        </w:rPr>
        <w:t>that allow data transfers to other Parties under that convention) or the EU-U</w:t>
      </w:r>
      <w:r w:rsidR="00EB7884">
        <w:rPr>
          <w:noProof/>
        </w:rPr>
        <w:t>.</w:t>
      </w:r>
      <w:r w:rsidR="006E3F95" w:rsidRPr="00A3179E">
        <w:rPr>
          <w:noProof/>
        </w:rPr>
        <w:t>S</w:t>
      </w:r>
      <w:r w:rsidR="00EB7884">
        <w:rPr>
          <w:noProof/>
        </w:rPr>
        <w:t>.</w:t>
      </w:r>
      <w:r w:rsidR="006E3F95" w:rsidRPr="00A3179E">
        <w:rPr>
          <w:noProof/>
        </w:rPr>
        <w:t xml:space="preserve"> Umbrella Agreement (within its scope of application</w:t>
      </w:r>
      <w:r w:rsidR="00B5592C" w:rsidRPr="00A3179E">
        <w:rPr>
          <w:noProof/>
        </w:rPr>
        <w:t>, i.e.</w:t>
      </w:r>
      <w:r w:rsidR="00E44115" w:rsidRPr="00A3179E">
        <w:rPr>
          <w:noProof/>
        </w:rPr>
        <w:t xml:space="preserve"> for the transfer of personal data between authorities</w:t>
      </w:r>
      <w:r w:rsidR="00B5592C" w:rsidRPr="00A3179E">
        <w:rPr>
          <w:noProof/>
        </w:rPr>
        <w:t xml:space="preserve"> and, in combination with a specific transfer arrangement between the U</w:t>
      </w:r>
      <w:r w:rsidR="00EB7884">
        <w:rPr>
          <w:noProof/>
        </w:rPr>
        <w:t>.</w:t>
      </w:r>
      <w:r w:rsidR="00B5592C" w:rsidRPr="00A3179E">
        <w:rPr>
          <w:noProof/>
        </w:rPr>
        <w:t>S</w:t>
      </w:r>
      <w:r w:rsidR="00EB7884">
        <w:rPr>
          <w:noProof/>
        </w:rPr>
        <w:t>.</w:t>
      </w:r>
      <w:r w:rsidR="00B5592C" w:rsidRPr="00A3179E">
        <w:rPr>
          <w:noProof/>
        </w:rPr>
        <w:t xml:space="preserve"> and the EU, for direct cooperation</w:t>
      </w:r>
      <w:r w:rsidR="00603601" w:rsidRPr="00A3179E">
        <w:rPr>
          <w:noProof/>
        </w:rPr>
        <w:t xml:space="preserve"> between authorities and service providers</w:t>
      </w:r>
      <w:r w:rsidR="006E3F95" w:rsidRPr="00A3179E">
        <w:rPr>
          <w:noProof/>
        </w:rPr>
        <w:t xml:space="preserve">). </w:t>
      </w:r>
      <w:r w:rsidR="00137707" w:rsidRPr="00A3179E">
        <w:rPr>
          <w:noProof/>
        </w:rPr>
        <w:t>In addition</w:t>
      </w:r>
      <w:r w:rsidR="00A70439" w:rsidRPr="00A3179E">
        <w:rPr>
          <w:noProof/>
        </w:rPr>
        <w:t xml:space="preserve">, </w:t>
      </w:r>
      <w:r w:rsidR="002425C9" w:rsidRPr="00A3179E">
        <w:rPr>
          <w:noProof/>
        </w:rPr>
        <w:t xml:space="preserve">on the basis of Article 14, paragraph 1, </w:t>
      </w:r>
      <w:r w:rsidR="0010137D" w:rsidRPr="00A3179E">
        <w:rPr>
          <w:noProof/>
        </w:rPr>
        <w:t>point</w:t>
      </w:r>
      <w:r w:rsidR="002425C9" w:rsidRPr="00A3179E">
        <w:rPr>
          <w:noProof/>
        </w:rPr>
        <w:t xml:space="preserve"> c, </w:t>
      </w:r>
      <w:r w:rsidR="00A70439" w:rsidRPr="00A3179E">
        <w:rPr>
          <w:noProof/>
        </w:rPr>
        <w:t xml:space="preserve">Parties may </w:t>
      </w:r>
      <w:r w:rsidR="00137707" w:rsidRPr="00A3179E">
        <w:rPr>
          <w:noProof/>
        </w:rPr>
        <w:t xml:space="preserve">also </w:t>
      </w:r>
      <w:r w:rsidR="00A70439" w:rsidRPr="00A3179E">
        <w:rPr>
          <w:noProof/>
        </w:rPr>
        <w:t xml:space="preserve">mutually determine that the transfer of personal data takes place on the basis of other agreements or arrangements between the Parties concerned. </w:t>
      </w:r>
      <w:r w:rsidR="006E3F95" w:rsidRPr="00A3179E">
        <w:rPr>
          <w:noProof/>
        </w:rPr>
        <w:t xml:space="preserve">For the EU Member States, such an alternative agreement or arrangement may only be relied upon for data transfers under the Protocol if </w:t>
      </w:r>
      <w:r w:rsidR="0066072E" w:rsidRPr="00A3179E">
        <w:rPr>
          <w:noProof/>
        </w:rPr>
        <w:t>such transfers</w:t>
      </w:r>
      <w:r w:rsidR="006E3F95" w:rsidRPr="00A3179E">
        <w:rPr>
          <w:noProof/>
        </w:rPr>
        <w:t xml:space="preserve"> compl</w:t>
      </w:r>
      <w:r w:rsidR="0066072E" w:rsidRPr="00A3179E">
        <w:rPr>
          <w:noProof/>
        </w:rPr>
        <w:t>y</w:t>
      </w:r>
      <w:r w:rsidR="006E3F95" w:rsidRPr="00A3179E">
        <w:rPr>
          <w:noProof/>
        </w:rPr>
        <w:t xml:space="preserve"> with the requirements of U</w:t>
      </w:r>
      <w:r w:rsidR="00D956E3" w:rsidRPr="00A3179E">
        <w:rPr>
          <w:noProof/>
        </w:rPr>
        <w:t>nion</w:t>
      </w:r>
      <w:r w:rsidR="006E3F95" w:rsidRPr="00A3179E">
        <w:rPr>
          <w:noProof/>
        </w:rPr>
        <w:t xml:space="preserve"> data protection law, namely </w:t>
      </w:r>
      <w:r w:rsidR="00B5592C" w:rsidRPr="00A3179E">
        <w:rPr>
          <w:noProof/>
        </w:rPr>
        <w:t xml:space="preserve">Chapter V of </w:t>
      </w:r>
      <w:r w:rsidR="00FB6736" w:rsidRPr="007C766C">
        <w:rPr>
          <w:noProof/>
        </w:rPr>
        <w:t xml:space="preserve">Directive (EU) 2016/680 (the </w:t>
      </w:r>
      <w:r w:rsidR="00FB6736">
        <w:rPr>
          <w:noProof/>
        </w:rPr>
        <w:t>Law Enforcement</w:t>
      </w:r>
      <w:r w:rsidR="00FB6736" w:rsidRPr="007C766C">
        <w:rPr>
          <w:noProof/>
        </w:rPr>
        <w:t xml:space="preserve"> Directive)</w:t>
      </w:r>
      <w:r w:rsidR="00FB6736">
        <w:rPr>
          <w:noProof/>
        </w:rPr>
        <w:t xml:space="preserve"> and</w:t>
      </w:r>
      <w:r w:rsidR="00FB6736" w:rsidRPr="00A3179E">
        <w:rPr>
          <w:noProof/>
        </w:rPr>
        <w:t xml:space="preserve"> (for direct cooperation</w:t>
      </w:r>
      <w:r w:rsidR="001F71EE" w:rsidRPr="00A3179E">
        <w:rPr>
          <w:noProof/>
        </w:rPr>
        <w:t xml:space="preserve"> between authorities and service providers under Articles 6 and 7 of the Protocol</w:t>
      </w:r>
      <w:r w:rsidR="00FB6736" w:rsidRPr="00A3179E">
        <w:rPr>
          <w:noProof/>
        </w:rPr>
        <w:t xml:space="preserve">) </w:t>
      </w:r>
      <w:r w:rsidR="00B5592C" w:rsidRPr="00A3179E">
        <w:rPr>
          <w:noProof/>
        </w:rPr>
        <w:t xml:space="preserve">Chapter V of </w:t>
      </w:r>
      <w:r w:rsidR="00FB6736" w:rsidRPr="007C766C">
        <w:rPr>
          <w:noProof/>
        </w:rPr>
        <w:t>Regulation (EU) 2016/679 (the General Data Protection Regulation)</w:t>
      </w:r>
      <w:r w:rsidR="006E3F95" w:rsidRPr="00A3179E">
        <w:rPr>
          <w:noProof/>
        </w:rPr>
        <w:t>.</w:t>
      </w:r>
    </w:p>
    <w:p w14:paraId="15B3F470" w14:textId="2F1D41C2" w:rsidR="00BB071A" w:rsidRPr="007C766C" w:rsidRDefault="00C1434B" w:rsidP="00C1434B">
      <w:pPr>
        <w:pStyle w:val="ManualHeading3"/>
        <w:rPr>
          <w:noProof/>
        </w:rPr>
      </w:pPr>
      <w:r w:rsidRPr="00C1434B">
        <w:t>2.2.4.</w:t>
      </w:r>
      <w:r w:rsidRPr="00C1434B">
        <w:tab/>
      </w:r>
      <w:r w:rsidR="00BB071A" w:rsidRPr="007C766C">
        <w:rPr>
          <w:noProof/>
        </w:rPr>
        <w:t>Final provisions</w:t>
      </w:r>
    </w:p>
    <w:p w14:paraId="15B3F471" w14:textId="059F5E89" w:rsidR="005922B5" w:rsidRPr="007C766C" w:rsidRDefault="00392FBC" w:rsidP="00BB071A">
      <w:pPr>
        <w:rPr>
          <w:noProof/>
        </w:rPr>
      </w:pPr>
      <w:r w:rsidRPr="007C766C">
        <w:rPr>
          <w:noProof/>
        </w:rPr>
        <w:t xml:space="preserve">Chapter </w:t>
      </w:r>
      <w:r w:rsidR="00105DF3">
        <w:rPr>
          <w:noProof/>
        </w:rPr>
        <w:t>IV</w:t>
      </w:r>
      <w:r w:rsidR="00105DF3" w:rsidRPr="007C766C">
        <w:rPr>
          <w:noProof/>
        </w:rPr>
        <w:t xml:space="preserve"> </w:t>
      </w:r>
      <w:r w:rsidRPr="007C766C">
        <w:rPr>
          <w:noProof/>
        </w:rPr>
        <w:t xml:space="preserve">of the </w:t>
      </w:r>
      <w:r w:rsidR="00287AB0" w:rsidRPr="007C766C">
        <w:rPr>
          <w:noProof/>
        </w:rPr>
        <w:t>Protocol</w:t>
      </w:r>
      <w:r w:rsidRPr="007C766C">
        <w:rPr>
          <w:noProof/>
        </w:rPr>
        <w:t xml:space="preserve"> provides for final provisions. Amongst other things, </w:t>
      </w:r>
      <w:r w:rsidR="00287AB0" w:rsidRPr="007C766C">
        <w:rPr>
          <w:noProof/>
        </w:rPr>
        <w:t xml:space="preserve">Article 15, paragraph 1, </w:t>
      </w:r>
      <w:r w:rsidR="0010137D">
        <w:rPr>
          <w:noProof/>
        </w:rPr>
        <w:t>point</w:t>
      </w:r>
      <w:r w:rsidR="00287AB0" w:rsidRPr="007C766C">
        <w:rPr>
          <w:noProof/>
        </w:rPr>
        <w:t xml:space="preserve"> a</w:t>
      </w:r>
      <w:r w:rsidR="00F1653B" w:rsidRPr="007C766C">
        <w:rPr>
          <w:noProof/>
        </w:rPr>
        <w:t xml:space="preserve">, </w:t>
      </w:r>
      <w:r w:rsidR="009C6702" w:rsidRPr="007C766C">
        <w:rPr>
          <w:noProof/>
        </w:rPr>
        <w:t>ensures that Parties m</w:t>
      </w:r>
      <w:r w:rsidR="002264B0">
        <w:rPr>
          <w:noProof/>
        </w:rPr>
        <w:t>a</w:t>
      </w:r>
      <w:r w:rsidR="009C6702" w:rsidRPr="007C766C">
        <w:rPr>
          <w:noProof/>
        </w:rPr>
        <w:t>y establish their relations on the matters set out in the Protocol otherwise</w:t>
      </w:r>
      <w:r w:rsidR="00021EE7">
        <w:rPr>
          <w:noProof/>
        </w:rPr>
        <w:t>,</w:t>
      </w:r>
      <w:r w:rsidR="009C6702" w:rsidRPr="007C766C">
        <w:rPr>
          <w:noProof/>
        </w:rPr>
        <w:t xml:space="preserve"> in line with Article 39, paragraph 2, of the Convention. Article 15, paragraph 1, </w:t>
      </w:r>
      <w:r w:rsidR="0010137D">
        <w:rPr>
          <w:noProof/>
        </w:rPr>
        <w:t>point</w:t>
      </w:r>
      <w:r w:rsidR="009C6702" w:rsidRPr="007C766C">
        <w:rPr>
          <w:noProof/>
        </w:rPr>
        <w:t xml:space="preserve"> b, </w:t>
      </w:r>
      <w:r w:rsidR="00435D5B" w:rsidRPr="007C766C">
        <w:rPr>
          <w:noProof/>
        </w:rPr>
        <w:t>ensures that EU Member States that are Party to the Protocol can continue to apply U</w:t>
      </w:r>
      <w:r w:rsidR="00D956E3">
        <w:rPr>
          <w:noProof/>
        </w:rPr>
        <w:t>nion</w:t>
      </w:r>
      <w:r w:rsidR="00435D5B" w:rsidRPr="007C766C">
        <w:rPr>
          <w:noProof/>
        </w:rPr>
        <w:t xml:space="preserve"> law in their mutual relations. </w:t>
      </w:r>
      <w:r w:rsidR="009C6702" w:rsidRPr="007C766C">
        <w:rPr>
          <w:noProof/>
        </w:rPr>
        <w:t xml:space="preserve">Article 15, paragraph 2, also determines that </w:t>
      </w:r>
      <w:r w:rsidR="0029232E" w:rsidRPr="007C766C">
        <w:rPr>
          <w:noProof/>
        </w:rPr>
        <w:t xml:space="preserve">Article 39, paragraph 3, of the Convention applies to the Protocol. </w:t>
      </w:r>
    </w:p>
    <w:p w14:paraId="15B3F472" w14:textId="3CAA9B0C" w:rsidR="002E512D" w:rsidRPr="007C766C" w:rsidRDefault="002E512D" w:rsidP="00BB071A">
      <w:pPr>
        <w:rPr>
          <w:noProof/>
        </w:rPr>
      </w:pPr>
      <w:r w:rsidRPr="007C766C">
        <w:rPr>
          <w:noProof/>
        </w:rPr>
        <w:t xml:space="preserve">Article 16, paragraph </w:t>
      </w:r>
      <w:r w:rsidR="00021EE7">
        <w:rPr>
          <w:noProof/>
        </w:rPr>
        <w:t>3</w:t>
      </w:r>
      <w:r w:rsidRPr="007C766C">
        <w:rPr>
          <w:noProof/>
        </w:rPr>
        <w:t xml:space="preserve">, </w:t>
      </w:r>
      <w:r w:rsidR="00287AB0" w:rsidRPr="007C766C">
        <w:rPr>
          <w:noProof/>
        </w:rPr>
        <w:t>indicates</w:t>
      </w:r>
      <w:r w:rsidRPr="007C766C">
        <w:rPr>
          <w:noProof/>
        </w:rPr>
        <w:t xml:space="preserve"> that the Protocol will enter into force once five Parties to the Convention have expressed their consent to be bound by the Protocol. </w:t>
      </w:r>
    </w:p>
    <w:p w14:paraId="15B3F473" w14:textId="7EB1BC94" w:rsidR="002E512D" w:rsidRPr="007C766C" w:rsidRDefault="002E512D" w:rsidP="00BB071A">
      <w:pPr>
        <w:rPr>
          <w:noProof/>
        </w:rPr>
      </w:pPr>
      <w:r w:rsidRPr="007C766C">
        <w:rPr>
          <w:noProof/>
        </w:rPr>
        <w:t>Article 19</w:t>
      </w:r>
      <w:r w:rsidR="00287AB0" w:rsidRPr="007C766C">
        <w:rPr>
          <w:noProof/>
        </w:rPr>
        <w:t>, paragraph 1, provides that Parties may avail themselves of reservations in relation to Article 7, paragraphs 9</w:t>
      </w:r>
      <w:r w:rsidR="001F71EE">
        <w:rPr>
          <w:noProof/>
        </w:rPr>
        <w:t xml:space="preserve"> </w:t>
      </w:r>
      <w:r w:rsidR="0010137D">
        <w:rPr>
          <w:noProof/>
        </w:rPr>
        <w:t>point</w:t>
      </w:r>
      <w:r w:rsidR="001F71EE">
        <w:rPr>
          <w:noProof/>
        </w:rPr>
        <w:t xml:space="preserve"> </w:t>
      </w:r>
      <w:r w:rsidR="00287AB0" w:rsidRPr="007C766C">
        <w:rPr>
          <w:noProof/>
        </w:rPr>
        <w:t>a and 9</w:t>
      </w:r>
      <w:r w:rsidR="001F71EE">
        <w:rPr>
          <w:noProof/>
        </w:rPr>
        <w:t xml:space="preserve"> </w:t>
      </w:r>
      <w:r w:rsidR="0010137D">
        <w:rPr>
          <w:noProof/>
        </w:rPr>
        <w:t>point</w:t>
      </w:r>
      <w:r w:rsidR="001F71EE">
        <w:rPr>
          <w:noProof/>
        </w:rPr>
        <w:t xml:space="preserve"> </w:t>
      </w:r>
      <w:r w:rsidR="00287AB0" w:rsidRPr="007C766C">
        <w:rPr>
          <w:noProof/>
        </w:rPr>
        <w:t>b, Article 8, paragraph 13, and Article 17. Article 19, paragraph 2, provides that Parties may make declarations in relation to Article 7, paragraphs 2</w:t>
      </w:r>
      <w:r w:rsidR="001F71EE">
        <w:rPr>
          <w:noProof/>
        </w:rPr>
        <w:t xml:space="preserve">, </w:t>
      </w:r>
      <w:r w:rsidR="0010137D">
        <w:rPr>
          <w:noProof/>
        </w:rPr>
        <w:t>point</w:t>
      </w:r>
      <w:r w:rsidR="001F71EE">
        <w:rPr>
          <w:noProof/>
        </w:rPr>
        <w:t xml:space="preserve"> </w:t>
      </w:r>
      <w:r w:rsidR="00287AB0" w:rsidRPr="007C766C">
        <w:rPr>
          <w:noProof/>
        </w:rPr>
        <w:t>b</w:t>
      </w:r>
      <w:r w:rsidR="001F71EE">
        <w:rPr>
          <w:noProof/>
        </w:rPr>
        <w:t>,</w:t>
      </w:r>
      <w:r w:rsidR="00287AB0" w:rsidRPr="007C766C">
        <w:rPr>
          <w:noProof/>
        </w:rPr>
        <w:t xml:space="preserve"> and 8, Article 8, paragraph 11, Article 9, paragraph 1</w:t>
      </w:r>
      <w:r w:rsidR="001F71EE">
        <w:rPr>
          <w:noProof/>
        </w:rPr>
        <w:t xml:space="preserve">, </w:t>
      </w:r>
      <w:r w:rsidR="0010137D">
        <w:rPr>
          <w:noProof/>
        </w:rPr>
        <w:t>point</w:t>
      </w:r>
      <w:r w:rsidR="001F71EE">
        <w:rPr>
          <w:noProof/>
        </w:rPr>
        <w:t xml:space="preserve"> </w:t>
      </w:r>
      <w:r w:rsidR="00287AB0" w:rsidRPr="007C766C">
        <w:rPr>
          <w:noProof/>
        </w:rPr>
        <w:t>b</w:t>
      </w:r>
      <w:r w:rsidR="001F71EE">
        <w:rPr>
          <w:noProof/>
        </w:rPr>
        <w:t>,</w:t>
      </w:r>
      <w:r w:rsidR="00287AB0" w:rsidRPr="007C766C">
        <w:rPr>
          <w:noProof/>
        </w:rPr>
        <w:t xml:space="preserve"> and 5, Article 10, paragraph 9, Article 12, paragraph 3, and Article 18, paragraph 2. Article 19, paragraph 3, determines that a Party shall make declarations, notifications or communications identified in Article 7, paragraphs 5</w:t>
      </w:r>
      <w:r w:rsidR="001F71EE">
        <w:rPr>
          <w:noProof/>
        </w:rPr>
        <w:t xml:space="preserve"> </w:t>
      </w:r>
      <w:r w:rsidR="0010137D">
        <w:rPr>
          <w:noProof/>
        </w:rPr>
        <w:t>point</w:t>
      </w:r>
      <w:r w:rsidR="001F71EE">
        <w:rPr>
          <w:noProof/>
        </w:rPr>
        <w:t xml:space="preserve"> </w:t>
      </w:r>
      <w:r w:rsidR="00287AB0" w:rsidRPr="007C766C">
        <w:rPr>
          <w:noProof/>
        </w:rPr>
        <w:t xml:space="preserve">a and </w:t>
      </w:r>
      <w:r w:rsidR="0010137D">
        <w:rPr>
          <w:noProof/>
        </w:rPr>
        <w:t>point</w:t>
      </w:r>
      <w:r w:rsidR="001F71EE">
        <w:rPr>
          <w:noProof/>
        </w:rPr>
        <w:t xml:space="preserve"> </w:t>
      </w:r>
      <w:r w:rsidR="00287AB0" w:rsidRPr="007C766C">
        <w:rPr>
          <w:noProof/>
        </w:rPr>
        <w:t>e, Article 8, paragraphs 4 and 10</w:t>
      </w:r>
      <w:r w:rsidR="001F71EE">
        <w:rPr>
          <w:noProof/>
        </w:rPr>
        <w:t xml:space="preserve"> </w:t>
      </w:r>
      <w:r w:rsidR="0010137D">
        <w:rPr>
          <w:noProof/>
        </w:rPr>
        <w:t>point</w:t>
      </w:r>
      <w:r w:rsidR="00E424A8">
        <w:rPr>
          <w:noProof/>
        </w:rPr>
        <w:t>s</w:t>
      </w:r>
      <w:r w:rsidR="001F71EE">
        <w:rPr>
          <w:noProof/>
        </w:rPr>
        <w:t xml:space="preserve"> </w:t>
      </w:r>
      <w:r w:rsidR="00287AB0" w:rsidRPr="007C766C">
        <w:rPr>
          <w:noProof/>
        </w:rPr>
        <w:t>a and b, Article 14, paragraphs 7</w:t>
      </w:r>
      <w:r w:rsidR="001F71EE">
        <w:rPr>
          <w:noProof/>
        </w:rPr>
        <w:t xml:space="preserve"> </w:t>
      </w:r>
      <w:r w:rsidR="0010137D">
        <w:rPr>
          <w:noProof/>
        </w:rPr>
        <w:t>point</w:t>
      </w:r>
      <w:r w:rsidR="001F71EE">
        <w:rPr>
          <w:noProof/>
        </w:rPr>
        <w:t xml:space="preserve"> </w:t>
      </w:r>
      <w:r w:rsidR="00287AB0" w:rsidRPr="007C766C">
        <w:rPr>
          <w:noProof/>
        </w:rPr>
        <w:t>c and 10</w:t>
      </w:r>
      <w:r w:rsidR="001F71EE">
        <w:rPr>
          <w:noProof/>
        </w:rPr>
        <w:t xml:space="preserve"> </w:t>
      </w:r>
      <w:r w:rsidR="0010137D">
        <w:rPr>
          <w:noProof/>
        </w:rPr>
        <w:t>point</w:t>
      </w:r>
      <w:r w:rsidR="001F71EE">
        <w:rPr>
          <w:noProof/>
        </w:rPr>
        <w:t xml:space="preserve"> </w:t>
      </w:r>
      <w:r w:rsidR="00287AB0" w:rsidRPr="007C766C">
        <w:rPr>
          <w:noProof/>
        </w:rPr>
        <w:t xml:space="preserve">b, </w:t>
      </w:r>
      <w:r w:rsidR="008531C5" w:rsidRPr="007C766C">
        <w:rPr>
          <w:noProof/>
        </w:rPr>
        <w:t xml:space="preserve">and Article 17, paragraph 2. </w:t>
      </w:r>
    </w:p>
    <w:p w14:paraId="15B3F474" w14:textId="13B3C86E" w:rsidR="00392FBC" w:rsidRPr="007C766C" w:rsidRDefault="00392FBC" w:rsidP="00BB071A">
      <w:pPr>
        <w:rPr>
          <w:noProof/>
        </w:rPr>
      </w:pPr>
      <w:r w:rsidRPr="007C766C">
        <w:rPr>
          <w:noProof/>
        </w:rPr>
        <w:t xml:space="preserve">Article </w:t>
      </w:r>
      <w:r w:rsidR="002E512D" w:rsidRPr="007C766C">
        <w:rPr>
          <w:noProof/>
        </w:rPr>
        <w:t>23</w:t>
      </w:r>
      <w:r w:rsidR="001543A6">
        <w:rPr>
          <w:noProof/>
        </w:rPr>
        <w:t>, paragraph 1,</w:t>
      </w:r>
      <w:r w:rsidRPr="007C766C">
        <w:rPr>
          <w:noProof/>
        </w:rPr>
        <w:t xml:space="preserve"> provides a basis for consultations amongst Parties, </w:t>
      </w:r>
      <w:r w:rsidR="008531C5" w:rsidRPr="007C766C">
        <w:rPr>
          <w:noProof/>
        </w:rPr>
        <w:t xml:space="preserve">including through the </w:t>
      </w:r>
      <w:r w:rsidR="00EB7884">
        <w:rPr>
          <w:noProof/>
        </w:rPr>
        <w:t>Cybercrime Convention Committee</w:t>
      </w:r>
      <w:r w:rsidR="008531C5" w:rsidRPr="007C766C">
        <w:rPr>
          <w:noProof/>
        </w:rPr>
        <w:t>, in line with Article 46 of the Convention. Article 23, paragraph 2, also provide</w:t>
      </w:r>
      <w:r w:rsidR="00021EE7">
        <w:rPr>
          <w:noProof/>
        </w:rPr>
        <w:t>s</w:t>
      </w:r>
      <w:r w:rsidR="008531C5" w:rsidRPr="007C766C">
        <w:rPr>
          <w:noProof/>
        </w:rPr>
        <w:t xml:space="preserve"> a basis for the assessment of the use and implementation of the provisions of the Protocol. Article 23, paragraph 3, ensures that the assessment of the use and implementation of Article 14 on data protection shall commence once ten Parties have expressed their consent to be bound by the Protocol. </w:t>
      </w:r>
    </w:p>
    <w:p w14:paraId="15B3F475" w14:textId="54968FF3" w:rsidR="005C09B6" w:rsidRPr="007F2BCC" w:rsidRDefault="00C1434B" w:rsidP="00C1434B">
      <w:pPr>
        <w:pStyle w:val="ManualHeading2"/>
        <w:rPr>
          <w:rFonts w:eastAsia="Arial Unicode MS"/>
          <w:noProof/>
        </w:rPr>
      </w:pPr>
      <w:r w:rsidRPr="00C1434B">
        <w:t>2.3.</w:t>
      </w:r>
      <w:r w:rsidRPr="00C1434B">
        <w:tab/>
      </w:r>
      <w:r w:rsidR="00D1281A" w:rsidRPr="007F2BCC">
        <w:rPr>
          <w:rStyle w:val="Heading2Char"/>
          <w:b/>
          <w:noProof/>
        </w:rPr>
        <w:t>Union law and policy in the area</w:t>
      </w:r>
    </w:p>
    <w:p w14:paraId="15B3F477" w14:textId="76992791" w:rsidR="000B5E1F" w:rsidRPr="007C766C" w:rsidRDefault="004B18B3" w:rsidP="002252C9">
      <w:pPr>
        <w:pStyle w:val="Normal1"/>
        <w:jc w:val="both"/>
        <w:rPr>
          <w:noProof/>
        </w:rPr>
      </w:pPr>
      <w:r w:rsidRPr="007C766C">
        <w:rPr>
          <w:noProof/>
        </w:rPr>
        <w:t xml:space="preserve">The field governed by the Protocol is largely covered by common rules </w:t>
      </w:r>
      <w:r w:rsidR="000B5E1F" w:rsidRPr="007C766C">
        <w:rPr>
          <w:noProof/>
        </w:rPr>
        <w:t>based on Article</w:t>
      </w:r>
      <w:r w:rsidR="0010137D">
        <w:rPr>
          <w:noProof/>
        </w:rPr>
        <w:t>s</w:t>
      </w:r>
      <w:r w:rsidR="000B5E1F" w:rsidRPr="007C766C">
        <w:rPr>
          <w:noProof/>
        </w:rPr>
        <w:t xml:space="preserve"> 82(1) and 16 TFEU</w:t>
      </w:r>
      <w:r w:rsidR="002252C9" w:rsidRPr="007C766C">
        <w:rPr>
          <w:noProof/>
        </w:rPr>
        <w:t>.</w:t>
      </w:r>
      <w:r w:rsidR="000B5E1F" w:rsidRPr="007C766C">
        <w:rPr>
          <w:noProof/>
        </w:rPr>
        <w:t xml:space="preserve"> The current European Union legal framework includes in particular instruments on law enforcement and judicial cooperation in criminal matters, such as Directive 2014/41/EU regarding the European Investigation Order in criminal matters, the Convention on Mutual Assistance in Criminal Matters between the Member States of the European Union</w:t>
      </w:r>
      <w:r w:rsidR="00E63C6D" w:rsidRPr="007C766C">
        <w:rPr>
          <w:noProof/>
        </w:rPr>
        <w:t xml:space="preserve"> and</w:t>
      </w:r>
      <w:r w:rsidR="000B5E1F" w:rsidRPr="007C766C">
        <w:rPr>
          <w:noProof/>
        </w:rPr>
        <w:t xml:space="preserve"> Council Framework Decision 2002/465/JHA on joint investigation teams. Externally, the European Union has concluded a number of bilateral agreements between the Union and third countries, such as the Agreements on Mutual Legal Assistance between the European Union and the United States of America</w:t>
      </w:r>
      <w:r w:rsidR="001543A6">
        <w:rPr>
          <w:noProof/>
        </w:rPr>
        <w:t>,</w:t>
      </w:r>
      <w:r w:rsidR="000B5E1F" w:rsidRPr="007C766C">
        <w:rPr>
          <w:rStyle w:val="footnotereference"/>
          <w:noProof/>
        </w:rPr>
        <w:t xml:space="preserve"> </w:t>
      </w:r>
      <w:r w:rsidR="000B5E1F" w:rsidRPr="007C766C">
        <w:rPr>
          <w:noProof/>
        </w:rPr>
        <w:t>between the European Union and Japan</w:t>
      </w:r>
      <w:r w:rsidR="001543A6">
        <w:rPr>
          <w:noProof/>
        </w:rPr>
        <w:t xml:space="preserve"> and between </w:t>
      </w:r>
      <w:r w:rsidR="00CB55C0">
        <w:rPr>
          <w:noProof/>
        </w:rPr>
        <w:t>the European Union and Norway and Iceland</w:t>
      </w:r>
      <w:r w:rsidR="000B5E1F" w:rsidRPr="007C766C">
        <w:rPr>
          <w:noProof/>
        </w:rPr>
        <w:t xml:space="preserve">. </w:t>
      </w:r>
      <w:r w:rsidR="008C0A35" w:rsidRPr="000F66F8">
        <w:rPr>
          <w:noProof/>
        </w:rPr>
        <w:t>The current European Union legal framework also includes Regulation (EU) 2017/1939 implementing enhanced cooperation on the establishment of the European Public Prosecutor’s Office (‘the EPPO’). Member States that participate in the enhanced cooperation should ensure that the EPPO can, in the exercise of its competences as provided for by Articles 22, 23 and 25 of Regulation (EU) 2017/1939, seek cooperation under the Protocol in the same way as national prosecutors of those Member States.</w:t>
      </w:r>
      <w:r w:rsidR="008C0A35">
        <w:rPr>
          <w:noProof/>
        </w:rPr>
        <w:t xml:space="preserve"> </w:t>
      </w:r>
      <w:r w:rsidR="008531C5" w:rsidRPr="007C766C">
        <w:rPr>
          <w:noProof/>
        </w:rPr>
        <w:t xml:space="preserve">These </w:t>
      </w:r>
      <w:r w:rsidR="00A53B95">
        <w:rPr>
          <w:noProof/>
        </w:rPr>
        <w:t xml:space="preserve">instruments and </w:t>
      </w:r>
      <w:r w:rsidR="008531C5" w:rsidRPr="007C766C">
        <w:rPr>
          <w:noProof/>
        </w:rPr>
        <w:t xml:space="preserve">agreements relate, in particular, to Articles </w:t>
      </w:r>
      <w:r w:rsidR="00A53B95">
        <w:rPr>
          <w:noProof/>
        </w:rPr>
        <w:t xml:space="preserve">8, 9, </w:t>
      </w:r>
      <w:r w:rsidR="008531C5" w:rsidRPr="007C766C">
        <w:rPr>
          <w:noProof/>
        </w:rPr>
        <w:t xml:space="preserve">10, 11 and 12 of the Protocol. </w:t>
      </w:r>
    </w:p>
    <w:p w14:paraId="2825D937" w14:textId="66A6A397" w:rsidR="00137707" w:rsidRDefault="00D465B4" w:rsidP="005A231B">
      <w:pPr>
        <w:pStyle w:val="Normal1"/>
        <w:jc w:val="both"/>
        <w:rPr>
          <w:noProof/>
        </w:rPr>
      </w:pPr>
      <w:r w:rsidRPr="007C766C">
        <w:rPr>
          <w:noProof/>
        </w:rPr>
        <w:t>Moreover, the Union has adopted several directives that reinforce procedural rights of suspects and accused persons.</w:t>
      </w:r>
      <w:r w:rsidRPr="007C766C">
        <w:rPr>
          <w:rStyle w:val="FootnoteReference0"/>
          <w:noProof/>
        </w:rPr>
        <w:footnoteReference w:id="24"/>
      </w:r>
      <w:r w:rsidRPr="007C766C">
        <w:rPr>
          <w:noProof/>
        </w:rPr>
        <w:t xml:space="preserve"> These instruments relate, in particular, to Article</w:t>
      </w:r>
      <w:r w:rsidR="00FB6736">
        <w:rPr>
          <w:noProof/>
        </w:rPr>
        <w:t>s</w:t>
      </w:r>
      <w:r w:rsidRPr="007C766C">
        <w:rPr>
          <w:noProof/>
        </w:rPr>
        <w:t xml:space="preserve"> </w:t>
      </w:r>
      <w:r w:rsidR="00A53B95">
        <w:rPr>
          <w:noProof/>
        </w:rPr>
        <w:t xml:space="preserve">6, 7, </w:t>
      </w:r>
      <w:r w:rsidR="00FB6736" w:rsidRPr="00FB6736">
        <w:rPr>
          <w:noProof/>
        </w:rPr>
        <w:t>8, 9, 10, 11</w:t>
      </w:r>
      <w:r w:rsidR="00FB6736">
        <w:rPr>
          <w:noProof/>
        </w:rPr>
        <w:t xml:space="preserve">, 12 and </w:t>
      </w:r>
      <w:r w:rsidRPr="007C766C">
        <w:rPr>
          <w:noProof/>
        </w:rPr>
        <w:t xml:space="preserve">13 of the Protocol. </w:t>
      </w:r>
      <w:r w:rsidR="00FB6736">
        <w:rPr>
          <w:noProof/>
        </w:rPr>
        <w:t>One particular set of safeguards concerns t</w:t>
      </w:r>
      <w:r w:rsidR="000B5E1F" w:rsidRPr="007C766C">
        <w:rPr>
          <w:noProof/>
        </w:rPr>
        <w:t>he protection of personal data</w:t>
      </w:r>
      <w:r w:rsidR="00FB6736">
        <w:rPr>
          <w:noProof/>
        </w:rPr>
        <w:t>, which</w:t>
      </w:r>
      <w:r w:rsidR="000B5E1F" w:rsidRPr="007C766C">
        <w:rPr>
          <w:noProof/>
        </w:rPr>
        <w:t xml:space="preserve"> is a fundamental right enshrined in </w:t>
      </w:r>
      <w:r w:rsidR="00FB6736">
        <w:rPr>
          <w:noProof/>
        </w:rPr>
        <w:t xml:space="preserve">the </w:t>
      </w:r>
      <w:r w:rsidR="000B5E1F" w:rsidRPr="007C766C">
        <w:rPr>
          <w:noProof/>
        </w:rPr>
        <w:t>EU Treaties and in the Charter of Fundamental Rights of the European Union</w:t>
      </w:r>
      <w:r w:rsidR="00FB6736">
        <w:rPr>
          <w:noProof/>
        </w:rPr>
        <w:t>.</w:t>
      </w:r>
      <w:r w:rsidR="000B5E1F" w:rsidRPr="007C766C">
        <w:rPr>
          <w:noProof/>
        </w:rPr>
        <w:t xml:space="preserve"> </w:t>
      </w:r>
      <w:r w:rsidR="00FB6736">
        <w:rPr>
          <w:noProof/>
        </w:rPr>
        <w:t>P</w:t>
      </w:r>
      <w:r w:rsidR="000B5E1F" w:rsidRPr="007C766C">
        <w:rPr>
          <w:noProof/>
        </w:rPr>
        <w:t>ersonal data may only be processed in accordance with the Regulation (EU) 2016/679 (the General Data Protection Regulation)</w:t>
      </w:r>
      <w:r w:rsidR="000B5E1F" w:rsidRPr="007C766C">
        <w:rPr>
          <w:rStyle w:val="footnotereference"/>
          <w:noProof/>
        </w:rPr>
        <w:t xml:space="preserve"> </w:t>
      </w:r>
      <w:r w:rsidR="002252C9" w:rsidRPr="007C766C">
        <w:rPr>
          <w:rStyle w:val="footnotereference"/>
          <w:noProof/>
        </w:rPr>
        <w:t>a</w:t>
      </w:r>
      <w:r w:rsidR="000B5E1F" w:rsidRPr="007C766C">
        <w:rPr>
          <w:noProof/>
        </w:rPr>
        <w:t xml:space="preserve">nd Directive (EU) 2016/680 (the </w:t>
      </w:r>
      <w:r w:rsidR="00FB6736">
        <w:rPr>
          <w:noProof/>
        </w:rPr>
        <w:t>Law Enforcement</w:t>
      </w:r>
      <w:r w:rsidR="000B5E1F" w:rsidRPr="007C766C">
        <w:rPr>
          <w:noProof/>
        </w:rPr>
        <w:t xml:space="preserve"> Directive). The fundamental right of everyone to the respect for his or her private and family life, home and communications includes the respect for the privacy of one’s communications as an essential element. Electronic communications data can only be processed in accordance with Directive 2002/58/EC (the ePrivacy Directive). </w:t>
      </w:r>
      <w:r w:rsidR="008531C5" w:rsidRPr="007C766C">
        <w:rPr>
          <w:noProof/>
        </w:rPr>
        <w:t>These instruments relate, in particular</w:t>
      </w:r>
      <w:r w:rsidR="00A53B95">
        <w:rPr>
          <w:noProof/>
        </w:rPr>
        <w:t>,</w:t>
      </w:r>
      <w:r w:rsidR="008531C5" w:rsidRPr="007C766C">
        <w:rPr>
          <w:noProof/>
        </w:rPr>
        <w:t xml:space="preserve"> to Article 14 of the Protocol. </w:t>
      </w:r>
    </w:p>
    <w:p w14:paraId="00054BD9" w14:textId="731CE047" w:rsidR="00137707" w:rsidRPr="00A3179E" w:rsidRDefault="008531C5" w:rsidP="00137707">
      <w:pPr>
        <w:pBdr>
          <w:top w:val="nil"/>
          <w:left w:val="nil"/>
          <w:bottom w:val="nil"/>
          <w:right w:val="nil"/>
          <w:between w:val="nil"/>
          <w:bar w:val="nil"/>
        </w:pBdr>
        <w:spacing w:before="0" w:after="240"/>
        <w:rPr>
          <w:noProof/>
        </w:rPr>
      </w:pPr>
      <w:r w:rsidRPr="00A3179E">
        <w:rPr>
          <w:noProof/>
        </w:rPr>
        <w:t>Article 14, paragraphs 2 to 15</w:t>
      </w:r>
      <w:r w:rsidR="00D22AFB" w:rsidRPr="00A3179E">
        <w:rPr>
          <w:noProof/>
        </w:rPr>
        <w:t>,</w:t>
      </w:r>
      <w:r w:rsidR="007C766C" w:rsidRPr="00A3179E">
        <w:rPr>
          <w:noProof/>
        </w:rPr>
        <w:t xml:space="preserve"> of the Protocol</w:t>
      </w:r>
      <w:r w:rsidRPr="00A3179E">
        <w:rPr>
          <w:noProof/>
        </w:rPr>
        <w:t xml:space="preserve"> provide</w:t>
      </w:r>
      <w:r w:rsidR="00D22AFB" w:rsidRPr="00A3179E">
        <w:rPr>
          <w:noProof/>
        </w:rPr>
        <w:t>s</w:t>
      </w:r>
      <w:r w:rsidRPr="00A3179E">
        <w:rPr>
          <w:noProof/>
        </w:rPr>
        <w:t xml:space="preserve"> for appropriate data protection safeguards within the meaning of </w:t>
      </w:r>
      <w:r w:rsidR="00D22AFB" w:rsidRPr="00A3179E">
        <w:rPr>
          <w:noProof/>
        </w:rPr>
        <w:t xml:space="preserve">the </w:t>
      </w:r>
      <w:r w:rsidRPr="00A3179E">
        <w:rPr>
          <w:noProof/>
        </w:rPr>
        <w:t>U</w:t>
      </w:r>
      <w:r w:rsidR="00D956E3" w:rsidRPr="00A3179E">
        <w:rPr>
          <w:noProof/>
        </w:rPr>
        <w:t>nion</w:t>
      </w:r>
      <w:r w:rsidRPr="00A3179E">
        <w:rPr>
          <w:noProof/>
        </w:rPr>
        <w:t xml:space="preserve"> data protection rules</w:t>
      </w:r>
      <w:r w:rsidR="00CE7B8F" w:rsidRPr="00A3179E">
        <w:rPr>
          <w:noProof/>
        </w:rPr>
        <w:t xml:space="preserve">, in particular </w:t>
      </w:r>
      <w:r w:rsidRPr="00A3179E">
        <w:rPr>
          <w:noProof/>
        </w:rPr>
        <w:t xml:space="preserve">Article 46 </w:t>
      </w:r>
      <w:r w:rsidR="00D22AFB" w:rsidRPr="00A3179E">
        <w:rPr>
          <w:noProof/>
        </w:rPr>
        <w:t xml:space="preserve">of the </w:t>
      </w:r>
      <w:r w:rsidRPr="00A3179E">
        <w:rPr>
          <w:noProof/>
        </w:rPr>
        <w:t>G</w:t>
      </w:r>
      <w:r w:rsidR="00D22AFB" w:rsidRPr="00A3179E">
        <w:rPr>
          <w:noProof/>
        </w:rPr>
        <w:t xml:space="preserve">eneral </w:t>
      </w:r>
      <w:r w:rsidRPr="00A3179E">
        <w:rPr>
          <w:noProof/>
        </w:rPr>
        <w:t>D</w:t>
      </w:r>
      <w:r w:rsidR="00D22AFB" w:rsidRPr="00A3179E">
        <w:rPr>
          <w:noProof/>
        </w:rPr>
        <w:t xml:space="preserve">ata </w:t>
      </w:r>
      <w:r w:rsidRPr="00A3179E">
        <w:rPr>
          <w:noProof/>
        </w:rPr>
        <w:t>P</w:t>
      </w:r>
      <w:r w:rsidR="00D22AFB" w:rsidRPr="00A3179E">
        <w:rPr>
          <w:noProof/>
        </w:rPr>
        <w:t xml:space="preserve">rotection </w:t>
      </w:r>
      <w:r w:rsidRPr="00A3179E">
        <w:rPr>
          <w:noProof/>
        </w:rPr>
        <w:t>R</w:t>
      </w:r>
      <w:r w:rsidR="00D22AFB" w:rsidRPr="00A3179E">
        <w:rPr>
          <w:noProof/>
        </w:rPr>
        <w:t>egulation</w:t>
      </w:r>
      <w:r w:rsidRPr="00A3179E">
        <w:rPr>
          <w:noProof/>
        </w:rPr>
        <w:t xml:space="preserve"> and Article </w:t>
      </w:r>
      <w:r w:rsidR="00DF43F7" w:rsidRPr="00A3179E">
        <w:rPr>
          <w:noProof/>
        </w:rPr>
        <w:t>37</w:t>
      </w:r>
      <w:r w:rsidRPr="00A3179E">
        <w:rPr>
          <w:noProof/>
        </w:rPr>
        <w:t xml:space="preserve"> </w:t>
      </w:r>
      <w:r w:rsidR="00CE7B8F" w:rsidRPr="00A3179E">
        <w:rPr>
          <w:noProof/>
        </w:rPr>
        <w:t xml:space="preserve">of the </w:t>
      </w:r>
      <w:r w:rsidR="00DF43F7" w:rsidRPr="00A3179E">
        <w:rPr>
          <w:noProof/>
        </w:rPr>
        <w:t>Law Enforcement</w:t>
      </w:r>
      <w:r w:rsidR="00CE7B8F" w:rsidRPr="00A3179E">
        <w:rPr>
          <w:noProof/>
        </w:rPr>
        <w:t xml:space="preserve"> Directive</w:t>
      </w:r>
      <w:r w:rsidR="00137707" w:rsidRPr="00A3179E">
        <w:rPr>
          <w:noProof/>
        </w:rPr>
        <w:t>, and relevant case law</w:t>
      </w:r>
      <w:r w:rsidR="007C766C" w:rsidRPr="00A3179E">
        <w:rPr>
          <w:noProof/>
        </w:rPr>
        <w:t xml:space="preserve"> of the European Court of Justice</w:t>
      </w:r>
      <w:r w:rsidR="00CE7B8F" w:rsidRPr="00A3179E">
        <w:rPr>
          <w:noProof/>
        </w:rPr>
        <w:t xml:space="preserve">. </w:t>
      </w:r>
      <w:r w:rsidR="00D22AFB" w:rsidRPr="00A3179E">
        <w:rPr>
          <w:noProof/>
        </w:rPr>
        <w:t>I</w:t>
      </w:r>
      <w:r w:rsidR="00271CFF" w:rsidRPr="00A3179E">
        <w:rPr>
          <w:noProof/>
        </w:rPr>
        <w:t xml:space="preserve">n </w:t>
      </w:r>
      <w:r w:rsidR="00CB17AF" w:rsidRPr="00A3179E">
        <w:rPr>
          <w:noProof/>
        </w:rPr>
        <w:t>line with U</w:t>
      </w:r>
      <w:r w:rsidR="00D956E3" w:rsidRPr="00A3179E">
        <w:rPr>
          <w:noProof/>
        </w:rPr>
        <w:t>nion</w:t>
      </w:r>
      <w:r w:rsidR="00CB17AF" w:rsidRPr="00A3179E">
        <w:rPr>
          <w:noProof/>
        </w:rPr>
        <w:t xml:space="preserve"> law requirements</w:t>
      </w:r>
      <w:r w:rsidR="00CB17AF">
        <w:rPr>
          <w:rStyle w:val="FootnoteReference0"/>
          <w:rFonts w:eastAsia="Arial Unicode MS"/>
          <w:noProof/>
        </w:rPr>
        <w:footnoteReference w:id="25"/>
      </w:r>
      <w:r w:rsidR="00CB17AF" w:rsidRPr="00A3179E">
        <w:rPr>
          <w:noProof/>
        </w:rPr>
        <w:t xml:space="preserve"> and in </w:t>
      </w:r>
      <w:r w:rsidR="00271CFF" w:rsidRPr="00A3179E">
        <w:rPr>
          <w:noProof/>
        </w:rPr>
        <w:t xml:space="preserve">order to </w:t>
      </w:r>
      <w:r w:rsidR="00D22AFB" w:rsidRPr="00A3179E">
        <w:rPr>
          <w:noProof/>
        </w:rPr>
        <w:t>guarantee the effectiveness</w:t>
      </w:r>
      <w:r w:rsidR="00CB17AF" w:rsidRPr="00A3179E">
        <w:rPr>
          <w:noProof/>
        </w:rPr>
        <w:t xml:space="preserve"> of the safeguards set out in Article 14 of the Protocol</w:t>
      </w:r>
      <w:r w:rsidR="00271CFF" w:rsidRPr="00A3179E">
        <w:rPr>
          <w:noProof/>
        </w:rPr>
        <w:t xml:space="preserve">, Member States should </w:t>
      </w:r>
      <w:r w:rsidR="00137707" w:rsidRPr="00A3179E">
        <w:rPr>
          <w:noProof/>
        </w:rPr>
        <w:t>ensure notification of individuals whose data have been transferred, subject to certain restrictions</w:t>
      </w:r>
      <w:r w:rsidR="007C766C" w:rsidRPr="00A3179E">
        <w:rPr>
          <w:noProof/>
        </w:rPr>
        <w:t>, e.g.</w:t>
      </w:r>
      <w:r w:rsidR="00137707" w:rsidRPr="00A3179E">
        <w:rPr>
          <w:noProof/>
        </w:rPr>
        <w:t xml:space="preserve"> to avoid jeopardi</w:t>
      </w:r>
      <w:r w:rsidR="00F76F83">
        <w:rPr>
          <w:noProof/>
        </w:rPr>
        <w:t>s</w:t>
      </w:r>
      <w:r w:rsidR="00137707" w:rsidRPr="00A3179E">
        <w:rPr>
          <w:noProof/>
        </w:rPr>
        <w:t>ing ongoing investigations.</w:t>
      </w:r>
      <w:r w:rsidR="002425C9" w:rsidRPr="00A3179E">
        <w:rPr>
          <w:noProof/>
        </w:rPr>
        <w:t xml:space="preserve"> </w:t>
      </w:r>
      <w:r w:rsidR="00D27DDC" w:rsidRPr="00A3179E">
        <w:rPr>
          <w:noProof/>
        </w:rPr>
        <w:t>Article 14, paragraph 11</w:t>
      </w:r>
      <w:r w:rsidR="0010137D" w:rsidRPr="00A3179E">
        <w:rPr>
          <w:noProof/>
        </w:rPr>
        <w:t>, point</w:t>
      </w:r>
      <w:r w:rsidR="002425C9" w:rsidRPr="00A3179E">
        <w:rPr>
          <w:noProof/>
        </w:rPr>
        <w:t xml:space="preserve"> c of the Protocol</w:t>
      </w:r>
      <w:r w:rsidR="00D27DDC" w:rsidRPr="00A3179E">
        <w:rPr>
          <w:noProof/>
        </w:rPr>
        <w:t xml:space="preserve"> </w:t>
      </w:r>
      <w:r w:rsidR="002425C9" w:rsidRPr="00A3179E">
        <w:rPr>
          <w:noProof/>
        </w:rPr>
        <w:t xml:space="preserve">provides a basis for Member States to fulfil this requirement. </w:t>
      </w:r>
    </w:p>
    <w:p w14:paraId="01117887" w14:textId="4B7941EF" w:rsidR="00D27DDC" w:rsidRPr="007C766C" w:rsidRDefault="00D27DDC" w:rsidP="00137707">
      <w:pPr>
        <w:pBdr>
          <w:top w:val="nil"/>
          <w:left w:val="nil"/>
          <w:bottom w:val="nil"/>
          <w:right w:val="nil"/>
          <w:between w:val="nil"/>
          <w:bar w:val="nil"/>
        </w:pBdr>
        <w:spacing w:before="0" w:after="240"/>
        <w:rPr>
          <w:noProof/>
        </w:rPr>
      </w:pPr>
      <w:r w:rsidRPr="00A3179E">
        <w:rPr>
          <w:noProof/>
        </w:rPr>
        <w:t>The compatibility of Article 14, paragraph 1, of the Protocol with U</w:t>
      </w:r>
      <w:r w:rsidR="00D956E3" w:rsidRPr="00A3179E">
        <w:rPr>
          <w:noProof/>
        </w:rPr>
        <w:t>nion</w:t>
      </w:r>
      <w:r w:rsidRPr="00A3179E">
        <w:rPr>
          <w:noProof/>
        </w:rPr>
        <w:t xml:space="preserve"> data protection rules also requires that Member States consider the following with regard to </w:t>
      </w:r>
      <w:r w:rsidR="007C766C" w:rsidRPr="00A3179E">
        <w:rPr>
          <w:noProof/>
        </w:rPr>
        <w:t xml:space="preserve">possible </w:t>
      </w:r>
      <w:r w:rsidRPr="00A3179E">
        <w:rPr>
          <w:noProof/>
        </w:rPr>
        <w:t>alternative ways to ensure the appropriate protection of personal data transferred under the Protocol. With regard to other international agreement</w:t>
      </w:r>
      <w:r w:rsidR="002425C9" w:rsidRPr="00A3179E">
        <w:rPr>
          <w:noProof/>
        </w:rPr>
        <w:t>s</w:t>
      </w:r>
      <w:r w:rsidRPr="00A3179E">
        <w:rPr>
          <w:noProof/>
        </w:rPr>
        <w:t xml:space="preserve"> establishing a comprehensive framework for the protection of personal data in line with the applicable requirements of the legislation of the Parties concerned, </w:t>
      </w:r>
      <w:r w:rsidR="002425C9" w:rsidRPr="00A3179E">
        <w:rPr>
          <w:noProof/>
        </w:rPr>
        <w:t xml:space="preserve">under Article 14, paragraph 1, </w:t>
      </w:r>
      <w:r w:rsidR="0010137D" w:rsidRPr="00A3179E">
        <w:rPr>
          <w:noProof/>
        </w:rPr>
        <w:t>point</w:t>
      </w:r>
      <w:r w:rsidR="002425C9" w:rsidRPr="00A3179E">
        <w:rPr>
          <w:noProof/>
        </w:rPr>
        <w:t xml:space="preserve"> b, </w:t>
      </w:r>
      <w:r w:rsidRPr="00A3179E">
        <w:rPr>
          <w:noProof/>
        </w:rPr>
        <w:t>Member States should take into account that</w:t>
      </w:r>
      <w:r w:rsidR="000B3FE5" w:rsidRPr="00A3179E">
        <w:rPr>
          <w:noProof/>
        </w:rPr>
        <w:t>,</w:t>
      </w:r>
      <w:r w:rsidRPr="00A3179E">
        <w:rPr>
          <w:noProof/>
        </w:rPr>
        <w:t xml:space="preserve"> </w:t>
      </w:r>
      <w:r w:rsidR="0066072E" w:rsidRPr="00A3179E">
        <w:rPr>
          <w:noProof/>
        </w:rPr>
        <w:t>for direct cooperation</w:t>
      </w:r>
      <w:r w:rsidR="000B3FE5" w:rsidRPr="00A3179E">
        <w:rPr>
          <w:noProof/>
        </w:rPr>
        <w:t>,</w:t>
      </w:r>
      <w:r w:rsidR="0066072E" w:rsidRPr="00A3179E">
        <w:rPr>
          <w:noProof/>
        </w:rPr>
        <w:t xml:space="preserve"> </w:t>
      </w:r>
      <w:r w:rsidRPr="00A3179E">
        <w:rPr>
          <w:noProof/>
        </w:rPr>
        <w:t xml:space="preserve">the </w:t>
      </w:r>
      <w:r w:rsidR="00137707" w:rsidRPr="00A3179E">
        <w:rPr>
          <w:noProof/>
        </w:rPr>
        <w:t>EU-U</w:t>
      </w:r>
      <w:r w:rsidR="00EB7884">
        <w:rPr>
          <w:noProof/>
        </w:rPr>
        <w:t>.</w:t>
      </w:r>
      <w:r w:rsidR="00137707" w:rsidRPr="00A3179E">
        <w:rPr>
          <w:noProof/>
        </w:rPr>
        <w:t>S</w:t>
      </w:r>
      <w:r w:rsidR="00EB7884">
        <w:rPr>
          <w:noProof/>
        </w:rPr>
        <w:t>.</w:t>
      </w:r>
      <w:r w:rsidR="00137707" w:rsidRPr="00A3179E">
        <w:rPr>
          <w:noProof/>
        </w:rPr>
        <w:t xml:space="preserve"> Umbrella Agreement</w:t>
      </w:r>
      <w:r w:rsidR="00A53B95" w:rsidRPr="00A3179E">
        <w:rPr>
          <w:noProof/>
        </w:rPr>
        <w:t xml:space="preserve"> </w:t>
      </w:r>
      <w:r w:rsidR="0066072E" w:rsidRPr="00A3179E">
        <w:rPr>
          <w:noProof/>
        </w:rPr>
        <w:t xml:space="preserve">needs to </w:t>
      </w:r>
      <w:r w:rsidR="00A53B95" w:rsidRPr="00A3179E">
        <w:rPr>
          <w:noProof/>
        </w:rPr>
        <w:t>be complemented with additional safeguards</w:t>
      </w:r>
      <w:r w:rsidR="0066072E" w:rsidRPr="00A3179E">
        <w:rPr>
          <w:noProof/>
        </w:rPr>
        <w:t xml:space="preserve"> – to be provided in a specific transfer arrangement between the U</w:t>
      </w:r>
      <w:r w:rsidR="00EB7884">
        <w:rPr>
          <w:noProof/>
        </w:rPr>
        <w:t>.</w:t>
      </w:r>
      <w:r w:rsidR="0066072E" w:rsidRPr="00A3179E">
        <w:rPr>
          <w:noProof/>
        </w:rPr>
        <w:t>S</w:t>
      </w:r>
      <w:r w:rsidR="00EB7884">
        <w:rPr>
          <w:noProof/>
        </w:rPr>
        <w:t>.</w:t>
      </w:r>
      <w:r w:rsidR="0066072E" w:rsidRPr="00A3179E">
        <w:rPr>
          <w:noProof/>
        </w:rPr>
        <w:t xml:space="preserve"> and the EU/its Member States –</w:t>
      </w:r>
      <w:r w:rsidR="00A53B95" w:rsidRPr="00A3179E">
        <w:rPr>
          <w:noProof/>
        </w:rPr>
        <w:t xml:space="preserve"> that take into account </w:t>
      </w:r>
      <w:r w:rsidRPr="007C766C">
        <w:rPr>
          <w:noProof/>
        </w:rPr>
        <w:t>the unique requirements of the transfer of electronic evidence directly by service providers rather than between authorities.</w:t>
      </w:r>
      <w:r w:rsidR="00CB17AF">
        <w:rPr>
          <w:rStyle w:val="FootnoteReference0"/>
          <w:noProof/>
        </w:rPr>
        <w:footnoteReference w:id="26"/>
      </w:r>
      <w:r w:rsidRPr="007C766C">
        <w:rPr>
          <w:noProof/>
        </w:rPr>
        <w:t xml:space="preserve"> </w:t>
      </w:r>
    </w:p>
    <w:p w14:paraId="2198125E" w14:textId="362B01BC" w:rsidR="00D27DDC" w:rsidRPr="00A3179E" w:rsidRDefault="00D27DDC" w:rsidP="00137707">
      <w:pPr>
        <w:pBdr>
          <w:top w:val="nil"/>
          <w:left w:val="nil"/>
          <w:bottom w:val="nil"/>
          <w:right w:val="nil"/>
          <w:between w:val="nil"/>
          <w:bar w:val="nil"/>
        </w:pBdr>
        <w:spacing w:before="0" w:after="240"/>
        <w:rPr>
          <w:noProof/>
        </w:rPr>
      </w:pPr>
      <w:r w:rsidRPr="00A3179E">
        <w:rPr>
          <w:noProof/>
        </w:rPr>
        <w:t>Also</w:t>
      </w:r>
      <w:r w:rsidR="007C766C" w:rsidRPr="00A3179E">
        <w:rPr>
          <w:noProof/>
        </w:rPr>
        <w:t>,</w:t>
      </w:r>
      <w:r w:rsidR="002425C9" w:rsidRPr="00A3179E">
        <w:rPr>
          <w:noProof/>
        </w:rPr>
        <w:t xml:space="preserve"> under Article 14, paragraph 1, </w:t>
      </w:r>
      <w:r w:rsidR="0010137D" w:rsidRPr="00A3179E">
        <w:rPr>
          <w:noProof/>
        </w:rPr>
        <w:t>point</w:t>
      </w:r>
      <w:r w:rsidR="002425C9" w:rsidRPr="00A3179E">
        <w:rPr>
          <w:noProof/>
        </w:rPr>
        <w:t xml:space="preserve"> b</w:t>
      </w:r>
      <w:r w:rsidR="00A53B95" w:rsidRPr="00A3179E">
        <w:rPr>
          <w:noProof/>
        </w:rPr>
        <w:t>,</w:t>
      </w:r>
      <w:r w:rsidR="002425C9" w:rsidRPr="00A3179E">
        <w:rPr>
          <w:noProof/>
        </w:rPr>
        <w:t xml:space="preserve"> of the Protocol,</w:t>
      </w:r>
      <w:r w:rsidRPr="00A3179E">
        <w:rPr>
          <w:noProof/>
        </w:rPr>
        <w:t xml:space="preserve"> Member States should consider that</w:t>
      </w:r>
      <w:r w:rsidR="000B3FE5" w:rsidRPr="00A3179E">
        <w:rPr>
          <w:noProof/>
        </w:rPr>
        <w:t>,</w:t>
      </w:r>
      <w:r w:rsidRPr="00A3179E">
        <w:rPr>
          <w:noProof/>
        </w:rPr>
        <w:t xml:space="preserve"> </w:t>
      </w:r>
      <w:r w:rsidR="00E1532A" w:rsidRPr="00A3179E">
        <w:rPr>
          <w:noProof/>
        </w:rPr>
        <w:t xml:space="preserve">for EU Member States that are Parties to </w:t>
      </w:r>
      <w:r w:rsidR="00137707" w:rsidRPr="00A3179E">
        <w:rPr>
          <w:noProof/>
        </w:rPr>
        <w:t>Convention 108+</w:t>
      </w:r>
      <w:r w:rsidR="000B3FE5" w:rsidRPr="00A3179E">
        <w:rPr>
          <w:noProof/>
        </w:rPr>
        <w:t>,</w:t>
      </w:r>
      <w:r w:rsidR="00137707" w:rsidRPr="00A3179E">
        <w:rPr>
          <w:noProof/>
        </w:rPr>
        <w:t xml:space="preserve"> </w:t>
      </w:r>
      <w:r w:rsidR="00E1532A" w:rsidRPr="00A3179E">
        <w:rPr>
          <w:noProof/>
        </w:rPr>
        <w:t xml:space="preserve">that Convention </w:t>
      </w:r>
      <w:r w:rsidR="002425C9" w:rsidRPr="00A3179E">
        <w:rPr>
          <w:noProof/>
        </w:rPr>
        <w:t xml:space="preserve">by itself </w:t>
      </w:r>
      <w:r w:rsidR="00E44115" w:rsidRPr="00A3179E">
        <w:rPr>
          <w:noProof/>
        </w:rPr>
        <w:t xml:space="preserve">does </w:t>
      </w:r>
      <w:r w:rsidR="002425C9" w:rsidRPr="00A3179E">
        <w:rPr>
          <w:noProof/>
        </w:rPr>
        <w:t>not p</w:t>
      </w:r>
      <w:r w:rsidR="00137707" w:rsidRPr="00A3179E">
        <w:rPr>
          <w:noProof/>
        </w:rPr>
        <w:t>rovide an appropriate basis for</w:t>
      </w:r>
      <w:r w:rsidRPr="00A3179E">
        <w:rPr>
          <w:noProof/>
        </w:rPr>
        <w:t xml:space="preserve"> </w:t>
      </w:r>
      <w:r w:rsidR="00E1532A" w:rsidRPr="00A3179E">
        <w:rPr>
          <w:noProof/>
        </w:rPr>
        <w:t xml:space="preserve">cross-border data </w:t>
      </w:r>
      <w:r w:rsidR="00137707" w:rsidRPr="00A3179E">
        <w:rPr>
          <w:noProof/>
        </w:rPr>
        <w:t xml:space="preserve">transfers under the Protocol </w:t>
      </w:r>
      <w:r w:rsidR="00E1532A" w:rsidRPr="00A3179E">
        <w:rPr>
          <w:noProof/>
        </w:rPr>
        <w:t>to other</w:t>
      </w:r>
      <w:r w:rsidR="00137707" w:rsidRPr="00A3179E">
        <w:rPr>
          <w:noProof/>
        </w:rPr>
        <w:t xml:space="preserve"> Parties</w:t>
      </w:r>
      <w:r w:rsidR="00E1532A" w:rsidRPr="00A3179E">
        <w:rPr>
          <w:noProof/>
        </w:rPr>
        <w:t xml:space="preserve"> to that Convention</w:t>
      </w:r>
      <w:r w:rsidR="002425C9" w:rsidRPr="00A3179E">
        <w:rPr>
          <w:noProof/>
        </w:rPr>
        <w:t xml:space="preserve">. </w:t>
      </w:r>
      <w:r w:rsidR="00E1532A" w:rsidRPr="00A3179E">
        <w:rPr>
          <w:noProof/>
        </w:rPr>
        <w:t>In this respect, they should consider</w:t>
      </w:r>
      <w:r w:rsidR="002425C9" w:rsidRPr="00A3179E">
        <w:rPr>
          <w:noProof/>
        </w:rPr>
        <w:t xml:space="preserve"> </w:t>
      </w:r>
      <w:r w:rsidR="00E1532A" w:rsidRPr="00A3179E">
        <w:rPr>
          <w:noProof/>
        </w:rPr>
        <w:t xml:space="preserve">the last sentence of </w:t>
      </w:r>
      <w:r w:rsidR="002425C9" w:rsidRPr="00A3179E">
        <w:rPr>
          <w:noProof/>
        </w:rPr>
        <w:t>A</w:t>
      </w:r>
      <w:r w:rsidR="00137707" w:rsidRPr="00A3179E">
        <w:rPr>
          <w:noProof/>
        </w:rPr>
        <w:t>rticle 14, paragraph 1, of Convention</w:t>
      </w:r>
      <w:r w:rsidR="002425C9" w:rsidRPr="00A3179E">
        <w:rPr>
          <w:noProof/>
        </w:rPr>
        <w:t xml:space="preserve"> 108+</w:t>
      </w:r>
      <w:r w:rsidR="00E1532A">
        <w:rPr>
          <w:rStyle w:val="FootnoteReference0"/>
          <w:rFonts w:eastAsia="Arial Unicode MS"/>
          <w:noProof/>
        </w:rPr>
        <w:footnoteReference w:id="27"/>
      </w:r>
      <w:r w:rsidR="00137707" w:rsidRPr="00A3179E">
        <w:rPr>
          <w:noProof/>
        </w:rPr>
        <w:t xml:space="preserve">. </w:t>
      </w:r>
    </w:p>
    <w:p w14:paraId="7CF20F8A" w14:textId="21610ED0" w:rsidR="00137707" w:rsidRPr="00A3179E" w:rsidRDefault="00D27DDC" w:rsidP="00137707">
      <w:pPr>
        <w:pBdr>
          <w:top w:val="nil"/>
          <w:left w:val="nil"/>
          <w:bottom w:val="nil"/>
          <w:right w:val="nil"/>
          <w:between w:val="nil"/>
          <w:bar w:val="nil"/>
        </w:pBdr>
        <w:spacing w:before="0" w:after="240"/>
        <w:rPr>
          <w:noProof/>
        </w:rPr>
      </w:pPr>
      <w:r w:rsidRPr="00A3179E">
        <w:rPr>
          <w:noProof/>
        </w:rPr>
        <w:t>Finally, with regard to other agreement</w:t>
      </w:r>
      <w:r w:rsidR="00D956E3" w:rsidRPr="00A3179E">
        <w:rPr>
          <w:noProof/>
        </w:rPr>
        <w:t>s</w:t>
      </w:r>
      <w:r w:rsidRPr="00A3179E">
        <w:rPr>
          <w:noProof/>
        </w:rPr>
        <w:t xml:space="preserve"> or arrangements</w:t>
      </w:r>
      <w:r w:rsidR="002425C9" w:rsidRPr="00A3179E">
        <w:rPr>
          <w:noProof/>
        </w:rPr>
        <w:t xml:space="preserve"> under Article 14, paragraph 1, </w:t>
      </w:r>
      <w:r w:rsidR="0010137D" w:rsidRPr="00A3179E">
        <w:rPr>
          <w:noProof/>
        </w:rPr>
        <w:t>point</w:t>
      </w:r>
      <w:r w:rsidR="002425C9" w:rsidRPr="00A3179E">
        <w:rPr>
          <w:noProof/>
        </w:rPr>
        <w:t xml:space="preserve"> c</w:t>
      </w:r>
      <w:r w:rsidRPr="00A3179E">
        <w:rPr>
          <w:noProof/>
        </w:rPr>
        <w:t xml:space="preserve">, Member States should consider that </w:t>
      </w:r>
      <w:r w:rsidR="00F379D0" w:rsidRPr="00A3179E">
        <w:rPr>
          <w:noProof/>
        </w:rPr>
        <w:t xml:space="preserve">they may </w:t>
      </w:r>
      <w:r w:rsidR="00F379D0">
        <w:rPr>
          <w:noProof/>
        </w:rPr>
        <w:t xml:space="preserve">only rely on such other agreements or arrangements if either the European Commission has adopted an adequacy decision pursuant to Article 45 of the General Data Protection Regulation (EU) 2016/679 or Article 36 of the Law Enforcement Directive (EU) 2016/680 for the third country concerned that covers the respective data transfers, or if such other agreement or arrangement </w:t>
      </w:r>
      <w:r w:rsidR="0066072E">
        <w:rPr>
          <w:noProof/>
        </w:rPr>
        <w:t xml:space="preserve">itself </w:t>
      </w:r>
      <w:r w:rsidR="00F379D0">
        <w:rPr>
          <w:noProof/>
        </w:rPr>
        <w:t xml:space="preserve">ensures appropriate data protection safeguards pursuant to Article 46 of the General Data Protection Regulation or Article 37, paragraph 1, point a, of the Law Enforcement Directive. </w:t>
      </w:r>
    </w:p>
    <w:p w14:paraId="15B3F47A" w14:textId="7AE02277" w:rsidR="000B5E1F" w:rsidRPr="007C766C" w:rsidRDefault="00392FBC" w:rsidP="002252C9">
      <w:pPr>
        <w:pStyle w:val="Normal1"/>
        <w:jc w:val="both"/>
        <w:rPr>
          <w:noProof/>
        </w:rPr>
      </w:pPr>
      <w:r w:rsidRPr="007C766C">
        <w:rPr>
          <w:noProof/>
        </w:rPr>
        <w:t>A</w:t>
      </w:r>
      <w:r w:rsidR="000B5E1F" w:rsidRPr="007C766C">
        <w:rPr>
          <w:noProof/>
        </w:rPr>
        <w:t>ccount must be taken not only of Union law as it currently stands in the area concerned, but also of its future development, in so far as th</w:t>
      </w:r>
      <w:r w:rsidR="00D956E3">
        <w:rPr>
          <w:noProof/>
        </w:rPr>
        <w:t>is</w:t>
      </w:r>
      <w:r w:rsidR="000B5E1F" w:rsidRPr="007C766C">
        <w:rPr>
          <w:noProof/>
        </w:rPr>
        <w:t xml:space="preserve"> is foreseeable at the time of analysis. The area covered by the Protocol is of direct relevance to foreseeable future developments of </w:t>
      </w:r>
      <w:r w:rsidR="008C0A35">
        <w:rPr>
          <w:noProof/>
        </w:rPr>
        <w:t xml:space="preserve">Union law. In this regard, </w:t>
      </w:r>
      <w:r w:rsidR="000B5E1F" w:rsidRPr="007C766C">
        <w:rPr>
          <w:noProof/>
        </w:rPr>
        <w:t>the Commission</w:t>
      </w:r>
      <w:r w:rsidR="00D956E3">
        <w:rPr>
          <w:noProof/>
        </w:rPr>
        <w:t>’</w:t>
      </w:r>
      <w:r w:rsidR="000B5E1F" w:rsidRPr="007C766C">
        <w:rPr>
          <w:noProof/>
        </w:rPr>
        <w:t>s proposals on cross-border access to electronic</w:t>
      </w:r>
      <w:r w:rsidR="004425A5" w:rsidRPr="007C766C">
        <w:rPr>
          <w:noProof/>
        </w:rPr>
        <w:t xml:space="preserve"> </w:t>
      </w:r>
      <w:r w:rsidR="000B5E1F" w:rsidRPr="007C766C">
        <w:rPr>
          <w:noProof/>
        </w:rPr>
        <w:t>evidence</w:t>
      </w:r>
      <w:r w:rsidR="00EC7843" w:rsidRPr="00EC7843">
        <w:rPr>
          <w:noProof/>
        </w:rPr>
        <w:t xml:space="preserve"> </w:t>
      </w:r>
      <w:r w:rsidR="00EC7843">
        <w:rPr>
          <w:noProof/>
        </w:rPr>
        <w:t xml:space="preserve">of </w:t>
      </w:r>
      <w:r w:rsidR="00EC7843" w:rsidRPr="007C766C">
        <w:rPr>
          <w:noProof/>
        </w:rPr>
        <w:t>April 2018</w:t>
      </w:r>
      <w:r w:rsidR="008C0A35">
        <w:rPr>
          <w:noProof/>
        </w:rPr>
        <w:t xml:space="preserve"> should be noted</w:t>
      </w:r>
      <w:r w:rsidR="000B5E1F" w:rsidRPr="007C766C">
        <w:rPr>
          <w:noProof/>
        </w:rPr>
        <w:t>.</w:t>
      </w:r>
      <w:r w:rsidR="00EC7843">
        <w:rPr>
          <w:rStyle w:val="FootnoteReference0"/>
          <w:noProof/>
        </w:rPr>
        <w:footnoteReference w:id="28"/>
      </w:r>
      <w:r w:rsidR="000B5E1F" w:rsidRPr="007C766C">
        <w:rPr>
          <w:rStyle w:val="footnotereference"/>
          <w:noProof/>
        </w:rPr>
        <w:t xml:space="preserve"> </w:t>
      </w:r>
      <w:r w:rsidR="00D465B4" w:rsidRPr="007C766C">
        <w:rPr>
          <w:rStyle w:val="footnotereference"/>
          <w:noProof/>
        </w:rPr>
        <w:t>These</w:t>
      </w:r>
      <w:r w:rsidR="00CE7B8F" w:rsidRPr="007C766C">
        <w:rPr>
          <w:rStyle w:val="footnotereference"/>
          <w:noProof/>
        </w:rPr>
        <w:t xml:space="preserve"> instrument</w:t>
      </w:r>
      <w:r w:rsidR="00D465B4" w:rsidRPr="007C766C">
        <w:rPr>
          <w:rStyle w:val="footnotereference"/>
          <w:noProof/>
        </w:rPr>
        <w:t>s</w:t>
      </w:r>
      <w:r w:rsidR="00CE7B8F" w:rsidRPr="007C766C">
        <w:rPr>
          <w:rStyle w:val="footnotereference"/>
          <w:noProof/>
        </w:rPr>
        <w:t xml:space="preserve"> relate, in particular, to Articles 6 and 7 of the Protocol. </w:t>
      </w:r>
      <w:r w:rsidR="000B5E1F" w:rsidRPr="007C766C">
        <w:rPr>
          <w:noProof/>
        </w:rPr>
        <w:t xml:space="preserve">  </w:t>
      </w:r>
    </w:p>
    <w:p w14:paraId="15B3F47B" w14:textId="5A42C439" w:rsidR="002252C9" w:rsidRPr="007C766C" w:rsidRDefault="002252C9" w:rsidP="002252C9">
      <w:pPr>
        <w:pStyle w:val="Normal2"/>
        <w:jc w:val="both"/>
        <w:rPr>
          <w:noProof/>
        </w:rPr>
      </w:pPr>
      <w:r w:rsidRPr="007C766C">
        <w:rPr>
          <w:noProof/>
        </w:rPr>
        <w:t>The Commission, while participating in the negotiations on behalf of the Union, ensured that the Protocol is fully compatible with U</w:t>
      </w:r>
      <w:r w:rsidR="00D956E3">
        <w:rPr>
          <w:noProof/>
        </w:rPr>
        <w:t>nion</w:t>
      </w:r>
      <w:r w:rsidRPr="007C766C">
        <w:rPr>
          <w:noProof/>
        </w:rPr>
        <w:t xml:space="preserve"> law and Member States’ obligations under it. In particular, the Commission ensured the Protocol provisions </w:t>
      </w:r>
      <w:r w:rsidR="003F3113">
        <w:rPr>
          <w:noProof/>
        </w:rPr>
        <w:t xml:space="preserve">allow Member States to </w:t>
      </w:r>
      <w:r w:rsidRPr="007C766C">
        <w:rPr>
          <w:noProof/>
        </w:rPr>
        <w:t>respect fundamental rights, freedoms and general principles of U</w:t>
      </w:r>
      <w:r w:rsidR="00D956E3">
        <w:rPr>
          <w:noProof/>
        </w:rPr>
        <w:t>nion</w:t>
      </w:r>
      <w:r w:rsidRPr="007C766C">
        <w:rPr>
          <w:noProof/>
        </w:rPr>
        <w:t xml:space="preserve"> law as enshrined in the E</w:t>
      </w:r>
      <w:r w:rsidR="00D956E3">
        <w:rPr>
          <w:noProof/>
        </w:rPr>
        <w:t>U</w:t>
      </w:r>
      <w:r w:rsidRPr="007C766C">
        <w:rPr>
          <w:noProof/>
        </w:rPr>
        <w:t xml:space="preserve"> Treaties and Charter of Fundamental Rights, including proportionality, procedural rights, the presumption of innocence and the rights of defence of persons subject to criminal proceedings as well as privacy and the protection of personal data and electronic communications data when such data is processed, including transfers to law enforcement authorities in countries outside the European Union, and any obligations incumbent on law enforcement and judicial authorities in this respect. </w:t>
      </w:r>
      <w:r w:rsidR="00E44115">
        <w:rPr>
          <w:noProof/>
        </w:rPr>
        <w:t>T</w:t>
      </w:r>
      <w:r w:rsidR="004442E1" w:rsidRPr="007C766C">
        <w:rPr>
          <w:noProof/>
        </w:rPr>
        <w:t xml:space="preserve">he Commission also </w:t>
      </w:r>
      <w:r w:rsidR="0006646F">
        <w:rPr>
          <w:noProof/>
        </w:rPr>
        <w:t>took into account</w:t>
      </w:r>
      <w:r w:rsidR="004442E1" w:rsidRPr="007C766C">
        <w:rPr>
          <w:noProof/>
        </w:rPr>
        <w:t xml:space="preserve"> the opinion of the European Data Protection Supervisor</w:t>
      </w:r>
      <w:r w:rsidR="004442E1" w:rsidRPr="007C766C">
        <w:rPr>
          <w:rStyle w:val="FootnoteReference0"/>
          <w:noProof/>
        </w:rPr>
        <w:footnoteReference w:id="29"/>
      </w:r>
      <w:r w:rsidR="004442E1" w:rsidRPr="007C766C">
        <w:rPr>
          <w:noProof/>
        </w:rPr>
        <w:t>, and of the European Data Protection Board</w:t>
      </w:r>
      <w:r w:rsidR="00C33BDF">
        <w:rPr>
          <w:noProof/>
        </w:rPr>
        <w:t>.</w:t>
      </w:r>
      <w:r w:rsidR="004442E1" w:rsidRPr="007C766C">
        <w:rPr>
          <w:rStyle w:val="FootnoteReference0"/>
          <w:noProof/>
        </w:rPr>
        <w:footnoteReference w:id="30"/>
      </w:r>
      <w:r w:rsidR="004442E1" w:rsidRPr="007C766C">
        <w:rPr>
          <w:noProof/>
        </w:rPr>
        <w:t xml:space="preserve"> </w:t>
      </w:r>
    </w:p>
    <w:p w14:paraId="15B3F47C" w14:textId="08822F20" w:rsidR="002252C9" w:rsidRPr="007C766C" w:rsidRDefault="002252C9" w:rsidP="002252C9">
      <w:pPr>
        <w:pStyle w:val="Normal2"/>
        <w:jc w:val="both"/>
        <w:rPr>
          <w:noProof/>
        </w:rPr>
      </w:pPr>
      <w:r w:rsidRPr="007C766C">
        <w:rPr>
          <w:noProof/>
        </w:rPr>
        <w:t xml:space="preserve">Furthermore, the Commission ensured </w:t>
      </w:r>
      <w:r w:rsidR="0006646F">
        <w:rPr>
          <w:noProof/>
        </w:rPr>
        <w:t xml:space="preserve">that </w:t>
      </w:r>
      <w:r w:rsidRPr="007C766C">
        <w:rPr>
          <w:noProof/>
        </w:rPr>
        <w:t xml:space="preserve">the </w:t>
      </w:r>
      <w:r w:rsidR="0006646F">
        <w:rPr>
          <w:noProof/>
        </w:rPr>
        <w:t xml:space="preserve">provisions in the </w:t>
      </w:r>
      <w:r w:rsidRPr="007C766C">
        <w:rPr>
          <w:noProof/>
        </w:rPr>
        <w:t>Protocol and the Commission’s e-evidence proposals are compatible, including as the draft legislation evolve</w:t>
      </w:r>
      <w:r w:rsidR="0006646F">
        <w:rPr>
          <w:noProof/>
        </w:rPr>
        <w:t>d</w:t>
      </w:r>
      <w:r w:rsidRPr="007C766C">
        <w:rPr>
          <w:noProof/>
        </w:rPr>
        <w:t xml:space="preserve"> in the discussions with the co-legislators, and </w:t>
      </w:r>
      <w:r w:rsidR="006D2C9E" w:rsidRPr="007C766C">
        <w:rPr>
          <w:noProof/>
        </w:rPr>
        <w:t xml:space="preserve">the Protocol </w:t>
      </w:r>
      <w:r w:rsidRPr="007C766C">
        <w:rPr>
          <w:noProof/>
        </w:rPr>
        <w:t>do</w:t>
      </w:r>
      <w:r w:rsidR="006D2C9E" w:rsidRPr="007C766C">
        <w:rPr>
          <w:noProof/>
        </w:rPr>
        <w:t>es</w:t>
      </w:r>
      <w:r w:rsidRPr="007C766C">
        <w:rPr>
          <w:noProof/>
        </w:rPr>
        <w:t xml:space="preserve"> not give rise to conflicts of law. In particular, the Commission ensured </w:t>
      </w:r>
      <w:r w:rsidR="0006646F">
        <w:rPr>
          <w:noProof/>
        </w:rPr>
        <w:t xml:space="preserve">that </w:t>
      </w:r>
      <w:r w:rsidRPr="007C766C">
        <w:rPr>
          <w:noProof/>
        </w:rPr>
        <w:t xml:space="preserve">the Protocol includes appropriate data protection and privacy safeguards, which </w:t>
      </w:r>
      <w:r w:rsidR="0006646F">
        <w:rPr>
          <w:noProof/>
        </w:rPr>
        <w:t>allows</w:t>
      </w:r>
      <w:r w:rsidRPr="007C766C">
        <w:rPr>
          <w:noProof/>
        </w:rPr>
        <w:t xml:space="preserve"> EU service providers </w:t>
      </w:r>
      <w:r w:rsidR="00E44115">
        <w:rPr>
          <w:noProof/>
        </w:rPr>
        <w:t>to</w:t>
      </w:r>
      <w:r w:rsidR="0006646F">
        <w:rPr>
          <w:noProof/>
        </w:rPr>
        <w:t xml:space="preserve"> comply </w:t>
      </w:r>
      <w:r w:rsidRPr="007C766C">
        <w:rPr>
          <w:noProof/>
        </w:rPr>
        <w:t xml:space="preserve">with their obligations under EU data protection and privacy laws, insofar as the Protocol provides a legal </w:t>
      </w:r>
      <w:r w:rsidR="009631C9">
        <w:rPr>
          <w:noProof/>
        </w:rPr>
        <w:t>ground</w:t>
      </w:r>
      <w:r w:rsidRPr="007C766C">
        <w:rPr>
          <w:noProof/>
        </w:rPr>
        <w:t xml:space="preserve"> for data transfers in reaction to orders or requests issued by an authority from a non-EU Party to the Protocol requiring a</w:t>
      </w:r>
      <w:r w:rsidR="009631C9">
        <w:rPr>
          <w:noProof/>
        </w:rPr>
        <w:t>n EU</w:t>
      </w:r>
      <w:r w:rsidRPr="007C766C">
        <w:rPr>
          <w:noProof/>
        </w:rPr>
        <w:t xml:space="preserve"> controller or processor to disclose personal data or electronic communications data. </w:t>
      </w:r>
    </w:p>
    <w:p w14:paraId="57F94DEC" w14:textId="0FBCAF1C" w:rsidR="00724FB3" w:rsidRPr="007C766C" w:rsidRDefault="00C1434B" w:rsidP="00C1434B">
      <w:pPr>
        <w:pStyle w:val="ManualHeading2"/>
        <w:rPr>
          <w:noProof/>
        </w:rPr>
      </w:pPr>
      <w:r w:rsidRPr="00C1434B">
        <w:t>2.4.</w:t>
      </w:r>
      <w:r w:rsidRPr="00C1434B">
        <w:tab/>
      </w:r>
      <w:r w:rsidR="00724FB3" w:rsidRPr="007C766C">
        <w:rPr>
          <w:noProof/>
        </w:rPr>
        <w:t>Reservations, declaration, notification and communications</w:t>
      </w:r>
      <w:r w:rsidR="007A375D" w:rsidRPr="005A231B">
        <w:rPr>
          <w:noProof/>
        </w:rPr>
        <w:t>, and other considerations</w:t>
      </w:r>
    </w:p>
    <w:p w14:paraId="33240361" w14:textId="3523146A" w:rsidR="00F379D0" w:rsidRDefault="00020419" w:rsidP="00F379D0">
      <w:pPr>
        <w:rPr>
          <w:noProof/>
        </w:rPr>
      </w:pPr>
      <w:r w:rsidRPr="007C766C">
        <w:rPr>
          <w:noProof/>
        </w:rPr>
        <w:t xml:space="preserve">The Protocol provides a basis for Parties to avail themselves of certain reservations, and to make declarations, notification or communications in relation to certain articles. </w:t>
      </w:r>
      <w:r w:rsidR="004F345A" w:rsidRPr="007C766C">
        <w:rPr>
          <w:noProof/>
        </w:rPr>
        <w:t xml:space="preserve">Member States should </w:t>
      </w:r>
      <w:r w:rsidR="00E63C6D" w:rsidRPr="007C766C">
        <w:rPr>
          <w:noProof/>
        </w:rPr>
        <w:t xml:space="preserve">take a </w:t>
      </w:r>
      <w:r w:rsidR="00A407D2">
        <w:rPr>
          <w:noProof/>
        </w:rPr>
        <w:t>uniform</w:t>
      </w:r>
      <w:r w:rsidR="00A407D2" w:rsidRPr="007C766C">
        <w:rPr>
          <w:noProof/>
        </w:rPr>
        <w:t xml:space="preserve"> </w:t>
      </w:r>
      <w:r w:rsidR="00E63C6D" w:rsidRPr="007C766C">
        <w:rPr>
          <w:noProof/>
        </w:rPr>
        <w:t>approach to</w:t>
      </w:r>
      <w:r w:rsidR="00A407D2">
        <w:rPr>
          <w:noProof/>
        </w:rPr>
        <w:t xml:space="preserve"> certain</w:t>
      </w:r>
      <w:r w:rsidR="00E63C6D" w:rsidRPr="007C766C">
        <w:rPr>
          <w:noProof/>
        </w:rPr>
        <w:t xml:space="preserve"> reservations and </w:t>
      </w:r>
      <w:r w:rsidR="004F345A" w:rsidRPr="007C766C">
        <w:rPr>
          <w:noProof/>
        </w:rPr>
        <w:t>declarations, notifications and communications as set out in the Annex to th</w:t>
      </w:r>
      <w:r w:rsidR="00D60A52">
        <w:rPr>
          <w:noProof/>
        </w:rPr>
        <w:t>is</w:t>
      </w:r>
      <w:r w:rsidR="004F345A" w:rsidRPr="007C766C">
        <w:rPr>
          <w:noProof/>
        </w:rPr>
        <w:t xml:space="preserve"> Decision. </w:t>
      </w:r>
      <w:r w:rsidR="00C33BDF">
        <w:rPr>
          <w:noProof/>
        </w:rPr>
        <w:t xml:space="preserve">To ensure </w:t>
      </w:r>
      <w:r w:rsidR="007A375D" w:rsidRPr="005A231B">
        <w:rPr>
          <w:noProof/>
        </w:rPr>
        <w:t>compatibility of the Protocol’s implementation with U</w:t>
      </w:r>
      <w:r w:rsidR="00D60A52">
        <w:rPr>
          <w:noProof/>
        </w:rPr>
        <w:t>nion</w:t>
      </w:r>
      <w:r w:rsidR="007A375D" w:rsidRPr="005A231B">
        <w:rPr>
          <w:noProof/>
        </w:rPr>
        <w:t xml:space="preserve"> law</w:t>
      </w:r>
      <w:r w:rsidR="00C33BDF">
        <w:rPr>
          <w:noProof/>
        </w:rPr>
        <w:t>, EU Member States should take the position set out below</w:t>
      </w:r>
      <w:r w:rsidR="00D02EC1">
        <w:rPr>
          <w:noProof/>
        </w:rPr>
        <w:t xml:space="preserve"> with respect to those reservations and declarations</w:t>
      </w:r>
      <w:r w:rsidR="007A375D" w:rsidRPr="005A231B">
        <w:rPr>
          <w:noProof/>
        </w:rPr>
        <w:t>.</w:t>
      </w:r>
      <w:r w:rsidR="007A375D" w:rsidRPr="007C766C">
        <w:rPr>
          <w:noProof/>
        </w:rPr>
        <w:t xml:space="preserve"> </w:t>
      </w:r>
      <w:r w:rsidR="00F379D0">
        <w:rPr>
          <w:noProof/>
        </w:rPr>
        <w:t xml:space="preserve">Where the Protocol provides a basis for other reservations, declarations, notifications or communications, </w:t>
      </w:r>
      <w:r w:rsidR="00E44115">
        <w:rPr>
          <w:noProof/>
        </w:rPr>
        <w:t xml:space="preserve">this proposal authorises </w:t>
      </w:r>
      <w:r w:rsidR="00F379D0">
        <w:rPr>
          <w:noProof/>
        </w:rPr>
        <w:t>Member States to consider and make their own</w:t>
      </w:r>
      <w:r w:rsidR="00E44115">
        <w:rPr>
          <w:noProof/>
        </w:rPr>
        <w:t xml:space="preserve"> reservations,</w:t>
      </w:r>
      <w:r w:rsidR="00F379D0">
        <w:rPr>
          <w:noProof/>
        </w:rPr>
        <w:t xml:space="preserve"> declarations, notifications or communications.</w:t>
      </w:r>
    </w:p>
    <w:p w14:paraId="6F712F2E" w14:textId="11A3E4EE" w:rsidR="00271CFF" w:rsidRPr="007C766C" w:rsidRDefault="00020419" w:rsidP="00137707">
      <w:pPr>
        <w:pStyle w:val="Text1"/>
        <w:ind w:left="0"/>
        <w:rPr>
          <w:noProof/>
        </w:rPr>
      </w:pPr>
      <w:r w:rsidRPr="007C766C">
        <w:rPr>
          <w:noProof/>
        </w:rPr>
        <w:t xml:space="preserve">In order to ensure compatibility between the Protocol’s provisions and relevant Union law and policies, </w:t>
      </w:r>
      <w:r w:rsidR="004F345A" w:rsidRPr="007C766C">
        <w:rPr>
          <w:noProof/>
        </w:rPr>
        <w:t>Member States should not avail themselves of the reservation</w:t>
      </w:r>
      <w:r w:rsidR="00D02EC1">
        <w:rPr>
          <w:noProof/>
        </w:rPr>
        <w:t>s</w:t>
      </w:r>
      <w:r w:rsidR="004F345A" w:rsidRPr="007C766C">
        <w:rPr>
          <w:noProof/>
        </w:rPr>
        <w:t xml:space="preserve"> </w:t>
      </w:r>
      <w:r w:rsidR="00C33BDF">
        <w:rPr>
          <w:noProof/>
        </w:rPr>
        <w:t>pursuant</w:t>
      </w:r>
      <w:r w:rsidR="004F345A" w:rsidRPr="007C766C">
        <w:rPr>
          <w:noProof/>
        </w:rPr>
        <w:t xml:space="preserve"> to Article 7, paragraphs 9, </w:t>
      </w:r>
      <w:r w:rsidR="0010137D">
        <w:rPr>
          <w:noProof/>
        </w:rPr>
        <w:t>point</w:t>
      </w:r>
      <w:r w:rsidR="004F345A" w:rsidRPr="007C766C">
        <w:rPr>
          <w:noProof/>
        </w:rPr>
        <w:t xml:space="preserve"> a</w:t>
      </w:r>
      <w:r w:rsidR="004F345A" w:rsidRPr="007C766C">
        <w:rPr>
          <w:rStyle w:val="FootnoteReference0"/>
          <w:noProof/>
        </w:rPr>
        <w:footnoteReference w:id="31"/>
      </w:r>
      <w:r w:rsidR="004F345A" w:rsidRPr="007C766C">
        <w:rPr>
          <w:noProof/>
        </w:rPr>
        <w:t xml:space="preserve"> and </w:t>
      </w:r>
      <w:r w:rsidR="0010137D">
        <w:rPr>
          <w:noProof/>
        </w:rPr>
        <w:t>point</w:t>
      </w:r>
      <w:r w:rsidR="004F345A" w:rsidRPr="007C766C">
        <w:rPr>
          <w:noProof/>
        </w:rPr>
        <w:t xml:space="preserve"> b</w:t>
      </w:r>
      <w:r w:rsidR="004F345A" w:rsidRPr="007C766C">
        <w:rPr>
          <w:rStyle w:val="FootnoteReference0"/>
          <w:noProof/>
        </w:rPr>
        <w:footnoteReference w:id="32"/>
      </w:r>
      <w:r w:rsidR="004F345A" w:rsidRPr="007C766C">
        <w:rPr>
          <w:noProof/>
        </w:rPr>
        <w:t>. In addition</w:t>
      </w:r>
      <w:r w:rsidR="00271CFF" w:rsidRPr="007C766C">
        <w:rPr>
          <w:noProof/>
        </w:rPr>
        <w:t xml:space="preserve">, </w:t>
      </w:r>
      <w:r w:rsidR="004F345A" w:rsidRPr="007C766C">
        <w:rPr>
          <w:noProof/>
        </w:rPr>
        <w:t>Member States should make the d</w:t>
      </w:r>
      <w:r w:rsidR="00271CFF" w:rsidRPr="007C766C">
        <w:rPr>
          <w:noProof/>
        </w:rPr>
        <w:t xml:space="preserve">eclaration </w:t>
      </w:r>
      <w:r w:rsidR="00C33BDF">
        <w:rPr>
          <w:noProof/>
        </w:rPr>
        <w:t xml:space="preserve">pursuant </w:t>
      </w:r>
      <w:r w:rsidR="00271CFF" w:rsidRPr="007C766C">
        <w:rPr>
          <w:noProof/>
        </w:rPr>
        <w:t>to Article 7, paragraph 2</w:t>
      </w:r>
      <w:r w:rsidR="00A407D2">
        <w:rPr>
          <w:noProof/>
        </w:rPr>
        <w:t xml:space="preserve">, point </w:t>
      </w:r>
      <w:r w:rsidR="00271CFF" w:rsidRPr="007C766C">
        <w:rPr>
          <w:noProof/>
        </w:rPr>
        <w:t>b</w:t>
      </w:r>
      <w:r w:rsidR="004F345A" w:rsidRPr="007C766C">
        <w:rPr>
          <w:rStyle w:val="FootnoteReference0"/>
          <w:noProof/>
        </w:rPr>
        <w:footnoteReference w:id="33"/>
      </w:r>
      <w:r w:rsidR="00271CFF" w:rsidRPr="007C766C">
        <w:rPr>
          <w:noProof/>
        </w:rPr>
        <w:t xml:space="preserve">, and the notification </w:t>
      </w:r>
      <w:r w:rsidR="00C33BDF">
        <w:rPr>
          <w:noProof/>
        </w:rPr>
        <w:t>pursuant</w:t>
      </w:r>
      <w:r w:rsidR="00271CFF" w:rsidRPr="007C766C">
        <w:rPr>
          <w:noProof/>
        </w:rPr>
        <w:t xml:space="preserve"> to Article </w:t>
      </w:r>
      <w:r w:rsidR="004F345A" w:rsidRPr="007C766C">
        <w:rPr>
          <w:noProof/>
        </w:rPr>
        <w:t xml:space="preserve">7, paragraph 5, </w:t>
      </w:r>
      <w:r w:rsidR="0010137D">
        <w:rPr>
          <w:noProof/>
        </w:rPr>
        <w:t>point</w:t>
      </w:r>
      <w:r w:rsidR="004F345A" w:rsidRPr="007C766C">
        <w:rPr>
          <w:noProof/>
        </w:rPr>
        <w:t xml:space="preserve"> a</w:t>
      </w:r>
      <w:r w:rsidR="004F345A" w:rsidRPr="007C766C">
        <w:rPr>
          <w:rStyle w:val="FootnoteReference0"/>
          <w:noProof/>
        </w:rPr>
        <w:footnoteReference w:id="34"/>
      </w:r>
      <w:r w:rsidR="004F345A" w:rsidRPr="007C766C">
        <w:rPr>
          <w:noProof/>
        </w:rPr>
        <w:t>. The absence of these reservations</w:t>
      </w:r>
      <w:r w:rsidR="003A3057">
        <w:rPr>
          <w:noProof/>
        </w:rPr>
        <w:t>,</w:t>
      </w:r>
      <w:r w:rsidR="004F345A" w:rsidRPr="007C766C">
        <w:rPr>
          <w:noProof/>
        </w:rPr>
        <w:t xml:space="preserve"> and the</w:t>
      </w:r>
      <w:r w:rsidR="00D02EC1">
        <w:rPr>
          <w:noProof/>
        </w:rPr>
        <w:t xml:space="preserve"> submission of the</w:t>
      </w:r>
      <w:r w:rsidR="004F345A" w:rsidRPr="007C766C">
        <w:rPr>
          <w:noProof/>
        </w:rPr>
        <w:t xml:space="preserve"> declaration</w:t>
      </w:r>
      <w:r w:rsidR="00D02EC1">
        <w:rPr>
          <w:noProof/>
        </w:rPr>
        <w:t xml:space="preserve"> and notification</w:t>
      </w:r>
      <w:r w:rsidR="003A3057">
        <w:rPr>
          <w:noProof/>
        </w:rPr>
        <w:t>,</w:t>
      </w:r>
      <w:r w:rsidR="00271CFF" w:rsidRPr="007C766C">
        <w:rPr>
          <w:noProof/>
        </w:rPr>
        <w:t xml:space="preserve"> </w:t>
      </w:r>
      <w:r w:rsidR="003A3057">
        <w:rPr>
          <w:noProof/>
        </w:rPr>
        <w:t>are</w:t>
      </w:r>
      <w:r w:rsidR="00271CFF" w:rsidRPr="007C766C">
        <w:rPr>
          <w:noProof/>
        </w:rPr>
        <w:t xml:space="preserve"> important to ensure compatibility </w:t>
      </w:r>
      <w:r w:rsidR="004F345A" w:rsidRPr="007C766C">
        <w:rPr>
          <w:noProof/>
        </w:rPr>
        <w:t xml:space="preserve">of the Protocol </w:t>
      </w:r>
      <w:r w:rsidR="00271CFF" w:rsidRPr="007C766C">
        <w:rPr>
          <w:noProof/>
        </w:rPr>
        <w:t>with the Commission’s e-evidence legislative proposals, including as the draft legislation evolves in the discussions with the co-legislators.</w:t>
      </w:r>
      <w:r w:rsidR="004F345A" w:rsidRPr="007C766C">
        <w:rPr>
          <w:noProof/>
        </w:rPr>
        <w:t xml:space="preserve"> </w:t>
      </w:r>
    </w:p>
    <w:p w14:paraId="01CA7585" w14:textId="28642C6C" w:rsidR="00724FB3" w:rsidRDefault="00271CFF" w:rsidP="00137707">
      <w:pPr>
        <w:pStyle w:val="Text1"/>
        <w:ind w:left="0"/>
        <w:rPr>
          <w:noProof/>
        </w:rPr>
      </w:pPr>
      <w:r w:rsidRPr="007C766C">
        <w:rPr>
          <w:noProof/>
        </w:rPr>
        <w:t xml:space="preserve">In addition, in order to ensure a </w:t>
      </w:r>
      <w:r w:rsidR="001334C3">
        <w:rPr>
          <w:noProof/>
        </w:rPr>
        <w:t>uniform</w:t>
      </w:r>
      <w:r w:rsidR="001334C3" w:rsidRPr="007C766C">
        <w:rPr>
          <w:noProof/>
        </w:rPr>
        <w:t xml:space="preserve"> </w:t>
      </w:r>
      <w:r w:rsidRPr="007C766C">
        <w:rPr>
          <w:noProof/>
        </w:rPr>
        <w:t>application of the Protocol</w:t>
      </w:r>
      <w:r w:rsidR="00725AF4" w:rsidRPr="007C766C">
        <w:rPr>
          <w:noProof/>
        </w:rPr>
        <w:t xml:space="preserve"> by EU Member States in </w:t>
      </w:r>
      <w:r w:rsidR="00A407D2">
        <w:rPr>
          <w:noProof/>
        </w:rPr>
        <w:t xml:space="preserve">their </w:t>
      </w:r>
      <w:r w:rsidR="00725AF4" w:rsidRPr="007C766C">
        <w:rPr>
          <w:noProof/>
        </w:rPr>
        <w:t>cooperation with Parties that are not EU Member States</w:t>
      </w:r>
      <w:r w:rsidRPr="007C766C">
        <w:rPr>
          <w:noProof/>
        </w:rPr>
        <w:t xml:space="preserve">, Member States are encouraged not to avail themselves of the reservation </w:t>
      </w:r>
      <w:r w:rsidR="00C33BDF">
        <w:rPr>
          <w:noProof/>
        </w:rPr>
        <w:t>pursuant</w:t>
      </w:r>
      <w:r w:rsidRPr="007C766C">
        <w:rPr>
          <w:noProof/>
        </w:rPr>
        <w:t xml:space="preserve"> to </w:t>
      </w:r>
      <w:r w:rsidR="004F345A" w:rsidRPr="007C766C">
        <w:rPr>
          <w:noProof/>
        </w:rPr>
        <w:t>Article 8, paragraph 13</w:t>
      </w:r>
      <w:r w:rsidR="00A407D2" w:rsidRPr="007C766C">
        <w:rPr>
          <w:rStyle w:val="FootnoteReference0"/>
          <w:noProof/>
        </w:rPr>
        <w:footnoteReference w:id="35"/>
      </w:r>
      <w:r w:rsidR="00A407D2">
        <w:rPr>
          <w:noProof/>
        </w:rPr>
        <w:t>, also because such a reservation would have reciprocal effect</w:t>
      </w:r>
      <w:r w:rsidR="00A407D2">
        <w:rPr>
          <w:rStyle w:val="FootnoteReference0"/>
          <w:noProof/>
        </w:rPr>
        <w:footnoteReference w:id="36"/>
      </w:r>
      <w:r w:rsidR="004F345A" w:rsidRPr="007C766C">
        <w:rPr>
          <w:noProof/>
        </w:rPr>
        <w:t>.</w:t>
      </w:r>
      <w:r w:rsidR="00A407D2">
        <w:rPr>
          <w:noProof/>
        </w:rPr>
        <w:t xml:space="preserve"> </w:t>
      </w:r>
      <w:r w:rsidR="006D6E3E" w:rsidRPr="007C766C">
        <w:rPr>
          <w:noProof/>
        </w:rPr>
        <w:t xml:space="preserve">Member States should make the declaration </w:t>
      </w:r>
      <w:r w:rsidR="00C33BDF">
        <w:rPr>
          <w:noProof/>
        </w:rPr>
        <w:t>pursuant</w:t>
      </w:r>
      <w:r w:rsidR="006D6E3E" w:rsidRPr="007C766C">
        <w:rPr>
          <w:noProof/>
        </w:rPr>
        <w:t xml:space="preserve"> to Article 8, paragraph 4</w:t>
      </w:r>
      <w:r w:rsidR="00552BB4" w:rsidRPr="007C766C">
        <w:rPr>
          <w:noProof/>
        </w:rPr>
        <w:t xml:space="preserve">, to ensure effect can be given to orders </w:t>
      </w:r>
      <w:r w:rsidR="00725AF4" w:rsidRPr="007C766C">
        <w:rPr>
          <w:noProof/>
        </w:rPr>
        <w:t xml:space="preserve">in case additional supporting information </w:t>
      </w:r>
      <w:r w:rsidR="0025668F" w:rsidRPr="007C766C">
        <w:rPr>
          <w:noProof/>
        </w:rPr>
        <w:t xml:space="preserve">is needed, e.g. </w:t>
      </w:r>
      <w:r w:rsidR="00725AF4" w:rsidRPr="007C766C">
        <w:rPr>
          <w:noProof/>
        </w:rPr>
        <w:t>about the circumstances of the case at hand</w:t>
      </w:r>
      <w:r w:rsidR="0025668F" w:rsidRPr="007C766C">
        <w:rPr>
          <w:noProof/>
        </w:rPr>
        <w:t xml:space="preserve"> in order to assess proportionality and necessity</w:t>
      </w:r>
      <w:r w:rsidR="006D6E3E" w:rsidRPr="007C766C">
        <w:rPr>
          <w:noProof/>
        </w:rPr>
        <w:t>.</w:t>
      </w:r>
      <w:r w:rsidR="006D6E3E" w:rsidRPr="007C766C">
        <w:rPr>
          <w:rStyle w:val="FootnoteReference0"/>
          <w:noProof/>
        </w:rPr>
        <w:footnoteReference w:id="37"/>
      </w:r>
      <w:r w:rsidR="006D6E3E" w:rsidRPr="007C766C">
        <w:rPr>
          <w:noProof/>
        </w:rPr>
        <w:t xml:space="preserve"> </w:t>
      </w:r>
    </w:p>
    <w:p w14:paraId="6E0F1549" w14:textId="4BD418A1" w:rsidR="002A46FF" w:rsidRPr="007C766C" w:rsidRDefault="002A46FF" w:rsidP="00A15E62">
      <w:pPr>
        <w:rPr>
          <w:noProof/>
        </w:rPr>
      </w:pPr>
      <w:r w:rsidRPr="00F8077D">
        <w:rPr>
          <w:noProof/>
        </w:rPr>
        <w:t>Member States are also encouraged</w:t>
      </w:r>
      <w:r w:rsidR="00384A04" w:rsidRPr="00F8077D">
        <w:rPr>
          <w:noProof/>
        </w:rPr>
        <w:t xml:space="preserve"> to refrain from making the declaration under Article 9, paragraph 1, point b,</w:t>
      </w:r>
      <w:r w:rsidR="00384A04" w:rsidRPr="00F8077D">
        <w:rPr>
          <w:rStyle w:val="FootnoteReference0"/>
          <w:noProof/>
        </w:rPr>
        <w:footnoteReference w:id="38"/>
      </w:r>
      <w:r w:rsidR="00384A04" w:rsidRPr="00F8077D">
        <w:rPr>
          <w:noProof/>
        </w:rPr>
        <w:t xml:space="preserve"> in order to ensure</w:t>
      </w:r>
      <w:r w:rsidR="00384A04">
        <w:rPr>
          <w:noProof/>
        </w:rPr>
        <w:t xml:space="preserve"> an efficient application of the Protocol. </w:t>
      </w:r>
    </w:p>
    <w:p w14:paraId="281B08D1" w14:textId="3934DF14" w:rsidR="00753AA0" w:rsidRPr="007C766C" w:rsidRDefault="00D52FFF" w:rsidP="00137707">
      <w:pPr>
        <w:pStyle w:val="Text1"/>
        <w:ind w:left="0"/>
        <w:rPr>
          <w:noProof/>
        </w:rPr>
      </w:pPr>
      <w:r w:rsidRPr="007C766C">
        <w:rPr>
          <w:noProof/>
        </w:rPr>
        <w:t xml:space="preserve">Member States should make the </w:t>
      </w:r>
      <w:r w:rsidR="00753AA0" w:rsidRPr="007C766C">
        <w:rPr>
          <w:noProof/>
        </w:rPr>
        <w:t xml:space="preserve">communications </w:t>
      </w:r>
      <w:r w:rsidR="00C33BDF">
        <w:rPr>
          <w:noProof/>
        </w:rPr>
        <w:t>pursuant to</w:t>
      </w:r>
      <w:r w:rsidR="00C33BDF" w:rsidRPr="007C766C">
        <w:rPr>
          <w:noProof/>
        </w:rPr>
        <w:t xml:space="preserve"> </w:t>
      </w:r>
      <w:r w:rsidR="00753AA0" w:rsidRPr="007C766C">
        <w:rPr>
          <w:noProof/>
        </w:rPr>
        <w:t xml:space="preserve">Article 7, paragraph 5, </w:t>
      </w:r>
      <w:r w:rsidR="0010137D">
        <w:rPr>
          <w:noProof/>
        </w:rPr>
        <w:t>point</w:t>
      </w:r>
      <w:r w:rsidR="00753AA0" w:rsidRPr="007C766C">
        <w:rPr>
          <w:noProof/>
        </w:rPr>
        <w:t xml:space="preserve"> e</w:t>
      </w:r>
      <w:r w:rsidR="0067409F">
        <w:rPr>
          <w:rStyle w:val="FootnoteReference0"/>
          <w:noProof/>
        </w:rPr>
        <w:footnoteReference w:id="39"/>
      </w:r>
      <w:r w:rsidR="00753AA0" w:rsidRPr="007C766C">
        <w:rPr>
          <w:noProof/>
        </w:rPr>
        <w:t xml:space="preserve">, Article 8, paragraph 10, </w:t>
      </w:r>
      <w:r w:rsidR="0010137D">
        <w:rPr>
          <w:noProof/>
        </w:rPr>
        <w:t>point</w:t>
      </w:r>
      <w:r w:rsidR="00753AA0" w:rsidRPr="007C766C">
        <w:rPr>
          <w:noProof/>
        </w:rPr>
        <w:t xml:space="preserve"> a and </w:t>
      </w:r>
      <w:r w:rsidR="0010137D">
        <w:rPr>
          <w:noProof/>
        </w:rPr>
        <w:t>point</w:t>
      </w:r>
      <w:r w:rsidR="00753AA0" w:rsidRPr="007C766C">
        <w:rPr>
          <w:noProof/>
        </w:rPr>
        <w:t xml:space="preserve"> b</w:t>
      </w:r>
      <w:r w:rsidR="0067409F">
        <w:rPr>
          <w:rStyle w:val="FootnoteReference0"/>
          <w:noProof/>
        </w:rPr>
        <w:footnoteReference w:id="40"/>
      </w:r>
      <w:r w:rsidR="00753AA0" w:rsidRPr="007C766C">
        <w:rPr>
          <w:noProof/>
        </w:rPr>
        <w:t xml:space="preserve">, </w:t>
      </w:r>
      <w:r w:rsidRPr="007C766C">
        <w:rPr>
          <w:noProof/>
        </w:rPr>
        <w:t>Article 14, paragraph 7</w:t>
      </w:r>
      <w:r w:rsidR="008C0A35">
        <w:rPr>
          <w:noProof/>
        </w:rPr>
        <w:t>, point c,</w:t>
      </w:r>
      <w:r w:rsidRPr="007C766C">
        <w:rPr>
          <w:noProof/>
        </w:rPr>
        <w:t xml:space="preserve"> and </w:t>
      </w:r>
      <w:r w:rsidR="008C0A35">
        <w:rPr>
          <w:noProof/>
        </w:rPr>
        <w:t xml:space="preserve">paragraph </w:t>
      </w:r>
      <w:r w:rsidRPr="007C766C">
        <w:rPr>
          <w:noProof/>
        </w:rPr>
        <w:t xml:space="preserve">10, </w:t>
      </w:r>
      <w:r w:rsidR="0010137D">
        <w:rPr>
          <w:noProof/>
        </w:rPr>
        <w:t>point</w:t>
      </w:r>
      <w:r w:rsidRPr="007C766C">
        <w:rPr>
          <w:noProof/>
        </w:rPr>
        <w:t xml:space="preserve"> </w:t>
      </w:r>
      <w:r w:rsidR="008C0A35">
        <w:rPr>
          <w:noProof/>
        </w:rPr>
        <w:t>b</w:t>
      </w:r>
      <w:r w:rsidR="00D02EC1">
        <w:rPr>
          <w:noProof/>
        </w:rPr>
        <w:t>,</w:t>
      </w:r>
      <w:r w:rsidRPr="007C766C">
        <w:rPr>
          <w:noProof/>
        </w:rPr>
        <w:t xml:space="preserve"> to ensure an overall effective application of the Protocol.</w:t>
      </w:r>
      <w:r w:rsidR="007A375D" w:rsidRPr="007C766C">
        <w:rPr>
          <w:rStyle w:val="FootnoteReference0"/>
          <w:noProof/>
        </w:rPr>
        <w:footnoteReference w:id="41"/>
      </w:r>
      <w:r w:rsidRPr="007C766C">
        <w:rPr>
          <w:noProof/>
        </w:rPr>
        <w:t xml:space="preserve"> </w:t>
      </w:r>
    </w:p>
    <w:p w14:paraId="7E623F1D" w14:textId="4006B0E0" w:rsidR="007A375D" w:rsidRPr="007C766C" w:rsidRDefault="007A375D" w:rsidP="00137707">
      <w:pPr>
        <w:pStyle w:val="Text1"/>
        <w:ind w:left="0"/>
        <w:rPr>
          <w:noProof/>
        </w:rPr>
      </w:pPr>
      <w:r w:rsidRPr="005A231B">
        <w:rPr>
          <w:noProof/>
        </w:rPr>
        <w:t xml:space="preserve">Finally, Member States should also take the necessary measures </w:t>
      </w:r>
      <w:r w:rsidR="00C33BDF">
        <w:rPr>
          <w:noProof/>
        </w:rPr>
        <w:t>pursuant to</w:t>
      </w:r>
      <w:r w:rsidR="00C33BDF" w:rsidRPr="005A231B">
        <w:rPr>
          <w:noProof/>
        </w:rPr>
        <w:t xml:space="preserve"> </w:t>
      </w:r>
      <w:r w:rsidRPr="005A231B">
        <w:rPr>
          <w:noProof/>
        </w:rPr>
        <w:t xml:space="preserve">Article 14, paragraph 11, </w:t>
      </w:r>
      <w:r w:rsidR="0010137D">
        <w:rPr>
          <w:noProof/>
        </w:rPr>
        <w:t>point</w:t>
      </w:r>
      <w:r w:rsidRPr="005A231B">
        <w:rPr>
          <w:noProof/>
        </w:rPr>
        <w:t xml:space="preserve"> c, to ensure that the receiving Party is informed at the time of transfer of the obligation under U</w:t>
      </w:r>
      <w:r w:rsidR="0006646F">
        <w:rPr>
          <w:noProof/>
        </w:rPr>
        <w:t>nion</w:t>
      </w:r>
      <w:r w:rsidRPr="005A231B">
        <w:rPr>
          <w:noProof/>
        </w:rPr>
        <w:t xml:space="preserve"> law to provide notification to the individual to whom the data relates</w:t>
      </w:r>
      <w:r w:rsidR="0006646F">
        <w:rPr>
          <w:rStyle w:val="FootnoteReference0"/>
          <w:noProof/>
        </w:rPr>
        <w:footnoteReference w:id="42"/>
      </w:r>
      <w:r w:rsidRPr="005A231B">
        <w:rPr>
          <w:noProof/>
        </w:rPr>
        <w:t xml:space="preserve">, and appropriate contact </w:t>
      </w:r>
      <w:r w:rsidR="0006646F">
        <w:rPr>
          <w:noProof/>
        </w:rPr>
        <w:t>details</w:t>
      </w:r>
      <w:r w:rsidR="0006646F" w:rsidRPr="005A231B">
        <w:rPr>
          <w:noProof/>
        </w:rPr>
        <w:t xml:space="preserve"> </w:t>
      </w:r>
      <w:r w:rsidRPr="005A231B">
        <w:rPr>
          <w:noProof/>
        </w:rPr>
        <w:t xml:space="preserve">to allow the receiving Party to </w:t>
      </w:r>
      <w:r w:rsidR="0006646F">
        <w:rPr>
          <w:noProof/>
        </w:rPr>
        <w:t>inform</w:t>
      </w:r>
      <w:r w:rsidR="0006646F" w:rsidRPr="005A231B">
        <w:rPr>
          <w:noProof/>
        </w:rPr>
        <w:t xml:space="preserve"> </w:t>
      </w:r>
      <w:r w:rsidRPr="005A231B">
        <w:rPr>
          <w:noProof/>
        </w:rPr>
        <w:t>the competent authority in the EU Member State</w:t>
      </w:r>
      <w:r w:rsidR="0006646F">
        <w:rPr>
          <w:noProof/>
        </w:rPr>
        <w:t xml:space="preserve"> once confidentiality restrictions no longer apply and notification can be provided</w:t>
      </w:r>
      <w:r w:rsidRPr="005A231B">
        <w:rPr>
          <w:noProof/>
        </w:rPr>
        <w:t>.</w:t>
      </w:r>
    </w:p>
    <w:p w14:paraId="15B3F47D" w14:textId="24F61627" w:rsidR="00D1281A" w:rsidRPr="007C766C" w:rsidRDefault="00C1434B" w:rsidP="00C1434B">
      <w:pPr>
        <w:pStyle w:val="ManualHeading2"/>
        <w:rPr>
          <w:noProof/>
        </w:rPr>
      </w:pPr>
      <w:r w:rsidRPr="00C1434B">
        <w:t>2.5.</w:t>
      </w:r>
      <w:r w:rsidRPr="00C1434B">
        <w:tab/>
      </w:r>
      <w:r w:rsidR="00D1281A" w:rsidRPr="007C766C">
        <w:rPr>
          <w:noProof/>
        </w:rPr>
        <w:t>Reason for the proposal</w:t>
      </w:r>
    </w:p>
    <w:p w14:paraId="15B3F47E" w14:textId="6304FA13" w:rsidR="000B5E1F" w:rsidRPr="007C766C" w:rsidRDefault="000B5E1F" w:rsidP="00AE1EDE">
      <w:pPr>
        <w:pStyle w:val="Normal1"/>
        <w:jc w:val="both"/>
        <w:rPr>
          <w:noProof/>
        </w:rPr>
      </w:pPr>
      <w:r w:rsidRPr="007C766C">
        <w:rPr>
          <w:noProof/>
        </w:rPr>
        <w:t xml:space="preserve">The Protocol will enter into force once </w:t>
      </w:r>
      <w:r w:rsidR="00AE1EDE" w:rsidRPr="007C766C">
        <w:rPr>
          <w:noProof/>
        </w:rPr>
        <w:t>five</w:t>
      </w:r>
      <w:r w:rsidRPr="007C766C">
        <w:rPr>
          <w:noProof/>
        </w:rPr>
        <w:t xml:space="preserve"> Parties have </w:t>
      </w:r>
      <w:r w:rsidR="00AE1EDE" w:rsidRPr="007C766C">
        <w:rPr>
          <w:noProof/>
        </w:rPr>
        <w:t xml:space="preserve">expressed their consent to be bound by the Protocol in accordance with the provisions of Article 16, paragraphs 1 and 2. </w:t>
      </w:r>
      <w:r w:rsidRPr="007C766C">
        <w:rPr>
          <w:noProof/>
        </w:rPr>
        <w:t>The signing ceremony of the Protoco</w:t>
      </w:r>
      <w:r w:rsidR="00AE1EDE" w:rsidRPr="007C766C">
        <w:rPr>
          <w:noProof/>
        </w:rPr>
        <w:t xml:space="preserve">l is envisaged to take place in </w:t>
      </w:r>
      <w:r w:rsidRPr="007C766C">
        <w:rPr>
          <w:noProof/>
        </w:rPr>
        <w:t>March 202</w:t>
      </w:r>
      <w:r w:rsidR="00352E66">
        <w:rPr>
          <w:noProof/>
        </w:rPr>
        <w:t>2</w:t>
      </w:r>
      <w:r w:rsidRPr="007C766C">
        <w:rPr>
          <w:noProof/>
        </w:rPr>
        <w:t xml:space="preserve">. </w:t>
      </w:r>
    </w:p>
    <w:p w14:paraId="15B3F47F" w14:textId="39E7EEFA" w:rsidR="00566C24" w:rsidRPr="007C766C" w:rsidRDefault="000B5E1F" w:rsidP="00AE1EDE">
      <w:pPr>
        <w:pStyle w:val="Normal1"/>
        <w:jc w:val="both"/>
        <w:rPr>
          <w:noProof/>
        </w:rPr>
      </w:pPr>
      <w:r w:rsidRPr="007C766C">
        <w:rPr>
          <w:noProof/>
        </w:rPr>
        <w:t>EU Member States should take the necessary steps to ensure swift entry into</w:t>
      </w:r>
      <w:r w:rsidR="00AE1EDE" w:rsidRPr="007C766C">
        <w:rPr>
          <w:noProof/>
        </w:rPr>
        <w:t xml:space="preserve"> force </w:t>
      </w:r>
      <w:r w:rsidR="00535733">
        <w:rPr>
          <w:noProof/>
        </w:rPr>
        <w:t xml:space="preserve">and ratification </w:t>
      </w:r>
      <w:r w:rsidR="00AE1EDE" w:rsidRPr="007C766C">
        <w:rPr>
          <w:noProof/>
        </w:rPr>
        <w:t xml:space="preserve">of the </w:t>
      </w:r>
      <w:r w:rsidR="005056E9" w:rsidRPr="007C766C">
        <w:rPr>
          <w:noProof/>
        </w:rPr>
        <w:t xml:space="preserve">Protocol, which is </w:t>
      </w:r>
      <w:r w:rsidR="00AE1EDE" w:rsidRPr="007C766C">
        <w:rPr>
          <w:noProof/>
        </w:rPr>
        <w:t>important in view of a number of factors.</w:t>
      </w:r>
    </w:p>
    <w:p w14:paraId="15B3F480" w14:textId="345FDE22" w:rsidR="00566C24" w:rsidRPr="007C766C" w:rsidRDefault="00AE1EDE" w:rsidP="00AE1EDE">
      <w:pPr>
        <w:pStyle w:val="Normal1"/>
        <w:jc w:val="both"/>
        <w:rPr>
          <w:noProof/>
        </w:rPr>
      </w:pPr>
      <w:r w:rsidRPr="007C766C">
        <w:rPr>
          <w:noProof/>
        </w:rPr>
        <w:t xml:space="preserve">First, the Protocol will ensure </w:t>
      </w:r>
      <w:r w:rsidR="00566C24" w:rsidRPr="007C766C">
        <w:rPr>
          <w:noProof/>
        </w:rPr>
        <w:t xml:space="preserve">that </w:t>
      </w:r>
      <w:r w:rsidRPr="007C766C">
        <w:rPr>
          <w:noProof/>
        </w:rPr>
        <w:t xml:space="preserve">law enforcement and judicial authorities are better equipped to obtain electronic evidence necessary for criminal investigations. In view of the increasing importance of electronic evidence for criminal investigations, </w:t>
      </w:r>
      <w:r w:rsidR="00566C24" w:rsidRPr="007C766C">
        <w:rPr>
          <w:noProof/>
        </w:rPr>
        <w:t xml:space="preserve">there is an urgent need of law enforcement and judicial authorities to have the right </w:t>
      </w:r>
      <w:r w:rsidR="0006646F">
        <w:rPr>
          <w:noProof/>
        </w:rPr>
        <w:t>instruments</w:t>
      </w:r>
      <w:r w:rsidR="0006646F" w:rsidRPr="007C766C">
        <w:rPr>
          <w:noProof/>
        </w:rPr>
        <w:t xml:space="preserve"> </w:t>
      </w:r>
      <w:r w:rsidR="00566C24" w:rsidRPr="007C766C">
        <w:rPr>
          <w:noProof/>
        </w:rPr>
        <w:t>to obtain access to electronic evidence in an</w:t>
      </w:r>
      <w:r w:rsidR="0029232E" w:rsidRPr="007C766C">
        <w:rPr>
          <w:noProof/>
        </w:rPr>
        <w:t xml:space="preserve"> effective manner to ensure the</w:t>
      </w:r>
      <w:r w:rsidR="0006646F">
        <w:rPr>
          <w:noProof/>
        </w:rPr>
        <w:t>y</w:t>
      </w:r>
      <w:r w:rsidR="0029232E" w:rsidRPr="007C766C">
        <w:rPr>
          <w:noProof/>
        </w:rPr>
        <w:t xml:space="preserve"> can effectively fight crime online. </w:t>
      </w:r>
    </w:p>
    <w:p w14:paraId="15B3F481" w14:textId="214ED162" w:rsidR="00AE1EDE" w:rsidRPr="007C766C" w:rsidRDefault="00566C24" w:rsidP="00AE1EDE">
      <w:pPr>
        <w:pStyle w:val="Normal1"/>
        <w:jc w:val="both"/>
        <w:rPr>
          <w:noProof/>
        </w:rPr>
      </w:pPr>
      <w:r w:rsidRPr="007C766C">
        <w:rPr>
          <w:noProof/>
        </w:rPr>
        <w:t xml:space="preserve">Second, the Protocol will ensure that such measures to obtain access to electronic evidence will be used in a manner that </w:t>
      </w:r>
      <w:r w:rsidR="003F3113">
        <w:rPr>
          <w:noProof/>
        </w:rPr>
        <w:t xml:space="preserve">allow Member States to </w:t>
      </w:r>
      <w:r w:rsidRPr="007C766C">
        <w:rPr>
          <w:noProof/>
        </w:rPr>
        <w:t xml:space="preserve">respect fundamental rights, including </w:t>
      </w:r>
      <w:r w:rsidR="0029232E" w:rsidRPr="007C766C">
        <w:rPr>
          <w:noProof/>
        </w:rPr>
        <w:t xml:space="preserve">criminal procedural rights, </w:t>
      </w:r>
      <w:r w:rsidRPr="007C766C">
        <w:rPr>
          <w:noProof/>
        </w:rPr>
        <w:t xml:space="preserve">the right to privacy and the </w:t>
      </w:r>
      <w:r w:rsidR="0029232E" w:rsidRPr="007C766C">
        <w:rPr>
          <w:noProof/>
        </w:rPr>
        <w:t xml:space="preserve">right to the </w:t>
      </w:r>
      <w:r w:rsidRPr="007C766C">
        <w:rPr>
          <w:noProof/>
        </w:rPr>
        <w:t xml:space="preserve">protection of personal data. In the absence of clear rules at international level, existing practices may pose challenges in view of legal certainty, transparency, accountability and respect of fundamental rights and procedural guarantees of the suspects in criminal investigations. </w:t>
      </w:r>
    </w:p>
    <w:p w14:paraId="15B3F482" w14:textId="4C0BF39E" w:rsidR="00566C24" w:rsidRPr="007C766C" w:rsidRDefault="00566C24" w:rsidP="00AE1EDE">
      <w:pPr>
        <w:pStyle w:val="Normal1"/>
        <w:jc w:val="both"/>
        <w:rPr>
          <w:noProof/>
        </w:rPr>
      </w:pPr>
      <w:r w:rsidRPr="007C766C">
        <w:rPr>
          <w:noProof/>
        </w:rPr>
        <w:t xml:space="preserve">Third, the Protocol will </w:t>
      </w:r>
      <w:r w:rsidR="009C6702" w:rsidRPr="007C766C">
        <w:rPr>
          <w:noProof/>
        </w:rPr>
        <w:t xml:space="preserve">resolve and prevent conflicts of law, affecting both authorities and private sector service providers and other entities, by providing compatible rules at international level for cross-border access to electronic evidence. </w:t>
      </w:r>
    </w:p>
    <w:p w14:paraId="15B3F483" w14:textId="37BDB0E0" w:rsidR="00566C24" w:rsidRPr="007C766C" w:rsidRDefault="00566C24" w:rsidP="00AE1EDE">
      <w:pPr>
        <w:pStyle w:val="Normal1"/>
        <w:jc w:val="both"/>
        <w:rPr>
          <w:noProof/>
        </w:rPr>
      </w:pPr>
      <w:r w:rsidRPr="007C766C">
        <w:rPr>
          <w:noProof/>
        </w:rPr>
        <w:t xml:space="preserve">Fourth, the Protocol will </w:t>
      </w:r>
      <w:r w:rsidR="009C6702" w:rsidRPr="007C766C">
        <w:rPr>
          <w:noProof/>
        </w:rPr>
        <w:t>demonstrate the continued importance of the Convention as the main multilateral framework for the fight against cybercrime.</w:t>
      </w:r>
      <w:r w:rsidR="0029232E" w:rsidRPr="007C766C">
        <w:rPr>
          <w:noProof/>
        </w:rPr>
        <w:t xml:space="preserve"> This will be of key importance in the </w:t>
      </w:r>
      <w:r w:rsidR="005056E9" w:rsidRPr="007C766C">
        <w:rPr>
          <w:noProof/>
        </w:rPr>
        <w:t xml:space="preserve">process following the United Nations General Assembly (UNGA) Resolution 74/247 </w:t>
      </w:r>
      <w:r w:rsidR="00EC7843">
        <w:rPr>
          <w:noProof/>
        </w:rPr>
        <w:t xml:space="preserve">of </w:t>
      </w:r>
      <w:r w:rsidR="00EC7843" w:rsidRPr="007C766C">
        <w:rPr>
          <w:noProof/>
        </w:rPr>
        <w:t xml:space="preserve">December 2019 </w:t>
      </w:r>
      <w:r w:rsidR="005056E9" w:rsidRPr="007C766C">
        <w:rPr>
          <w:noProof/>
        </w:rPr>
        <w:t>on ‘Countering the use of information and communications technologies for criminal purposes’ that established an open-ended ad hoc intergovernmental committee of experts to elaborate a comprehensive international convention on countering the use of information and communications technologies for criminal purposes.</w:t>
      </w:r>
      <w:r w:rsidR="009C6702" w:rsidRPr="007C766C">
        <w:rPr>
          <w:noProof/>
        </w:rPr>
        <w:t xml:space="preserve"> </w:t>
      </w:r>
    </w:p>
    <w:p w14:paraId="1C41E107" w14:textId="1A7C131E" w:rsidR="00352E66" w:rsidRDefault="00C1434B" w:rsidP="00C1434B">
      <w:pPr>
        <w:pStyle w:val="ManualHeading1"/>
        <w:rPr>
          <w:noProof/>
        </w:rPr>
      </w:pPr>
      <w:r w:rsidRPr="00C1434B">
        <w:t>3.</w:t>
      </w:r>
      <w:r w:rsidRPr="00C1434B">
        <w:tab/>
      </w:r>
      <w:r w:rsidR="00337E10" w:rsidRPr="00125F2D">
        <w:rPr>
          <w:noProof/>
        </w:rPr>
        <w:t>LEGAL</w:t>
      </w:r>
      <w:r w:rsidR="00337E10" w:rsidRPr="002D5EE2">
        <w:rPr>
          <w:noProof/>
        </w:rPr>
        <w:t xml:space="preserve"> BASIS, </w:t>
      </w:r>
      <w:r w:rsidR="00337E10" w:rsidRPr="00352E66">
        <w:rPr>
          <w:noProof/>
        </w:rPr>
        <w:t>SUBSIDIARITY</w:t>
      </w:r>
      <w:r w:rsidR="00337E10" w:rsidRPr="002D5EE2">
        <w:rPr>
          <w:noProof/>
        </w:rPr>
        <w:t xml:space="preserve"> AND PROPORTIONALITY</w:t>
      </w:r>
      <w:r w:rsidR="00337E10" w:rsidRPr="007C766C" w:rsidDel="00337E10">
        <w:rPr>
          <w:noProof/>
        </w:rPr>
        <w:t xml:space="preserve"> </w:t>
      </w:r>
    </w:p>
    <w:p w14:paraId="09D21927" w14:textId="4EEFD492" w:rsidR="00337E10" w:rsidRPr="00226588" w:rsidRDefault="00337E10" w:rsidP="00577E6B">
      <w:pPr>
        <w:pStyle w:val="Bullet0"/>
        <w:numPr>
          <w:ilvl w:val="0"/>
          <w:numId w:val="12"/>
        </w:numPr>
        <w:rPr>
          <w:i/>
          <w:noProof/>
          <w:u w:color="000000"/>
          <w:bdr w:val="nil"/>
          <w:lang w:val="en-US" w:eastAsia="en-GB"/>
        </w:rPr>
      </w:pPr>
      <w:r w:rsidRPr="00226588">
        <w:rPr>
          <w:rFonts w:eastAsiaTheme="majorEastAsia"/>
          <w:bCs/>
          <w:i/>
          <w:noProof/>
          <w:szCs w:val="26"/>
        </w:rPr>
        <w:t>Legal</w:t>
      </w:r>
      <w:r w:rsidRPr="00226588">
        <w:rPr>
          <w:i/>
          <w:noProof/>
          <w:u w:color="000000"/>
          <w:bdr w:val="nil"/>
          <w:lang w:val="en-US" w:eastAsia="en-GB"/>
        </w:rPr>
        <w:t xml:space="preserve"> basis</w:t>
      </w:r>
    </w:p>
    <w:p w14:paraId="227704AB" w14:textId="7E01C67D" w:rsidR="00FE59AB" w:rsidRDefault="000B5E1F" w:rsidP="000B5E1F">
      <w:pPr>
        <w:pBdr>
          <w:top w:val="nil"/>
          <w:left w:val="nil"/>
          <w:bottom w:val="nil"/>
          <w:right w:val="nil"/>
          <w:between w:val="nil"/>
          <w:bar w:val="nil"/>
        </w:pBdr>
        <w:spacing w:before="0" w:after="240"/>
        <w:rPr>
          <w:noProof/>
        </w:rPr>
      </w:pPr>
      <w:r w:rsidRPr="007C766C">
        <w:rPr>
          <w:noProof/>
        </w:rPr>
        <w:t xml:space="preserve">The </w:t>
      </w:r>
      <w:r w:rsidR="00FE59AB">
        <w:rPr>
          <w:noProof/>
        </w:rPr>
        <w:t xml:space="preserve">competence of the Union </w:t>
      </w:r>
      <w:r w:rsidR="005713EE">
        <w:rPr>
          <w:noProof/>
        </w:rPr>
        <w:t>to legislate on</w:t>
      </w:r>
      <w:r w:rsidR="00FE59AB">
        <w:rPr>
          <w:noProof/>
        </w:rPr>
        <w:t xml:space="preserve"> matters on the</w:t>
      </w:r>
      <w:r w:rsidR="00853833">
        <w:rPr>
          <w:noProof/>
        </w:rPr>
        <w:t xml:space="preserve"> </w:t>
      </w:r>
      <w:r w:rsidR="00FE59AB">
        <w:rPr>
          <w:noProof/>
        </w:rPr>
        <w:t xml:space="preserve">facilitation of the cooperation between judicial or equivalent authorities in relation to proceedings in criminal matters and the enforcement of decisions is based on Article </w:t>
      </w:r>
      <w:r w:rsidR="00853833">
        <w:rPr>
          <w:noProof/>
        </w:rPr>
        <w:t>82</w:t>
      </w:r>
      <w:r w:rsidR="00FE59AB">
        <w:rPr>
          <w:noProof/>
        </w:rPr>
        <w:t xml:space="preserve">(1) TFEU. </w:t>
      </w:r>
      <w:r w:rsidR="00571C99">
        <w:rPr>
          <w:noProof/>
        </w:rPr>
        <w:t xml:space="preserve">The competence of the Union for matters on the protection of personal data is based on Article 16 TFEU. </w:t>
      </w:r>
    </w:p>
    <w:p w14:paraId="6D07B0DA" w14:textId="27D2FB39" w:rsidR="00FE59AB" w:rsidRDefault="00FE59AB" w:rsidP="00FE59AB">
      <w:pPr>
        <w:pBdr>
          <w:top w:val="nil"/>
          <w:left w:val="nil"/>
          <w:bottom w:val="nil"/>
          <w:right w:val="nil"/>
          <w:between w:val="nil"/>
          <w:bar w:val="nil"/>
        </w:pBdr>
        <w:spacing w:before="0" w:after="240"/>
        <w:rPr>
          <w:rFonts w:eastAsia="Arial Unicode MS"/>
          <w:noProof/>
        </w:rPr>
      </w:pPr>
      <w:r w:rsidRPr="00FE59AB">
        <w:rPr>
          <w:rFonts w:eastAsia="Arial Unicode MS"/>
          <w:noProof/>
        </w:rPr>
        <w:t>In line with Article 3(2) TFEU the Union has exclusive competence for the conclusion of an international agreement insofar as such conclusion may affect common EU rules or alter their scope.</w:t>
      </w:r>
      <w:r>
        <w:rPr>
          <w:rFonts w:eastAsia="Arial Unicode MS"/>
          <w:noProof/>
        </w:rPr>
        <w:t xml:space="preserve"> </w:t>
      </w:r>
      <w:r w:rsidR="003A3057" w:rsidRPr="007C766C">
        <w:rPr>
          <w:noProof/>
        </w:rPr>
        <w:t xml:space="preserve">The provisions of the Protocol </w:t>
      </w:r>
      <w:r w:rsidR="003A3057">
        <w:rPr>
          <w:noProof/>
        </w:rPr>
        <w:t>fall within an area covered to a large extent by</w:t>
      </w:r>
      <w:r w:rsidR="003A3057" w:rsidRPr="007C766C">
        <w:rPr>
          <w:noProof/>
        </w:rPr>
        <w:t xml:space="preserve"> common rules</w:t>
      </w:r>
      <w:r w:rsidR="003A3057">
        <w:rPr>
          <w:rFonts w:eastAsia="Arial Unicode MS"/>
          <w:noProof/>
        </w:rPr>
        <w:t xml:space="preserve"> as set out in </w:t>
      </w:r>
      <w:r>
        <w:rPr>
          <w:rFonts w:eastAsia="Arial Unicode MS"/>
          <w:noProof/>
        </w:rPr>
        <w:t>section 2</w:t>
      </w:r>
      <w:r w:rsidR="003A3057">
        <w:rPr>
          <w:rFonts w:eastAsia="Arial Unicode MS"/>
          <w:noProof/>
        </w:rPr>
        <w:t>.3 here above</w:t>
      </w:r>
      <w:r>
        <w:rPr>
          <w:rFonts w:eastAsia="Arial Unicode MS"/>
          <w:noProof/>
        </w:rPr>
        <w:t>.</w:t>
      </w:r>
    </w:p>
    <w:p w14:paraId="01B5E114" w14:textId="095FB50A" w:rsidR="004C7968" w:rsidRPr="00927D98" w:rsidRDefault="00FE59AB" w:rsidP="00927D98">
      <w:pPr>
        <w:rPr>
          <w:rFonts w:eastAsia="Arial Unicode MS"/>
          <w:noProof/>
        </w:rPr>
      </w:pPr>
      <w:r w:rsidRPr="00927D98">
        <w:rPr>
          <w:rFonts w:eastAsia="Arial Unicode MS"/>
          <w:noProof/>
        </w:rPr>
        <w:t xml:space="preserve">The Protocol thus falls within exclusive external competence of the Union. The </w:t>
      </w:r>
      <w:r w:rsidR="00535733">
        <w:rPr>
          <w:rFonts w:eastAsia="Arial Unicode MS"/>
          <w:noProof/>
        </w:rPr>
        <w:t>ratification</w:t>
      </w:r>
      <w:r w:rsidR="00535733" w:rsidRPr="00927D98">
        <w:rPr>
          <w:rFonts w:eastAsia="Arial Unicode MS"/>
          <w:noProof/>
        </w:rPr>
        <w:t xml:space="preserve"> </w:t>
      </w:r>
      <w:r w:rsidRPr="00927D98">
        <w:rPr>
          <w:rFonts w:eastAsia="Arial Unicode MS"/>
          <w:noProof/>
        </w:rPr>
        <w:t>of the Protocol by Member States, in the interest of the Union, may thus take place on the basis of Articles 16, 82(1) and 218(</w:t>
      </w:r>
      <w:r w:rsidR="00535733">
        <w:rPr>
          <w:rFonts w:eastAsia="Arial Unicode MS"/>
          <w:noProof/>
        </w:rPr>
        <w:t>6</w:t>
      </w:r>
      <w:r w:rsidRPr="00927D98">
        <w:rPr>
          <w:rFonts w:eastAsia="Arial Unicode MS"/>
          <w:noProof/>
        </w:rPr>
        <w:t xml:space="preserve">) TFEU. </w:t>
      </w:r>
    </w:p>
    <w:p w14:paraId="54099A76" w14:textId="552B048C" w:rsidR="00352E66" w:rsidRPr="00226588" w:rsidRDefault="00352E66" w:rsidP="00C01F1D">
      <w:pPr>
        <w:pStyle w:val="Bullet0"/>
        <w:rPr>
          <w:i/>
          <w:noProof/>
          <w:u w:color="000000"/>
          <w:bdr w:val="nil"/>
          <w:lang w:eastAsia="en-GB"/>
        </w:rPr>
      </w:pPr>
      <w:r w:rsidRPr="00226588">
        <w:rPr>
          <w:i/>
          <w:noProof/>
          <w:u w:color="000000"/>
          <w:bdr w:val="nil"/>
          <w:lang w:eastAsia="en-GB"/>
        </w:rPr>
        <w:t xml:space="preserve">Subsidiarity (for non-exclusive competence) </w:t>
      </w:r>
    </w:p>
    <w:p w14:paraId="24E8EF59" w14:textId="73E59939" w:rsidR="00352E66" w:rsidRDefault="00352E66" w:rsidP="00927D98">
      <w:pPr>
        <w:rPr>
          <w:rFonts w:eastAsia="Arial Unicode MS"/>
          <w:noProof/>
          <w:lang w:val="en-US"/>
        </w:rPr>
      </w:pPr>
      <w:r w:rsidRPr="00645C60">
        <w:rPr>
          <w:rFonts w:eastAsia="Arial Unicode MS"/>
          <w:noProof/>
          <w:lang w:val="en-US"/>
        </w:rPr>
        <w:t>Not applicable.</w:t>
      </w:r>
    </w:p>
    <w:p w14:paraId="7CE8A213" w14:textId="18700F08" w:rsidR="00352E66" w:rsidRPr="00226588" w:rsidRDefault="00352E66" w:rsidP="00C01F1D">
      <w:pPr>
        <w:pStyle w:val="Bullet0"/>
        <w:rPr>
          <w:i/>
          <w:noProof/>
          <w:u w:color="000000"/>
          <w:bdr w:val="nil"/>
          <w:lang w:val="en-US" w:eastAsia="en-GB"/>
        </w:rPr>
      </w:pPr>
      <w:r w:rsidRPr="00226588">
        <w:rPr>
          <w:i/>
          <w:noProof/>
          <w:u w:color="000000"/>
          <w:bdr w:val="nil"/>
          <w:lang w:eastAsia="en-GB"/>
        </w:rPr>
        <w:t>Proportionality</w:t>
      </w:r>
    </w:p>
    <w:p w14:paraId="2E41DD83" w14:textId="1F15016B" w:rsidR="00352E66" w:rsidRDefault="00352E66" w:rsidP="00927D98">
      <w:pPr>
        <w:pStyle w:val="Text1"/>
        <w:ind w:left="0"/>
        <w:rPr>
          <w:noProof/>
          <w:lang w:val="en-US" w:eastAsia="en-GB"/>
        </w:rPr>
      </w:pPr>
      <w:r>
        <w:rPr>
          <w:noProof/>
          <w:lang w:val="en-US" w:eastAsia="en-GB"/>
        </w:rPr>
        <w:t xml:space="preserve">The </w:t>
      </w:r>
      <w:r w:rsidR="00E44115">
        <w:rPr>
          <w:noProof/>
          <w:lang w:val="en-US" w:eastAsia="en-GB"/>
        </w:rPr>
        <w:t xml:space="preserve">Union’s </w:t>
      </w:r>
      <w:r w:rsidR="00571C99">
        <w:rPr>
          <w:noProof/>
          <w:lang w:val="en-US" w:eastAsia="en-GB"/>
        </w:rPr>
        <w:t xml:space="preserve">objectives </w:t>
      </w:r>
      <w:r w:rsidR="00E44115">
        <w:rPr>
          <w:noProof/>
          <w:lang w:val="en-US" w:eastAsia="en-GB"/>
        </w:rPr>
        <w:t>with regard to</w:t>
      </w:r>
      <w:r w:rsidR="00571C99">
        <w:rPr>
          <w:noProof/>
          <w:lang w:val="en-US" w:eastAsia="en-GB"/>
        </w:rPr>
        <w:t xml:space="preserve"> this </w:t>
      </w:r>
      <w:r>
        <w:rPr>
          <w:noProof/>
          <w:lang w:val="en-US" w:eastAsia="en-GB"/>
        </w:rPr>
        <w:t xml:space="preserve">proposal </w:t>
      </w:r>
      <w:r w:rsidR="00571C99">
        <w:rPr>
          <w:noProof/>
          <w:lang w:val="en-US" w:eastAsia="en-GB"/>
        </w:rPr>
        <w:t xml:space="preserve">as set out in section 2.5 </w:t>
      </w:r>
      <w:r w:rsidR="00E44115">
        <w:rPr>
          <w:noProof/>
          <w:lang w:val="en-US" w:eastAsia="en-GB"/>
        </w:rPr>
        <w:t xml:space="preserve">here above </w:t>
      </w:r>
      <w:r w:rsidR="00571C99">
        <w:rPr>
          <w:noProof/>
          <w:lang w:val="en-US" w:eastAsia="en-GB"/>
        </w:rPr>
        <w:t xml:space="preserve">can only be achieved by </w:t>
      </w:r>
      <w:r w:rsidR="00FE1BD3">
        <w:rPr>
          <w:noProof/>
          <w:lang w:val="en-US" w:eastAsia="en-GB"/>
        </w:rPr>
        <w:t>entering in</w:t>
      </w:r>
      <w:r w:rsidR="00571C99">
        <w:rPr>
          <w:noProof/>
          <w:lang w:val="en-US" w:eastAsia="en-GB"/>
        </w:rPr>
        <w:t>to a</w:t>
      </w:r>
      <w:r w:rsidR="00FE1BD3">
        <w:rPr>
          <w:noProof/>
          <w:lang w:val="en-US" w:eastAsia="en-GB"/>
        </w:rPr>
        <w:t xml:space="preserve"> binding</w:t>
      </w:r>
      <w:r w:rsidR="00571C99">
        <w:rPr>
          <w:noProof/>
          <w:lang w:val="en-US" w:eastAsia="en-GB"/>
        </w:rPr>
        <w:t xml:space="preserve"> international agreement </w:t>
      </w:r>
      <w:r w:rsidR="00FE1BD3">
        <w:rPr>
          <w:noProof/>
          <w:lang w:val="en-US" w:eastAsia="en-GB"/>
        </w:rPr>
        <w:t>providing for the necessary cooperation measures while ensuring appropriate protection of fundamental rights. Th</w:t>
      </w:r>
      <w:r w:rsidR="00571C99">
        <w:rPr>
          <w:noProof/>
          <w:lang w:val="en-US" w:eastAsia="en-GB"/>
        </w:rPr>
        <w:t>e Protocol</w:t>
      </w:r>
      <w:r w:rsidR="00FE1BD3">
        <w:rPr>
          <w:noProof/>
          <w:lang w:val="en-US" w:eastAsia="en-GB"/>
        </w:rPr>
        <w:t xml:space="preserve"> achieves this objective</w:t>
      </w:r>
      <w:r w:rsidR="00571C99">
        <w:rPr>
          <w:noProof/>
          <w:lang w:val="en-US" w:eastAsia="en-GB"/>
        </w:rPr>
        <w:t xml:space="preserve">. </w:t>
      </w:r>
      <w:r w:rsidR="006510F7">
        <w:rPr>
          <w:noProof/>
          <w:lang w:val="en-US" w:eastAsia="en-GB"/>
        </w:rPr>
        <w:t xml:space="preserve">The provisions of the protocol are limited to what is necessary to achieve its main objectives. </w:t>
      </w:r>
      <w:r w:rsidR="00571C99">
        <w:rPr>
          <w:noProof/>
          <w:lang w:val="en-US" w:eastAsia="en-GB"/>
        </w:rPr>
        <w:t xml:space="preserve">Unilateral action </w:t>
      </w:r>
      <w:r w:rsidR="00FE1BD3">
        <w:rPr>
          <w:noProof/>
          <w:lang w:val="en-US" w:eastAsia="en-GB"/>
        </w:rPr>
        <w:t>does not provide an alternative</w:t>
      </w:r>
      <w:r w:rsidR="00571C99">
        <w:rPr>
          <w:noProof/>
          <w:lang w:val="en-US" w:eastAsia="en-GB"/>
        </w:rPr>
        <w:t xml:space="preserve"> as it would not provide a sufficient basis for the cooperation with non-EU countries</w:t>
      </w:r>
      <w:r w:rsidR="00FE1BD3">
        <w:rPr>
          <w:noProof/>
          <w:lang w:val="en-US" w:eastAsia="en-GB"/>
        </w:rPr>
        <w:t xml:space="preserve"> and could not ensure the necessary protection of fundamental rights</w:t>
      </w:r>
      <w:r w:rsidR="00571C99">
        <w:rPr>
          <w:noProof/>
          <w:lang w:val="en-US" w:eastAsia="en-GB"/>
        </w:rPr>
        <w:t xml:space="preserve">. Also, adhering to a multilateral agreement </w:t>
      </w:r>
      <w:r w:rsidR="00FE1BD3">
        <w:rPr>
          <w:noProof/>
          <w:lang w:val="en-US" w:eastAsia="en-GB"/>
        </w:rPr>
        <w:t xml:space="preserve">such </w:t>
      </w:r>
      <w:r w:rsidR="00571C99">
        <w:rPr>
          <w:noProof/>
          <w:lang w:val="en-US" w:eastAsia="en-GB"/>
        </w:rPr>
        <w:t>as the Protocol</w:t>
      </w:r>
      <w:r w:rsidR="00E50B60">
        <w:rPr>
          <w:noProof/>
          <w:lang w:val="en-US" w:eastAsia="en-GB"/>
        </w:rPr>
        <w:t>,</w:t>
      </w:r>
      <w:r w:rsidR="00571C99">
        <w:rPr>
          <w:noProof/>
          <w:lang w:val="en-US" w:eastAsia="en-GB"/>
        </w:rPr>
        <w:t xml:space="preserve"> which the Union has been able to </w:t>
      </w:r>
      <w:r w:rsidR="00E50B60">
        <w:rPr>
          <w:noProof/>
          <w:lang w:val="en-US" w:eastAsia="en-GB"/>
        </w:rPr>
        <w:t>negotiate,</w:t>
      </w:r>
      <w:r w:rsidR="00571C99">
        <w:rPr>
          <w:noProof/>
          <w:lang w:val="en-US" w:eastAsia="en-GB"/>
        </w:rPr>
        <w:t xml:space="preserve"> is more efficient than entering into negotiations with individual non-EU countries at bilateral level. Under the assumption that all 66 Parties</w:t>
      </w:r>
      <w:r w:rsidR="00E44115">
        <w:rPr>
          <w:noProof/>
          <w:lang w:val="en-US" w:eastAsia="en-GB"/>
        </w:rPr>
        <w:t xml:space="preserve">, as well as future new Parties, </w:t>
      </w:r>
      <w:r w:rsidR="00571C99">
        <w:rPr>
          <w:noProof/>
          <w:lang w:val="en-US" w:eastAsia="en-GB"/>
        </w:rPr>
        <w:t>to the Convention</w:t>
      </w:r>
      <w:r w:rsidR="00E44115">
        <w:rPr>
          <w:noProof/>
          <w:lang w:val="en-US" w:eastAsia="en-GB"/>
        </w:rPr>
        <w:t xml:space="preserve"> </w:t>
      </w:r>
      <w:r w:rsidR="00571C99">
        <w:rPr>
          <w:noProof/>
          <w:lang w:val="en-US" w:eastAsia="en-GB"/>
        </w:rPr>
        <w:t>will ratify the Protocol, the Protocol will provide a common legal framework for EU Member States’ cooperation with their most important international partners</w:t>
      </w:r>
      <w:r w:rsidR="00E44115">
        <w:rPr>
          <w:noProof/>
          <w:lang w:val="en-US" w:eastAsia="en-GB"/>
        </w:rPr>
        <w:t xml:space="preserve"> in the fight against crime. </w:t>
      </w:r>
      <w:r>
        <w:rPr>
          <w:noProof/>
          <w:lang w:val="en-US" w:eastAsia="en-GB"/>
        </w:rPr>
        <w:t xml:space="preserve">   </w:t>
      </w:r>
    </w:p>
    <w:p w14:paraId="6BC5A0B6" w14:textId="1AE7DB73" w:rsidR="00352E66" w:rsidRPr="00927D98" w:rsidRDefault="00352E66" w:rsidP="00C01F1D">
      <w:pPr>
        <w:pStyle w:val="Bullet0"/>
        <w:rPr>
          <w:rFonts w:eastAsia="Arial Unicode MS"/>
          <w:noProof/>
          <w:u w:color="000000"/>
          <w:bdr w:val="nil"/>
          <w:lang w:val="en-US" w:eastAsia="en-GB"/>
        </w:rPr>
      </w:pPr>
      <w:r w:rsidRPr="00927D98">
        <w:rPr>
          <w:rStyle w:val="Heading2Char"/>
          <w:i/>
          <w:noProof/>
        </w:rPr>
        <w:t>Choice of the instrument</w:t>
      </w:r>
    </w:p>
    <w:p w14:paraId="3148C031" w14:textId="6EB6B8F1" w:rsidR="00352E66" w:rsidRPr="00927D98" w:rsidRDefault="00352E66" w:rsidP="00927D98">
      <w:pPr>
        <w:pStyle w:val="Text1"/>
        <w:ind w:left="0"/>
        <w:rPr>
          <w:noProof/>
          <w:lang w:val="en-US" w:eastAsia="en-GB"/>
        </w:rPr>
      </w:pPr>
      <w:r w:rsidRPr="00352E66">
        <w:rPr>
          <w:noProof/>
          <w:lang w:val="en-US" w:eastAsia="en-GB"/>
        </w:rPr>
        <w:t>Not applicable</w:t>
      </w:r>
      <w:r>
        <w:rPr>
          <w:noProof/>
          <w:lang w:val="en-US" w:eastAsia="en-GB"/>
        </w:rPr>
        <w:t>.</w:t>
      </w:r>
    </w:p>
    <w:p w14:paraId="6917168B" w14:textId="13395B9B" w:rsidR="00352E66" w:rsidRPr="00550536" w:rsidRDefault="00C1434B" w:rsidP="00C1434B">
      <w:pPr>
        <w:pStyle w:val="ManualHeading1"/>
        <w:rPr>
          <w:noProof/>
        </w:rPr>
      </w:pPr>
      <w:r w:rsidRPr="00C1434B">
        <w:t>4.</w:t>
      </w:r>
      <w:r w:rsidRPr="00C1434B">
        <w:tab/>
      </w:r>
      <w:r w:rsidR="00352E66" w:rsidRPr="00550536">
        <w:rPr>
          <w:noProof/>
        </w:rPr>
        <w:t>RESULTS OF EX-POST EVALUATIONS, STAKEHOLDER CONSULTATIONS AND IMPACT ASSESSMENTS</w:t>
      </w:r>
    </w:p>
    <w:p w14:paraId="70261E4A" w14:textId="19CE0268" w:rsidR="00352E66" w:rsidRPr="00226588" w:rsidRDefault="00352E66" w:rsidP="00C01F1D">
      <w:pPr>
        <w:pStyle w:val="Bullet0"/>
        <w:rPr>
          <w:i/>
          <w:noProof/>
          <w:u w:color="000000"/>
          <w:bdr w:val="nil"/>
          <w:lang w:val="en-US" w:eastAsia="en-GB"/>
        </w:rPr>
      </w:pPr>
      <w:r w:rsidRPr="00226588">
        <w:rPr>
          <w:i/>
          <w:noProof/>
          <w:u w:color="000000"/>
          <w:bdr w:val="nil"/>
          <w:lang w:val="en-US" w:eastAsia="en-GB"/>
        </w:rPr>
        <w:t>Ex-</w:t>
      </w:r>
      <w:r w:rsidRPr="00226588">
        <w:rPr>
          <w:rFonts w:eastAsiaTheme="majorEastAsia"/>
          <w:i/>
          <w:noProof/>
        </w:rPr>
        <w:t>post</w:t>
      </w:r>
      <w:r w:rsidRPr="00226588">
        <w:rPr>
          <w:i/>
          <w:noProof/>
          <w:u w:color="000000"/>
          <w:bdr w:val="nil"/>
          <w:lang w:val="en-US" w:eastAsia="en-GB"/>
        </w:rPr>
        <w:t xml:space="preserve"> evaluations/fitness checks of existing legislation</w:t>
      </w:r>
    </w:p>
    <w:p w14:paraId="0164EAA8" w14:textId="5671078D" w:rsidR="00352E66" w:rsidRPr="00125F2D" w:rsidRDefault="00352E66" w:rsidP="00352E66">
      <w:pPr>
        <w:pBdr>
          <w:top w:val="nil"/>
          <w:left w:val="nil"/>
          <w:bottom w:val="nil"/>
          <w:right w:val="nil"/>
          <w:between w:val="nil"/>
          <w:bar w:val="nil"/>
        </w:pBdr>
        <w:spacing w:before="0" w:after="240"/>
        <w:rPr>
          <w:rFonts w:eastAsia="Arial Unicode MS"/>
          <w:noProof/>
        </w:rPr>
      </w:pPr>
      <w:r w:rsidRPr="00C01F1D">
        <w:rPr>
          <w:noProof/>
        </w:rPr>
        <w:t xml:space="preserve">Not applicable. </w:t>
      </w:r>
    </w:p>
    <w:p w14:paraId="178AE68E" w14:textId="012D387A" w:rsidR="00352E66" w:rsidRPr="00226588" w:rsidRDefault="00352E66" w:rsidP="00C01F1D">
      <w:pPr>
        <w:pStyle w:val="Bullet0"/>
        <w:rPr>
          <w:i/>
          <w:noProof/>
          <w:u w:color="000000"/>
          <w:bdr w:val="nil"/>
          <w:lang w:val="en-US" w:eastAsia="en-GB"/>
        </w:rPr>
      </w:pPr>
      <w:r w:rsidRPr="00226588">
        <w:rPr>
          <w:i/>
          <w:noProof/>
          <w:u w:color="000000"/>
          <w:bdr w:val="nil"/>
          <w:lang w:val="en-US" w:eastAsia="en-GB"/>
        </w:rPr>
        <w:t>Stakeholder consultations</w:t>
      </w:r>
    </w:p>
    <w:p w14:paraId="45EC2E88" w14:textId="595ABCA8" w:rsidR="00C33BDF" w:rsidRPr="00C01F1D" w:rsidRDefault="00C33BDF" w:rsidP="00C33BDF">
      <w:pPr>
        <w:pBdr>
          <w:top w:val="nil"/>
          <w:left w:val="nil"/>
          <w:bottom w:val="nil"/>
          <w:right w:val="nil"/>
          <w:between w:val="nil"/>
          <w:bar w:val="nil"/>
        </w:pBdr>
        <w:spacing w:before="0" w:after="240"/>
        <w:rPr>
          <w:noProof/>
        </w:rPr>
      </w:pPr>
      <w:r w:rsidRPr="00C01F1D">
        <w:rPr>
          <w:noProof/>
        </w:rPr>
        <w:t>The Council of Europe organised six rounds of public consultations in relation to the Protocol negotiations, in July and November 2018, February and November 2019, December 2020, and May 2021.</w:t>
      </w:r>
      <w:r w:rsidRPr="007C766C">
        <w:rPr>
          <w:rStyle w:val="FootnoteReference0"/>
          <w:rFonts w:eastAsia="Arial Unicode MS"/>
          <w:noProof/>
        </w:rPr>
        <w:footnoteReference w:id="43"/>
      </w:r>
      <w:r w:rsidRPr="00C01F1D">
        <w:rPr>
          <w:noProof/>
        </w:rPr>
        <w:t xml:space="preserve"> </w:t>
      </w:r>
      <w:r w:rsidR="006A757D" w:rsidRPr="00C01F1D">
        <w:rPr>
          <w:noProof/>
        </w:rPr>
        <w:t xml:space="preserve">Parties considered the input received as part of these consultations. </w:t>
      </w:r>
    </w:p>
    <w:p w14:paraId="2184D835" w14:textId="63F1C67B" w:rsidR="00C33BDF" w:rsidRPr="00C01F1D" w:rsidRDefault="00C33BDF" w:rsidP="00927D98">
      <w:pPr>
        <w:rPr>
          <w:noProof/>
        </w:rPr>
      </w:pPr>
      <w:r w:rsidRPr="007C766C">
        <w:rPr>
          <w:noProof/>
        </w:rPr>
        <w:t>The Commission</w:t>
      </w:r>
      <w:r w:rsidR="006A757D">
        <w:rPr>
          <w:noProof/>
        </w:rPr>
        <w:t>, in its role as negotiator on behalf of the Union,</w:t>
      </w:r>
      <w:r w:rsidRPr="007C766C">
        <w:rPr>
          <w:noProof/>
        </w:rPr>
        <w:t xml:space="preserve"> also exchanged views with data protection authorities, and organised targeted consultation meetings </w:t>
      </w:r>
      <w:r>
        <w:rPr>
          <w:noProof/>
        </w:rPr>
        <w:t>throughout</w:t>
      </w:r>
      <w:r w:rsidRPr="007C766C">
        <w:rPr>
          <w:noProof/>
        </w:rPr>
        <w:t xml:space="preserve"> 2019 and 2021 with civil society organisations, service providers and trade associations. </w:t>
      </w:r>
      <w:r>
        <w:rPr>
          <w:noProof/>
        </w:rPr>
        <w:t xml:space="preserve">The Commission took into account the input received from these exchanges. </w:t>
      </w:r>
    </w:p>
    <w:p w14:paraId="49D15F46" w14:textId="26DABB86" w:rsidR="00352E66" w:rsidRPr="00226588" w:rsidRDefault="00352E66" w:rsidP="00C01F1D">
      <w:pPr>
        <w:pStyle w:val="Bullet0"/>
        <w:rPr>
          <w:i/>
          <w:noProof/>
          <w:u w:color="000000"/>
          <w:bdr w:val="nil"/>
          <w:lang w:val="en-US" w:eastAsia="en-GB"/>
        </w:rPr>
      </w:pPr>
      <w:r w:rsidRPr="00226588">
        <w:rPr>
          <w:i/>
          <w:noProof/>
          <w:u w:color="000000"/>
          <w:bdr w:val="nil"/>
          <w:lang w:val="en-US" w:eastAsia="en-GB"/>
        </w:rPr>
        <w:t>Collection and use of expertise</w:t>
      </w:r>
    </w:p>
    <w:p w14:paraId="549A885F" w14:textId="4D8D02D6" w:rsidR="00352E66" w:rsidRPr="00EB67AD" w:rsidRDefault="00C33BDF" w:rsidP="00352E66">
      <w:pPr>
        <w:pBdr>
          <w:top w:val="nil"/>
          <w:left w:val="nil"/>
          <w:bottom w:val="nil"/>
          <w:right w:val="nil"/>
          <w:between w:val="nil"/>
          <w:bar w:val="nil"/>
        </w:pBdr>
        <w:spacing w:before="0" w:after="240"/>
        <w:rPr>
          <w:rFonts w:eastAsia="Arial Unicode MS"/>
          <w:noProof/>
        </w:rPr>
      </w:pPr>
      <w:r w:rsidRPr="00C01F1D">
        <w:rPr>
          <w:noProof/>
        </w:rPr>
        <w:t xml:space="preserve">In the process of the negotiations, the Commission consistently consulted the Council’s special committee </w:t>
      </w:r>
      <w:r w:rsidRPr="00EB67AD">
        <w:rPr>
          <w:noProof/>
        </w:rPr>
        <w:t>for the negotiations</w:t>
      </w:r>
      <w:r w:rsidR="00EC6C9D">
        <w:rPr>
          <w:noProof/>
        </w:rPr>
        <w:t xml:space="preserve"> </w:t>
      </w:r>
      <w:r w:rsidR="00EC6C9D" w:rsidRPr="007C766C">
        <w:rPr>
          <w:noProof/>
        </w:rPr>
        <w:t xml:space="preserve">in line with the Decision of the Council of the European Union </w:t>
      </w:r>
      <w:r w:rsidR="00E44115">
        <w:rPr>
          <w:noProof/>
        </w:rPr>
        <w:t xml:space="preserve">of </w:t>
      </w:r>
      <w:r w:rsidR="00E44115" w:rsidRPr="007C766C">
        <w:rPr>
          <w:noProof/>
        </w:rPr>
        <w:t xml:space="preserve">6 June 2019 </w:t>
      </w:r>
      <w:r w:rsidR="00EC6C9D" w:rsidRPr="007C766C">
        <w:rPr>
          <w:noProof/>
        </w:rPr>
        <w:t xml:space="preserve">authorising the Commission to </w:t>
      </w:r>
      <w:r w:rsidR="00EC6C9D">
        <w:rPr>
          <w:noProof/>
        </w:rPr>
        <w:t>participate in the negotiations on behalf of the Union</w:t>
      </w:r>
      <w:r w:rsidRPr="00EB67AD">
        <w:rPr>
          <w:noProof/>
        </w:rPr>
        <w:t>, which provided an opportunity for Member State experts to contribute to the process of the formulation of th</w:t>
      </w:r>
      <w:r w:rsidRPr="006A757D">
        <w:rPr>
          <w:noProof/>
        </w:rPr>
        <w:t xml:space="preserve">e Union position. </w:t>
      </w:r>
      <w:r w:rsidR="00737669">
        <w:rPr>
          <w:noProof/>
        </w:rPr>
        <w:t xml:space="preserve">A number of </w:t>
      </w:r>
      <w:r w:rsidRPr="006A757D">
        <w:rPr>
          <w:noProof/>
        </w:rPr>
        <w:t>Member State experts also continued to participate in the negotiations, alongside the Commission’s participation on behalf of the Union.</w:t>
      </w:r>
      <w:r w:rsidRPr="00105DF3">
        <w:rPr>
          <w:noProof/>
        </w:rPr>
        <w:t xml:space="preserve"> </w:t>
      </w:r>
      <w:r w:rsidR="00125F2D">
        <w:rPr>
          <w:noProof/>
        </w:rPr>
        <w:t>Stakeholder consultations also took place (</w:t>
      </w:r>
      <w:r w:rsidR="006A757D">
        <w:rPr>
          <w:noProof/>
        </w:rPr>
        <w:t xml:space="preserve">see here above). </w:t>
      </w:r>
    </w:p>
    <w:p w14:paraId="476E9A86" w14:textId="59FB02B9" w:rsidR="00352E66" w:rsidRPr="00226588" w:rsidRDefault="00352E66" w:rsidP="00C01F1D">
      <w:pPr>
        <w:pStyle w:val="Bullet0"/>
        <w:rPr>
          <w:i/>
          <w:noProof/>
          <w:u w:color="000000"/>
          <w:bdr w:val="nil"/>
          <w:lang w:val="en-US" w:eastAsia="en-GB"/>
        </w:rPr>
      </w:pPr>
      <w:r w:rsidRPr="00226588">
        <w:rPr>
          <w:i/>
          <w:noProof/>
          <w:u w:color="000000"/>
          <w:bdr w:val="nil"/>
          <w:lang w:val="en-US" w:eastAsia="en-GB"/>
        </w:rPr>
        <w:t>Impact assessment</w:t>
      </w:r>
    </w:p>
    <w:p w14:paraId="4DCA811C" w14:textId="3C047389" w:rsidR="00352E66" w:rsidRPr="006A757D" w:rsidRDefault="00A546F3" w:rsidP="00125F2D">
      <w:pPr>
        <w:pBdr>
          <w:top w:val="nil"/>
          <w:left w:val="nil"/>
          <w:bottom w:val="nil"/>
          <w:right w:val="nil"/>
          <w:between w:val="nil"/>
          <w:bar w:val="nil"/>
        </w:pBdr>
        <w:spacing w:before="0" w:after="240"/>
        <w:rPr>
          <w:rFonts w:eastAsia="Arial Unicode MS"/>
          <w:noProof/>
        </w:rPr>
      </w:pPr>
      <w:r w:rsidRPr="00C01F1D">
        <w:rPr>
          <w:noProof/>
        </w:rPr>
        <w:t xml:space="preserve">An </w:t>
      </w:r>
      <w:r w:rsidR="00125F2D" w:rsidRPr="00C01F1D">
        <w:rPr>
          <w:noProof/>
        </w:rPr>
        <w:t xml:space="preserve">impact assessment was carried out </w:t>
      </w:r>
      <w:r w:rsidRPr="00C01F1D">
        <w:rPr>
          <w:noProof/>
        </w:rPr>
        <w:t>in 2017-2018 to accompany the Commission’s e-evidence proposals.</w:t>
      </w:r>
      <w:r>
        <w:rPr>
          <w:rStyle w:val="FootnoteReference0"/>
          <w:rFonts w:eastAsia="Arial Unicode MS"/>
          <w:noProof/>
        </w:rPr>
        <w:footnoteReference w:id="44"/>
      </w:r>
      <w:r w:rsidRPr="00C01F1D">
        <w:rPr>
          <w:noProof/>
        </w:rPr>
        <w:t xml:space="preserve"> In this context, </w:t>
      </w:r>
      <w:r w:rsidR="00ED1D8F" w:rsidRPr="00C01F1D">
        <w:rPr>
          <w:noProof/>
        </w:rPr>
        <w:t xml:space="preserve">the negotiation for </w:t>
      </w:r>
      <w:r w:rsidRPr="00C01F1D">
        <w:rPr>
          <w:noProof/>
        </w:rPr>
        <w:t xml:space="preserve">an agreement on a Second Additional Protocol to the Budapest Convention </w:t>
      </w:r>
      <w:r w:rsidR="00D10175" w:rsidRPr="00C01F1D">
        <w:rPr>
          <w:noProof/>
        </w:rPr>
        <w:t>on Cybercrime</w:t>
      </w:r>
      <w:r w:rsidRPr="00C01F1D">
        <w:rPr>
          <w:noProof/>
        </w:rPr>
        <w:t xml:space="preserve"> was part of the preferred option</w:t>
      </w:r>
      <w:r w:rsidR="00125F2D" w:rsidRPr="00C01F1D">
        <w:rPr>
          <w:noProof/>
        </w:rPr>
        <w:t xml:space="preserve">. </w:t>
      </w:r>
      <w:r w:rsidR="007F757E" w:rsidRPr="00C01F1D">
        <w:rPr>
          <w:noProof/>
        </w:rPr>
        <w:t xml:space="preserve">Relevant impacts are </w:t>
      </w:r>
      <w:r w:rsidRPr="00C01F1D">
        <w:rPr>
          <w:noProof/>
        </w:rPr>
        <w:t xml:space="preserve">moreover </w:t>
      </w:r>
      <w:r w:rsidR="007F757E" w:rsidRPr="00C01F1D">
        <w:rPr>
          <w:noProof/>
        </w:rPr>
        <w:t xml:space="preserve">presented in the present explanatory memorandum. </w:t>
      </w:r>
      <w:r w:rsidR="00125F2D" w:rsidRPr="00C01F1D">
        <w:rPr>
          <w:noProof/>
        </w:rPr>
        <w:t xml:space="preserve">  </w:t>
      </w:r>
    </w:p>
    <w:p w14:paraId="6CC7FAFE" w14:textId="75461ED8" w:rsidR="00352E66" w:rsidRPr="00226588" w:rsidRDefault="00352E66" w:rsidP="00C01F1D">
      <w:pPr>
        <w:pStyle w:val="Bullet0"/>
        <w:rPr>
          <w:i/>
          <w:noProof/>
          <w:u w:color="000000"/>
          <w:bdr w:val="nil"/>
          <w:lang w:val="en-US" w:eastAsia="en-GB"/>
        </w:rPr>
      </w:pPr>
      <w:r w:rsidRPr="00226588">
        <w:rPr>
          <w:i/>
          <w:noProof/>
          <w:u w:color="000000"/>
          <w:bdr w:val="nil"/>
          <w:lang w:val="en-US" w:eastAsia="en-GB"/>
        </w:rPr>
        <w:t>Regulatory fitness and simplification</w:t>
      </w:r>
    </w:p>
    <w:p w14:paraId="048550BF" w14:textId="2B3380BF" w:rsidR="00E44115" w:rsidRPr="00927D98" w:rsidRDefault="00E44115" w:rsidP="00927D98">
      <w:pPr>
        <w:pBdr>
          <w:top w:val="nil"/>
          <w:left w:val="nil"/>
          <w:bottom w:val="nil"/>
          <w:right w:val="nil"/>
          <w:between w:val="nil"/>
          <w:bar w:val="nil"/>
        </w:pBdr>
        <w:spacing w:before="0" w:after="240"/>
        <w:rPr>
          <w:noProof/>
          <w:u w:color="000000"/>
          <w:bdr w:val="nil"/>
          <w:lang w:eastAsia="en-GB"/>
        </w:rPr>
      </w:pPr>
      <w:r w:rsidRPr="00C01F1D">
        <w:rPr>
          <w:noProof/>
        </w:rPr>
        <w:t>The Protocol may have implications for certain categories of service providers, including Small and Medium Enterprises (SMEs)</w:t>
      </w:r>
      <w:r w:rsidR="00E50B60" w:rsidRPr="00C01F1D">
        <w:rPr>
          <w:noProof/>
        </w:rPr>
        <w:t>,</w:t>
      </w:r>
      <w:r w:rsidRPr="00C01F1D">
        <w:rPr>
          <w:noProof/>
        </w:rPr>
        <w:t xml:space="preserve"> as they may be subject to requests and orders for electronic evidence under the Protocol. However, currently, these providers will often already be subject to such requests through other existing channels, sometimes transmitted via different authorities, including on the basis of the Convention</w:t>
      </w:r>
      <w:r w:rsidRPr="00737669">
        <w:rPr>
          <w:rStyle w:val="FootnoteReference0"/>
          <w:rFonts w:eastAsia="Arial Unicode MS"/>
          <w:noProof/>
        </w:rPr>
        <w:footnoteReference w:id="45"/>
      </w:r>
      <w:r w:rsidRPr="00C01F1D">
        <w:rPr>
          <w:noProof/>
        </w:rPr>
        <w:t>, other Mutual Legal Assistance treaties, or other frameworks including internet governance multi-stakeholder policies.</w:t>
      </w:r>
      <w:r w:rsidRPr="00737669">
        <w:rPr>
          <w:rStyle w:val="FootnoteReference0"/>
          <w:rFonts w:eastAsia="Arial Unicode MS"/>
          <w:noProof/>
        </w:rPr>
        <w:footnoteReference w:id="46"/>
      </w:r>
      <w:r w:rsidRPr="00C01F1D">
        <w:rPr>
          <w:noProof/>
        </w:rPr>
        <w:t xml:space="preserve"> Also, service providers, including SMEs, will benefit from a clear legal framework at international level and </w:t>
      </w:r>
      <w:r w:rsidR="00FE1BD3" w:rsidRPr="00C01F1D">
        <w:rPr>
          <w:noProof/>
        </w:rPr>
        <w:t xml:space="preserve">a </w:t>
      </w:r>
      <w:r w:rsidRPr="00C01F1D">
        <w:rPr>
          <w:noProof/>
        </w:rPr>
        <w:t xml:space="preserve">common approach by all Parties to the Protocol. </w:t>
      </w:r>
    </w:p>
    <w:p w14:paraId="1BF2ED38" w14:textId="7036B2C0" w:rsidR="00352E66" w:rsidRPr="00226588" w:rsidRDefault="00352E66" w:rsidP="00C01F1D">
      <w:pPr>
        <w:pStyle w:val="Bullet0"/>
        <w:rPr>
          <w:i/>
          <w:noProof/>
          <w:u w:color="000000"/>
          <w:bdr w:val="nil"/>
          <w:lang w:val="en-US" w:eastAsia="en-GB"/>
        </w:rPr>
      </w:pPr>
      <w:r w:rsidRPr="00226588">
        <w:rPr>
          <w:i/>
          <w:noProof/>
          <w:u w:color="000000"/>
          <w:bdr w:val="nil"/>
          <w:lang w:val="en-US" w:eastAsia="en-GB"/>
        </w:rPr>
        <w:t>Fundamental rights</w:t>
      </w:r>
    </w:p>
    <w:p w14:paraId="386A8917" w14:textId="3D719D60" w:rsidR="00E44115" w:rsidRPr="00927D98" w:rsidRDefault="00E44115" w:rsidP="00927D98">
      <w:pPr>
        <w:pBdr>
          <w:top w:val="nil"/>
          <w:left w:val="nil"/>
          <w:bottom w:val="nil"/>
          <w:right w:val="nil"/>
          <w:between w:val="nil"/>
          <w:bar w:val="nil"/>
        </w:pBdr>
        <w:spacing w:before="0" w:after="240"/>
        <w:rPr>
          <w:noProof/>
          <w:u w:color="000000"/>
          <w:bdr w:val="nil"/>
          <w:lang w:eastAsia="en-GB"/>
        </w:rPr>
      </w:pPr>
      <w:r w:rsidRPr="00C01F1D">
        <w:rPr>
          <w:noProof/>
        </w:rPr>
        <w:t>The cooperation instruments under the Protocol are likely to affect fundamental rights where a person’s data may be obtained in the context of a criminal proceeding, including e.g. the right to a fair trial, the right to privacy and the right to the protection of personal data. The Protocol follows a rights-based approach and provides for conditions and safeguards in line with international human rights instruments including the 1950 Council of Europe Convention for the Protection of Human Rights and Fundamental Freedoms. In particular, the Protocol provides for specific data protection safeguards. Where necessary, the Protocol also provides a basis for Parties to make certain reservations, declarations or notifications, and includes grounds to refuse cooperation in response to a request in specific situations. This ensures compatibility of the Protocol with the EU Charter of Fundamental Rights.</w:t>
      </w:r>
    </w:p>
    <w:p w14:paraId="2945C675" w14:textId="7884A19F" w:rsidR="00352E66" w:rsidRDefault="00C1434B" w:rsidP="00C1434B">
      <w:pPr>
        <w:pStyle w:val="ManualHeading1"/>
        <w:rPr>
          <w:noProof/>
        </w:rPr>
      </w:pPr>
      <w:r w:rsidRPr="00C1434B">
        <w:t>5.</w:t>
      </w:r>
      <w:r w:rsidRPr="00C1434B">
        <w:tab/>
      </w:r>
      <w:r w:rsidR="00352E66" w:rsidRPr="00550536">
        <w:rPr>
          <w:noProof/>
        </w:rPr>
        <w:t>BUDGETARY IMPLICATIONS</w:t>
      </w:r>
    </w:p>
    <w:p w14:paraId="74DB360A" w14:textId="49979484" w:rsidR="00352E66" w:rsidRPr="00550536" w:rsidRDefault="00125F2D" w:rsidP="00352E66">
      <w:pPr>
        <w:pBdr>
          <w:top w:val="nil"/>
          <w:left w:val="nil"/>
          <w:bottom w:val="nil"/>
          <w:right w:val="nil"/>
          <w:between w:val="nil"/>
          <w:bar w:val="nil"/>
        </w:pBdr>
        <w:spacing w:before="0" w:after="240"/>
        <w:rPr>
          <w:rFonts w:eastAsia="Arial Unicode MS"/>
          <w:noProof/>
        </w:rPr>
      </w:pPr>
      <w:r w:rsidRPr="00C01F1D">
        <w:rPr>
          <w:noProof/>
        </w:rPr>
        <w:t xml:space="preserve">There are no budgetary implications for the Union budget. Member States </w:t>
      </w:r>
      <w:r w:rsidR="00E00927" w:rsidRPr="00C01F1D">
        <w:rPr>
          <w:noProof/>
        </w:rPr>
        <w:t xml:space="preserve">may have one-off costs for the implementation of the Protocol and there could be higher costs for authorities of  the  Member  States  due  to  the  expected  rise  in  the  number  of  cases. </w:t>
      </w:r>
    </w:p>
    <w:p w14:paraId="77746A6B" w14:textId="17E2F2AD" w:rsidR="00352E66" w:rsidRPr="00550536" w:rsidRDefault="00C1434B" w:rsidP="00C1434B">
      <w:pPr>
        <w:pStyle w:val="ManualHeading1"/>
        <w:rPr>
          <w:noProof/>
        </w:rPr>
      </w:pPr>
      <w:r w:rsidRPr="00C1434B">
        <w:t>6.</w:t>
      </w:r>
      <w:r w:rsidRPr="00C1434B">
        <w:tab/>
      </w:r>
      <w:r w:rsidR="00352E66" w:rsidRPr="00550536">
        <w:rPr>
          <w:noProof/>
        </w:rPr>
        <w:t>OTHER ELEMENTS</w:t>
      </w:r>
    </w:p>
    <w:p w14:paraId="48237605" w14:textId="2748C09A" w:rsidR="00352E66" w:rsidRPr="005A52B9" w:rsidRDefault="00352E66" w:rsidP="005A52B9">
      <w:pPr>
        <w:pStyle w:val="Bullet0"/>
        <w:rPr>
          <w:i/>
          <w:noProof/>
          <w:u w:color="000000"/>
          <w:bdr w:val="nil"/>
          <w:lang w:val="en-US" w:eastAsia="en-GB"/>
        </w:rPr>
      </w:pPr>
      <w:r w:rsidRPr="005A52B9">
        <w:rPr>
          <w:i/>
          <w:noProof/>
          <w:u w:color="000000"/>
          <w:bdr w:val="nil"/>
          <w:lang w:val="en-US" w:eastAsia="en-GB"/>
        </w:rPr>
        <w:t>Implementation plans and monitoring, evaluation and reporting arrangements</w:t>
      </w:r>
    </w:p>
    <w:p w14:paraId="08D3C993" w14:textId="5C4CA400" w:rsidR="006A757D" w:rsidRDefault="006A757D" w:rsidP="00352E66">
      <w:pPr>
        <w:pBdr>
          <w:top w:val="nil"/>
          <w:left w:val="nil"/>
          <w:bottom w:val="nil"/>
          <w:right w:val="nil"/>
          <w:between w:val="nil"/>
          <w:bar w:val="nil"/>
        </w:pBdr>
        <w:spacing w:before="0" w:after="240"/>
        <w:rPr>
          <w:rFonts w:eastAsia="Arial Unicode MS"/>
          <w:noProof/>
        </w:rPr>
      </w:pPr>
      <w:r>
        <w:rPr>
          <w:rFonts w:eastAsia="Arial Unicode MS"/>
          <w:noProof/>
        </w:rPr>
        <w:t>There is no implementation plan a</w:t>
      </w:r>
      <w:r w:rsidR="00E00927">
        <w:rPr>
          <w:rFonts w:eastAsia="Arial Unicode MS"/>
          <w:noProof/>
        </w:rPr>
        <w:t>s</w:t>
      </w:r>
      <w:r>
        <w:rPr>
          <w:rFonts w:eastAsia="Arial Unicode MS"/>
          <w:noProof/>
        </w:rPr>
        <w:t>, following its signature and ratification,</w:t>
      </w:r>
      <w:r w:rsidR="00E00927">
        <w:rPr>
          <w:rFonts w:eastAsia="Arial Unicode MS"/>
          <w:noProof/>
        </w:rPr>
        <w:t xml:space="preserve"> Member States will be req</w:t>
      </w:r>
      <w:r>
        <w:rPr>
          <w:rFonts w:eastAsia="Arial Unicode MS"/>
          <w:noProof/>
        </w:rPr>
        <w:t>uired to implement the Protocol</w:t>
      </w:r>
      <w:r w:rsidR="00E00927">
        <w:rPr>
          <w:rFonts w:eastAsia="Arial Unicode MS"/>
          <w:noProof/>
        </w:rPr>
        <w:t xml:space="preserve">. </w:t>
      </w:r>
    </w:p>
    <w:p w14:paraId="6BC69F2F" w14:textId="35D4E61A" w:rsidR="00E00927" w:rsidRPr="00044058" w:rsidRDefault="00E00927" w:rsidP="00352E66">
      <w:pPr>
        <w:pBdr>
          <w:top w:val="nil"/>
          <w:left w:val="nil"/>
          <w:bottom w:val="nil"/>
          <w:right w:val="nil"/>
          <w:between w:val="nil"/>
          <w:bar w:val="nil"/>
        </w:pBdr>
        <w:spacing w:before="0" w:after="240"/>
        <w:rPr>
          <w:rFonts w:eastAsia="Arial Unicode MS"/>
          <w:noProof/>
        </w:rPr>
      </w:pPr>
      <w:r>
        <w:rPr>
          <w:rFonts w:eastAsia="Arial Unicode MS"/>
          <w:noProof/>
        </w:rPr>
        <w:t xml:space="preserve">With regard to monitoring, the Commission will take part in the meetings of the </w:t>
      </w:r>
      <w:r w:rsidR="00EB7884">
        <w:rPr>
          <w:noProof/>
        </w:rPr>
        <w:t>Cybercrime Convention Committee</w:t>
      </w:r>
      <w:r w:rsidRPr="00C01F1D">
        <w:rPr>
          <w:noProof/>
        </w:rPr>
        <w:t xml:space="preserve">, where the European Union is recognised as an Observer Organisation. </w:t>
      </w:r>
    </w:p>
    <w:p w14:paraId="0E670FBE" w14:textId="77777777" w:rsidR="00352E66" w:rsidRPr="00352E66" w:rsidRDefault="00352E66" w:rsidP="00F903F3">
      <w:pPr>
        <w:rPr>
          <w:noProof/>
        </w:rPr>
        <w:sectPr w:rsidR="00352E66" w:rsidRPr="00352E66" w:rsidSect="00C24E69">
          <w:footerReference w:type="default" r:id="rId13"/>
          <w:footerReference w:type="first" r:id="rId14"/>
          <w:pgSz w:w="11907" w:h="16839"/>
          <w:pgMar w:top="1134" w:right="1417" w:bottom="1134" w:left="1417" w:header="709" w:footer="709" w:gutter="0"/>
          <w:cols w:space="708"/>
          <w:docGrid w:linePitch="360"/>
        </w:sectPr>
      </w:pPr>
    </w:p>
    <w:p w14:paraId="587175E7" w14:textId="46D7C079" w:rsidR="00706011" w:rsidRDefault="00706011" w:rsidP="00706011">
      <w:pPr>
        <w:pStyle w:val="Rfrenceinterinstitutionnelle"/>
        <w:rPr>
          <w:noProof/>
        </w:rPr>
      </w:pPr>
      <w:r w:rsidRPr="00706011">
        <w:t>2021/0383 (NLE)</w:t>
      </w:r>
    </w:p>
    <w:p w14:paraId="15B3F488" w14:textId="3924EBA9" w:rsidR="005C09B6" w:rsidRPr="007C766C" w:rsidRDefault="00EB7884" w:rsidP="00EB7884">
      <w:pPr>
        <w:pStyle w:val="Statut"/>
        <w:rPr>
          <w:noProof/>
        </w:rPr>
      </w:pPr>
      <w:r w:rsidRPr="00EB7884">
        <w:rPr>
          <w:noProof/>
        </w:rPr>
        <w:t>Proposal for a</w:t>
      </w:r>
    </w:p>
    <w:p w14:paraId="15B3F489" w14:textId="250734F9" w:rsidR="005C09B6" w:rsidRPr="007C766C" w:rsidRDefault="00EB7884" w:rsidP="00EB7884">
      <w:pPr>
        <w:pStyle w:val="Typedudocument"/>
        <w:rPr>
          <w:noProof/>
        </w:rPr>
      </w:pPr>
      <w:r w:rsidRPr="00EB7884">
        <w:rPr>
          <w:noProof/>
        </w:rPr>
        <w:t>COUNCIL DECISION</w:t>
      </w:r>
    </w:p>
    <w:p w14:paraId="15B3F48A" w14:textId="1C43662F" w:rsidR="005C09B6" w:rsidRPr="007C766C" w:rsidRDefault="00EB7884" w:rsidP="00EB7884">
      <w:pPr>
        <w:pStyle w:val="Titreobjet"/>
        <w:rPr>
          <w:noProof/>
        </w:rPr>
      </w:pPr>
      <w:r w:rsidRPr="00EB7884">
        <w:rPr>
          <w:noProof/>
        </w:rPr>
        <w:t>authorising Member States to ratify, in the interest of the European Union, the Second Additional Protocol to the Convention on Cybercrime on enhanced co-operation and disclosure of electronic evidence</w:t>
      </w:r>
    </w:p>
    <w:p w14:paraId="15B3F48B" w14:textId="77777777" w:rsidR="005C09B6" w:rsidRPr="007C766C" w:rsidRDefault="005C09B6" w:rsidP="00F903F3">
      <w:pPr>
        <w:pStyle w:val="Institutionquiagit"/>
        <w:rPr>
          <w:noProof/>
        </w:rPr>
      </w:pPr>
      <w:r w:rsidRPr="007C766C">
        <w:rPr>
          <w:noProof/>
        </w:rPr>
        <w:t>THE COUNCIL OF THE EUROPEAN UNION,</w:t>
      </w:r>
    </w:p>
    <w:p w14:paraId="15B3F48C" w14:textId="37B0F4EF" w:rsidR="005C09B6" w:rsidRPr="007C766C" w:rsidRDefault="005C09B6" w:rsidP="00F903F3">
      <w:pPr>
        <w:rPr>
          <w:noProof/>
        </w:rPr>
      </w:pPr>
      <w:r w:rsidRPr="007C766C">
        <w:rPr>
          <w:noProof/>
        </w:rPr>
        <w:t>Having regard to the Treaty on the Functioning of the European Union, and in particular Article</w:t>
      </w:r>
      <w:r w:rsidR="003A3057">
        <w:rPr>
          <w:noProof/>
        </w:rPr>
        <w:t>s 16, 82(1) and</w:t>
      </w:r>
      <w:r w:rsidRPr="007C766C">
        <w:rPr>
          <w:noProof/>
        </w:rPr>
        <w:t xml:space="preserve"> </w:t>
      </w:r>
      <w:r w:rsidR="00A558DB" w:rsidRPr="007C766C">
        <w:rPr>
          <w:noProof/>
        </w:rPr>
        <w:t>218(</w:t>
      </w:r>
      <w:r w:rsidR="00535733">
        <w:rPr>
          <w:noProof/>
        </w:rPr>
        <w:t>6</w:t>
      </w:r>
      <w:r w:rsidR="00A558DB" w:rsidRPr="007C766C">
        <w:rPr>
          <w:noProof/>
        </w:rPr>
        <w:t xml:space="preserve">) </w:t>
      </w:r>
      <w:r w:rsidRPr="007C766C">
        <w:rPr>
          <w:noProof/>
        </w:rPr>
        <w:t>thereof,</w:t>
      </w:r>
    </w:p>
    <w:p w14:paraId="15B3F48D" w14:textId="7904D083" w:rsidR="005C09B6" w:rsidRDefault="005C09B6" w:rsidP="00F903F3">
      <w:pPr>
        <w:rPr>
          <w:noProof/>
        </w:rPr>
      </w:pPr>
      <w:r w:rsidRPr="007C766C">
        <w:rPr>
          <w:noProof/>
        </w:rPr>
        <w:t>Having regard to the proposal from the European Commission,</w:t>
      </w:r>
    </w:p>
    <w:p w14:paraId="48C0364A" w14:textId="64A15F09" w:rsidR="00535733" w:rsidRPr="007C766C" w:rsidRDefault="00535733" w:rsidP="00F903F3">
      <w:pPr>
        <w:rPr>
          <w:noProof/>
        </w:rPr>
      </w:pPr>
      <w:r>
        <w:rPr>
          <w:noProof/>
        </w:rPr>
        <w:t>Having regard to the consent of the European Parliament,</w:t>
      </w:r>
    </w:p>
    <w:p w14:paraId="15B3F48E" w14:textId="77777777" w:rsidR="005C09B6" w:rsidRPr="007C766C" w:rsidRDefault="005C09B6" w:rsidP="00F903F3">
      <w:pPr>
        <w:rPr>
          <w:noProof/>
        </w:rPr>
      </w:pPr>
      <w:r w:rsidRPr="007C766C">
        <w:rPr>
          <w:noProof/>
        </w:rPr>
        <w:t>Whereas:</w:t>
      </w:r>
    </w:p>
    <w:p w14:paraId="15B3F48F" w14:textId="5F59ECEC" w:rsidR="005C09B6" w:rsidRPr="007C766C" w:rsidRDefault="00C1434B" w:rsidP="00C1434B">
      <w:pPr>
        <w:pStyle w:val="ManualConsidrant"/>
        <w:rPr>
          <w:noProof/>
        </w:rPr>
      </w:pPr>
      <w:r w:rsidRPr="00C1434B">
        <w:t>(1)</w:t>
      </w:r>
      <w:r w:rsidRPr="00C1434B">
        <w:tab/>
      </w:r>
      <w:r w:rsidR="0012735F" w:rsidRPr="00C01F1D">
        <w:rPr>
          <w:noProof/>
        </w:rPr>
        <w:t xml:space="preserve">On 9 June 2019, the Council authorised the Commission to participate, on behalf of the Union, in the negotiations for the Second Additional Protocol to the Council of Europe Budapest Convention on Cybercrime. </w:t>
      </w:r>
    </w:p>
    <w:p w14:paraId="15B3F490" w14:textId="4E95AEA6" w:rsidR="005C09B6" w:rsidRPr="007C766C" w:rsidRDefault="00C1434B" w:rsidP="00C1434B">
      <w:pPr>
        <w:pStyle w:val="ManualConsidrant"/>
        <w:rPr>
          <w:noProof/>
        </w:rPr>
      </w:pPr>
      <w:r w:rsidRPr="00C1434B">
        <w:t>(2)</w:t>
      </w:r>
      <w:r w:rsidRPr="00C1434B">
        <w:tab/>
      </w:r>
      <w:r w:rsidR="0012735F" w:rsidRPr="007C766C">
        <w:rPr>
          <w:noProof/>
        </w:rPr>
        <w:t xml:space="preserve">The </w:t>
      </w:r>
      <w:r w:rsidR="003A3057">
        <w:rPr>
          <w:noProof/>
        </w:rPr>
        <w:t xml:space="preserve">text of the </w:t>
      </w:r>
      <w:r w:rsidR="0012735F" w:rsidRPr="007C766C">
        <w:rPr>
          <w:noProof/>
        </w:rPr>
        <w:t xml:space="preserve">Second Additional Protocol to the Convention on Cybercrime on enhanced co-operation and disclosure of electronic evidence (‘the Protocol') was adopted </w:t>
      </w:r>
      <w:r w:rsidR="004425A5" w:rsidRPr="007C766C">
        <w:rPr>
          <w:noProof/>
        </w:rPr>
        <w:t xml:space="preserve">by the </w:t>
      </w:r>
      <w:r w:rsidR="0012735F" w:rsidRPr="007C766C">
        <w:rPr>
          <w:noProof/>
        </w:rPr>
        <w:t xml:space="preserve">Council of Europe </w:t>
      </w:r>
      <w:r w:rsidR="0046345A">
        <w:rPr>
          <w:noProof/>
        </w:rPr>
        <w:t>Committee</w:t>
      </w:r>
      <w:r w:rsidR="0046345A" w:rsidRPr="007C766C">
        <w:rPr>
          <w:noProof/>
        </w:rPr>
        <w:t xml:space="preserve"> </w:t>
      </w:r>
      <w:r w:rsidR="004425A5" w:rsidRPr="007C766C">
        <w:rPr>
          <w:noProof/>
        </w:rPr>
        <w:t>of Ministers on 17 N</w:t>
      </w:r>
      <w:r w:rsidR="0012735F" w:rsidRPr="007C766C">
        <w:rPr>
          <w:noProof/>
        </w:rPr>
        <w:t xml:space="preserve">ovember 2021 and </w:t>
      </w:r>
      <w:r w:rsidR="00D465B4" w:rsidRPr="007C766C">
        <w:rPr>
          <w:noProof/>
        </w:rPr>
        <w:t>is envisaged to</w:t>
      </w:r>
      <w:r w:rsidR="0012735F" w:rsidRPr="007C766C">
        <w:rPr>
          <w:noProof/>
        </w:rPr>
        <w:t xml:space="preserve"> be opened for signature </w:t>
      </w:r>
      <w:r w:rsidR="00D465B4" w:rsidRPr="007C766C">
        <w:rPr>
          <w:noProof/>
        </w:rPr>
        <w:t>in</w:t>
      </w:r>
      <w:r w:rsidR="0012735F" w:rsidRPr="007C766C">
        <w:rPr>
          <w:noProof/>
        </w:rPr>
        <w:t xml:space="preserve"> March 2022. </w:t>
      </w:r>
    </w:p>
    <w:p w14:paraId="15B3F491" w14:textId="29697AB8" w:rsidR="0012735F" w:rsidRPr="007C766C" w:rsidRDefault="00C1434B" w:rsidP="00C1434B">
      <w:pPr>
        <w:pStyle w:val="ManualConsidrant"/>
        <w:rPr>
          <w:noProof/>
        </w:rPr>
      </w:pPr>
      <w:r w:rsidRPr="00C1434B">
        <w:t>(3)</w:t>
      </w:r>
      <w:r w:rsidRPr="00C1434B">
        <w:tab/>
      </w:r>
      <w:r w:rsidR="004425A5" w:rsidRPr="007C766C">
        <w:rPr>
          <w:noProof/>
        </w:rPr>
        <w:t xml:space="preserve">The provisions of the </w:t>
      </w:r>
      <w:r w:rsidR="0012735F" w:rsidRPr="007C766C">
        <w:rPr>
          <w:noProof/>
        </w:rPr>
        <w:t>Protocol</w:t>
      </w:r>
      <w:r w:rsidR="004425A5" w:rsidRPr="007C766C">
        <w:rPr>
          <w:noProof/>
        </w:rPr>
        <w:t xml:space="preserve"> </w:t>
      </w:r>
      <w:r w:rsidR="003A3057">
        <w:rPr>
          <w:noProof/>
        </w:rPr>
        <w:t>fall within an area covered to a large extent by</w:t>
      </w:r>
      <w:r w:rsidR="004425A5" w:rsidRPr="007C766C">
        <w:rPr>
          <w:noProof/>
        </w:rPr>
        <w:t xml:space="preserve"> common rules within the meaning of Article 3(2) TFEU, </w:t>
      </w:r>
      <w:r w:rsidR="0012735F" w:rsidRPr="007C766C">
        <w:rPr>
          <w:noProof/>
        </w:rPr>
        <w:t>including instruments facilitating judicial cooperation in criminal matters, ensuring minimum standards of procedural rights, as well as data protection and privacy safeguards.</w:t>
      </w:r>
    </w:p>
    <w:p w14:paraId="15B3F492" w14:textId="7EEB7160" w:rsidR="004425A5" w:rsidRPr="007C766C" w:rsidRDefault="00C1434B" w:rsidP="00C1434B">
      <w:pPr>
        <w:pStyle w:val="ManualConsidrant"/>
        <w:rPr>
          <w:noProof/>
        </w:rPr>
      </w:pPr>
      <w:r w:rsidRPr="00C1434B">
        <w:t>(4)</w:t>
      </w:r>
      <w:r w:rsidRPr="00C1434B">
        <w:tab/>
      </w:r>
      <w:r w:rsidR="0012735F" w:rsidRPr="007C766C">
        <w:rPr>
          <w:noProof/>
        </w:rPr>
        <w:t>The Commission also submitted legislative proposals for a Regulation on European Production and Preservation Orders for electronic evidence in criminal matters</w:t>
      </w:r>
      <w:r w:rsidR="003A3057">
        <w:rPr>
          <w:noProof/>
        </w:rPr>
        <w:t xml:space="preserve"> (COM(2018)225 final)</w:t>
      </w:r>
      <w:r w:rsidR="0012735F" w:rsidRPr="007C766C">
        <w:rPr>
          <w:noProof/>
        </w:rPr>
        <w:t>, and for a Directive laying down harmonised rules on the appointment of legal representatives for the purpose of gathering evidence in criminal proceedings introducing</w:t>
      </w:r>
      <w:r w:rsidR="003A3057">
        <w:rPr>
          <w:noProof/>
        </w:rPr>
        <w:t xml:space="preserve"> (COM(2018)226 final)</w:t>
      </w:r>
      <w:r w:rsidR="0012735F" w:rsidRPr="007C766C">
        <w:rPr>
          <w:noProof/>
        </w:rPr>
        <w:t>, binding cross-border European Production and Preservation Orders to be addressed directly to a representative of a service provider in another Member State.</w:t>
      </w:r>
      <w:r w:rsidR="004425A5" w:rsidRPr="007C766C">
        <w:rPr>
          <w:noProof/>
        </w:rPr>
        <w:t xml:space="preserve"> </w:t>
      </w:r>
    </w:p>
    <w:p w14:paraId="15B3F493" w14:textId="25426362" w:rsidR="000A09A8" w:rsidRPr="007C766C" w:rsidRDefault="00C1434B" w:rsidP="00C1434B">
      <w:pPr>
        <w:pStyle w:val="ManualConsidrant"/>
        <w:rPr>
          <w:noProof/>
        </w:rPr>
      </w:pPr>
      <w:r w:rsidRPr="00C1434B">
        <w:t>(5)</w:t>
      </w:r>
      <w:r w:rsidRPr="00C1434B">
        <w:tab/>
      </w:r>
      <w:r w:rsidR="000A09A8" w:rsidRPr="007C766C">
        <w:rPr>
          <w:noProof/>
        </w:rPr>
        <w:t xml:space="preserve">With its participation in the negotiations, on behalf of the Union, the Commission ensured compatibility of the Second Additional Protocol with relevant common European Union rules. </w:t>
      </w:r>
    </w:p>
    <w:p w14:paraId="5844EA86" w14:textId="22C61C8F" w:rsidR="00725AF4" w:rsidRPr="007C766C" w:rsidRDefault="00C1434B" w:rsidP="00C1434B">
      <w:pPr>
        <w:pStyle w:val="ManualConsidrant"/>
        <w:rPr>
          <w:noProof/>
        </w:rPr>
      </w:pPr>
      <w:r w:rsidRPr="00C1434B">
        <w:t>(6)</w:t>
      </w:r>
      <w:r w:rsidRPr="00C1434B">
        <w:tab/>
      </w:r>
      <w:r w:rsidR="00725AF4" w:rsidRPr="007C766C">
        <w:rPr>
          <w:noProof/>
        </w:rPr>
        <w:t xml:space="preserve">A number of reservations, declarations, notifications and communications are relevant to ensure compatibility of the Protocol with Union law and policies, as well as the </w:t>
      </w:r>
      <w:r w:rsidR="003A3057">
        <w:rPr>
          <w:noProof/>
        </w:rPr>
        <w:t>uniform</w:t>
      </w:r>
      <w:r w:rsidR="003A3057" w:rsidRPr="007C766C">
        <w:rPr>
          <w:noProof/>
        </w:rPr>
        <w:t xml:space="preserve"> </w:t>
      </w:r>
      <w:r w:rsidR="00725AF4" w:rsidRPr="007C766C">
        <w:rPr>
          <w:noProof/>
        </w:rPr>
        <w:t>application of the Protocol amongst EU Member States</w:t>
      </w:r>
      <w:r w:rsidR="003A3057">
        <w:rPr>
          <w:noProof/>
        </w:rPr>
        <w:t xml:space="preserve"> in their relation with non-EU Parties</w:t>
      </w:r>
      <w:r w:rsidR="00725AF4" w:rsidRPr="007C766C">
        <w:rPr>
          <w:noProof/>
        </w:rPr>
        <w:t>, and the effective application of the Protocol.</w:t>
      </w:r>
    </w:p>
    <w:p w14:paraId="7AB2223A" w14:textId="02982B69" w:rsidR="00AB245E" w:rsidRPr="007C766C" w:rsidRDefault="00C1434B" w:rsidP="00C1434B">
      <w:pPr>
        <w:pStyle w:val="ManualConsidrant"/>
        <w:rPr>
          <w:noProof/>
        </w:rPr>
      </w:pPr>
      <w:r w:rsidRPr="00C1434B">
        <w:t>(7)</w:t>
      </w:r>
      <w:r w:rsidRPr="00C1434B">
        <w:tab/>
      </w:r>
      <w:r w:rsidR="00A558DB" w:rsidRPr="007C766C">
        <w:rPr>
          <w:noProof/>
        </w:rPr>
        <w:t xml:space="preserve">Given that the Protocol provides for swift procedures that improve cross-border access to electronic evidence and </w:t>
      </w:r>
      <w:r w:rsidR="000A09A8" w:rsidRPr="007C766C">
        <w:rPr>
          <w:noProof/>
        </w:rPr>
        <w:t>a high level of safeguards</w:t>
      </w:r>
      <w:r w:rsidR="00A558DB" w:rsidRPr="007C766C">
        <w:rPr>
          <w:noProof/>
        </w:rPr>
        <w:t>, entry into force will contribute to the fight against cybercrime and other</w:t>
      </w:r>
      <w:r w:rsidR="000A09A8" w:rsidRPr="007C766C">
        <w:rPr>
          <w:noProof/>
        </w:rPr>
        <w:t xml:space="preserve"> forms of crime at global level by facilitating</w:t>
      </w:r>
      <w:r w:rsidR="00A558DB" w:rsidRPr="007C766C">
        <w:rPr>
          <w:noProof/>
        </w:rPr>
        <w:t xml:space="preserve"> cooperation between </w:t>
      </w:r>
      <w:r w:rsidR="003A3057">
        <w:rPr>
          <w:noProof/>
        </w:rPr>
        <w:t xml:space="preserve">the EU Member State </w:t>
      </w:r>
      <w:r w:rsidR="00A558DB" w:rsidRPr="007C766C">
        <w:rPr>
          <w:noProof/>
        </w:rPr>
        <w:t xml:space="preserve">Parties </w:t>
      </w:r>
      <w:r w:rsidR="003A3057">
        <w:rPr>
          <w:noProof/>
        </w:rPr>
        <w:t xml:space="preserve">and the non-EU Member State Parties </w:t>
      </w:r>
      <w:r w:rsidR="00A558DB" w:rsidRPr="007C766C">
        <w:rPr>
          <w:noProof/>
        </w:rPr>
        <w:t>to the Protocol</w:t>
      </w:r>
      <w:r w:rsidR="00603601">
        <w:rPr>
          <w:noProof/>
        </w:rPr>
        <w:t>, will</w:t>
      </w:r>
      <w:r w:rsidR="00603601" w:rsidRPr="007C766C">
        <w:rPr>
          <w:noProof/>
        </w:rPr>
        <w:t xml:space="preserve"> ensure</w:t>
      </w:r>
      <w:r w:rsidR="000A09A8" w:rsidRPr="007C766C">
        <w:rPr>
          <w:noProof/>
        </w:rPr>
        <w:t xml:space="preserve"> a high level of protection of individuals, and</w:t>
      </w:r>
      <w:r w:rsidR="00603601">
        <w:rPr>
          <w:noProof/>
        </w:rPr>
        <w:t xml:space="preserve"> will</w:t>
      </w:r>
      <w:r w:rsidR="000A09A8" w:rsidRPr="007C766C">
        <w:rPr>
          <w:noProof/>
        </w:rPr>
        <w:t xml:space="preserve"> address conflicts of law</w:t>
      </w:r>
      <w:r w:rsidR="00A558DB" w:rsidRPr="007C766C">
        <w:rPr>
          <w:noProof/>
        </w:rPr>
        <w:t>.</w:t>
      </w:r>
    </w:p>
    <w:p w14:paraId="15B3F494" w14:textId="735AEF38" w:rsidR="00A558DB" w:rsidRPr="007C766C" w:rsidRDefault="00C1434B" w:rsidP="00C1434B">
      <w:pPr>
        <w:pStyle w:val="ManualConsidrant"/>
        <w:rPr>
          <w:noProof/>
        </w:rPr>
      </w:pPr>
      <w:r w:rsidRPr="00C1434B">
        <w:t>(8)</w:t>
      </w:r>
      <w:r w:rsidRPr="00C1434B">
        <w:tab/>
      </w:r>
      <w:r w:rsidR="00AB245E" w:rsidRPr="007C766C">
        <w:rPr>
          <w:noProof/>
          <w:bdr w:val="none" w:sz="0" w:space="0" w:color="auto" w:frame="1"/>
          <w:shd w:val="clear" w:color="auto" w:fill="FFFFFF"/>
        </w:rPr>
        <w:t>Given that the Protocol</w:t>
      </w:r>
      <w:r w:rsidR="002F051C" w:rsidRPr="007C766C">
        <w:rPr>
          <w:noProof/>
          <w:bdr w:val="none" w:sz="0" w:space="0" w:color="auto" w:frame="1"/>
          <w:shd w:val="clear" w:color="auto" w:fill="FFFFFF"/>
        </w:rPr>
        <w:t> provides</w:t>
      </w:r>
      <w:r w:rsidR="00AB245E" w:rsidRPr="007C766C">
        <w:rPr>
          <w:noProof/>
          <w:bdr w:val="none" w:sz="0" w:space="0" w:color="auto" w:frame="1"/>
          <w:shd w:val="clear" w:color="auto" w:fill="FFFFFF"/>
        </w:rPr>
        <w:t xml:space="preserve"> for appropriate safeguards in line with the requirements </w:t>
      </w:r>
      <w:r w:rsidR="00D37576" w:rsidRPr="007C766C">
        <w:rPr>
          <w:noProof/>
          <w:bdr w:val="none" w:sz="0" w:space="0" w:color="auto" w:frame="1"/>
          <w:shd w:val="clear" w:color="auto" w:fill="FFFFFF"/>
        </w:rPr>
        <w:t xml:space="preserve">for international transfers of personal data </w:t>
      </w:r>
      <w:r w:rsidR="002045A3" w:rsidRPr="007C766C">
        <w:rPr>
          <w:noProof/>
          <w:bdr w:val="none" w:sz="0" w:space="0" w:color="auto" w:frame="1"/>
          <w:shd w:val="clear" w:color="auto" w:fill="FFFFFF"/>
        </w:rPr>
        <w:t>under</w:t>
      </w:r>
      <w:r w:rsidR="00AB245E" w:rsidRPr="007C766C">
        <w:rPr>
          <w:noProof/>
          <w:bdr w:val="none" w:sz="0" w:space="0" w:color="auto" w:frame="1"/>
          <w:shd w:val="clear" w:color="auto" w:fill="FFFFFF"/>
        </w:rPr>
        <w:t xml:space="preserve"> Regulation (EU) 2016/679 and Directive (EU) 2016/680, its entry into force will contribute to the promotion of U</w:t>
      </w:r>
      <w:r w:rsidR="00283E33">
        <w:rPr>
          <w:noProof/>
          <w:bdr w:val="none" w:sz="0" w:space="0" w:color="auto" w:frame="1"/>
          <w:shd w:val="clear" w:color="auto" w:fill="FFFFFF"/>
        </w:rPr>
        <w:t>nion</w:t>
      </w:r>
      <w:r w:rsidR="00AB245E" w:rsidRPr="007C766C">
        <w:rPr>
          <w:noProof/>
          <w:bdr w:val="none" w:sz="0" w:space="0" w:color="auto" w:frame="1"/>
          <w:shd w:val="clear" w:color="auto" w:fill="FFFFFF"/>
        </w:rPr>
        <w:t xml:space="preserve"> data protection standards at global level, facilitate data flows between the EU </w:t>
      </w:r>
      <w:r w:rsidR="00D37576" w:rsidRPr="007C766C">
        <w:rPr>
          <w:noProof/>
          <w:bdr w:val="none" w:sz="0" w:space="0" w:color="auto" w:frame="1"/>
          <w:shd w:val="clear" w:color="auto" w:fill="FFFFFF"/>
        </w:rPr>
        <w:t>Member State Parties</w:t>
      </w:r>
      <w:r w:rsidR="00AB245E" w:rsidRPr="007C766C">
        <w:rPr>
          <w:noProof/>
          <w:bdr w:val="none" w:sz="0" w:space="0" w:color="auto" w:frame="1"/>
          <w:shd w:val="clear" w:color="auto" w:fill="FFFFFF"/>
        </w:rPr>
        <w:t xml:space="preserve"> and the non-EU </w:t>
      </w:r>
      <w:r w:rsidR="00D37576" w:rsidRPr="007C766C">
        <w:rPr>
          <w:noProof/>
          <w:bdr w:val="none" w:sz="0" w:space="0" w:color="auto" w:frame="1"/>
          <w:shd w:val="clear" w:color="auto" w:fill="FFFFFF"/>
        </w:rPr>
        <w:t>Member State</w:t>
      </w:r>
      <w:r w:rsidR="00AB245E" w:rsidRPr="007C766C">
        <w:rPr>
          <w:noProof/>
          <w:bdr w:val="none" w:sz="0" w:space="0" w:color="auto" w:frame="1"/>
          <w:shd w:val="clear" w:color="auto" w:fill="FFFFFF"/>
        </w:rPr>
        <w:t xml:space="preserve"> Parties to the Protocol</w:t>
      </w:r>
      <w:r w:rsidR="00E50B60">
        <w:rPr>
          <w:noProof/>
          <w:bdr w:val="none" w:sz="0" w:space="0" w:color="auto" w:frame="1"/>
          <w:shd w:val="clear" w:color="auto" w:fill="FFFFFF"/>
        </w:rPr>
        <w:t>,</w:t>
      </w:r>
      <w:r w:rsidR="00AB245E" w:rsidRPr="007C766C">
        <w:rPr>
          <w:noProof/>
          <w:bdr w:val="none" w:sz="0" w:space="0" w:color="auto" w:frame="1"/>
          <w:shd w:val="clear" w:color="auto" w:fill="FFFFFF"/>
        </w:rPr>
        <w:t xml:space="preserve"> </w:t>
      </w:r>
      <w:r w:rsidR="002F051C" w:rsidRPr="007C766C">
        <w:rPr>
          <w:noProof/>
          <w:bdr w:val="none" w:sz="0" w:space="0" w:color="auto" w:frame="1"/>
          <w:shd w:val="clear" w:color="auto" w:fill="FFFFFF"/>
        </w:rPr>
        <w:t>and will</w:t>
      </w:r>
      <w:r w:rsidR="00AB245E" w:rsidRPr="007C766C">
        <w:rPr>
          <w:noProof/>
          <w:bdr w:val="none" w:sz="0" w:space="0" w:color="auto" w:frame="1"/>
          <w:shd w:val="clear" w:color="auto" w:fill="FFFFFF"/>
        </w:rPr>
        <w:t xml:space="preserve"> </w:t>
      </w:r>
      <w:r w:rsidR="00283E33">
        <w:rPr>
          <w:noProof/>
          <w:bdr w:val="none" w:sz="0" w:space="0" w:color="auto" w:frame="1"/>
          <w:shd w:val="clear" w:color="auto" w:fill="FFFFFF"/>
        </w:rPr>
        <w:t>ensure</w:t>
      </w:r>
      <w:r w:rsidR="00283E33" w:rsidRPr="007C766C">
        <w:rPr>
          <w:noProof/>
          <w:bdr w:val="none" w:sz="0" w:space="0" w:color="auto" w:frame="1"/>
          <w:shd w:val="clear" w:color="auto" w:fill="FFFFFF"/>
        </w:rPr>
        <w:t xml:space="preserve"> </w:t>
      </w:r>
      <w:r w:rsidR="00AB245E" w:rsidRPr="007C766C">
        <w:rPr>
          <w:noProof/>
          <w:bdr w:val="none" w:sz="0" w:space="0" w:color="auto" w:frame="1"/>
          <w:shd w:val="clear" w:color="auto" w:fill="FFFFFF"/>
        </w:rPr>
        <w:t xml:space="preserve">compliance of EU Member States with their </w:t>
      </w:r>
      <w:r w:rsidR="00AD6CAF" w:rsidRPr="007C766C">
        <w:rPr>
          <w:noProof/>
          <w:bdr w:val="none" w:sz="0" w:space="0" w:color="auto" w:frame="1"/>
          <w:shd w:val="clear" w:color="auto" w:fill="FFFFFF"/>
        </w:rPr>
        <w:t>obligations under U</w:t>
      </w:r>
      <w:r w:rsidR="00283E33">
        <w:rPr>
          <w:noProof/>
          <w:bdr w:val="none" w:sz="0" w:space="0" w:color="auto" w:frame="1"/>
          <w:shd w:val="clear" w:color="auto" w:fill="FFFFFF"/>
        </w:rPr>
        <w:t>nion</w:t>
      </w:r>
      <w:r w:rsidR="00AD6CAF" w:rsidRPr="007C766C">
        <w:rPr>
          <w:noProof/>
          <w:bdr w:val="none" w:sz="0" w:space="0" w:color="auto" w:frame="1"/>
          <w:shd w:val="clear" w:color="auto" w:fill="FFFFFF"/>
        </w:rPr>
        <w:t xml:space="preserve"> data protection rules.</w:t>
      </w:r>
    </w:p>
    <w:p w14:paraId="15B3F495" w14:textId="34A32F50" w:rsidR="00D465B4" w:rsidRPr="007C766C" w:rsidRDefault="00C1434B" w:rsidP="00C1434B">
      <w:pPr>
        <w:pStyle w:val="ManualConsidrant"/>
        <w:rPr>
          <w:noProof/>
        </w:rPr>
      </w:pPr>
      <w:r w:rsidRPr="00C1434B">
        <w:t>(9)</w:t>
      </w:r>
      <w:r w:rsidRPr="00C1434B">
        <w:tab/>
      </w:r>
      <w:r w:rsidR="00D465B4" w:rsidRPr="007C766C">
        <w:rPr>
          <w:noProof/>
        </w:rPr>
        <w:t>The swift entry into force will furthermore also confirm the position of the Council of Europe Budapest Convention as the main multilateral framework for the fight against cybercrime.</w:t>
      </w:r>
    </w:p>
    <w:p w14:paraId="15B3F496" w14:textId="587FA9D5" w:rsidR="0012735F" w:rsidRPr="007F757E" w:rsidRDefault="00C1434B" w:rsidP="00C1434B">
      <w:pPr>
        <w:pStyle w:val="ManualConsidrant"/>
        <w:rPr>
          <w:noProof/>
        </w:rPr>
      </w:pPr>
      <w:r w:rsidRPr="00C1434B">
        <w:t>(10)</w:t>
      </w:r>
      <w:r w:rsidRPr="00C1434B">
        <w:tab/>
      </w:r>
      <w:r w:rsidR="004425A5" w:rsidRPr="007C766C">
        <w:rPr>
          <w:noProof/>
        </w:rPr>
        <w:t xml:space="preserve">The </w:t>
      </w:r>
      <w:r w:rsidR="00283E33">
        <w:rPr>
          <w:noProof/>
        </w:rPr>
        <w:t xml:space="preserve">European </w:t>
      </w:r>
      <w:r w:rsidR="004425A5" w:rsidRPr="007C766C">
        <w:rPr>
          <w:noProof/>
        </w:rPr>
        <w:t xml:space="preserve">Union cannot </w:t>
      </w:r>
      <w:r w:rsidR="008C0A35">
        <w:rPr>
          <w:noProof/>
        </w:rPr>
        <w:t xml:space="preserve">become a Party to </w:t>
      </w:r>
      <w:r w:rsidR="004425A5" w:rsidRPr="007C766C">
        <w:rPr>
          <w:noProof/>
        </w:rPr>
        <w:t xml:space="preserve">the Protocol, as </w:t>
      </w:r>
      <w:r w:rsidR="008C0A35">
        <w:rPr>
          <w:noProof/>
        </w:rPr>
        <w:t xml:space="preserve">both the Protocol and the </w:t>
      </w:r>
      <w:r w:rsidR="00125727" w:rsidRPr="007F757E">
        <w:rPr>
          <w:noProof/>
        </w:rPr>
        <w:t xml:space="preserve">Council of Europe </w:t>
      </w:r>
      <w:r w:rsidR="0012735F" w:rsidRPr="007F757E">
        <w:rPr>
          <w:noProof/>
        </w:rPr>
        <w:t>Convention</w:t>
      </w:r>
      <w:r w:rsidR="00125727" w:rsidRPr="007F757E">
        <w:rPr>
          <w:noProof/>
        </w:rPr>
        <w:t xml:space="preserve"> on Cybercrime</w:t>
      </w:r>
      <w:r w:rsidR="008C0A35">
        <w:rPr>
          <w:noProof/>
        </w:rPr>
        <w:t xml:space="preserve"> are open to states only</w:t>
      </w:r>
      <w:r w:rsidR="0012735F" w:rsidRPr="007F757E">
        <w:rPr>
          <w:noProof/>
        </w:rPr>
        <w:t xml:space="preserve">. </w:t>
      </w:r>
    </w:p>
    <w:p w14:paraId="15B3F497" w14:textId="64ACE951" w:rsidR="004425A5" w:rsidRPr="007F757E" w:rsidRDefault="00C1434B" w:rsidP="00C1434B">
      <w:pPr>
        <w:pStyle w:val="ManualConsidrant"/>
        <w:rPr>
          <w:noProof/>
        </w:rPr>
      </w:pPr>
      <w:r w:rsidRPr="00C1434B">
        <w:t>(11)</w:t>
      </w:r>
      <w:r w:rsidRPr="00C1434B">
        <w:tab/>
      </w:r>
      <w:r w:rsidR="004425A5" w:rsidRPr="007F757E">
        <w:rPr>
          <w:noProof/>
        </w:rPr>
        <w:t xml:space="preserve">Member States should therefore be authorised to </w:t>
      </w:r>
      <w:r w:rsidR="00535733">
        <w:rPr>
          <w:noProof/>
        </w:rPr>
        <w:t>ratify</w:t>
      </w:r>
      <w:r w:rsidR="00535733" w:rsidRPr="007F757E">
        <w:rPr>
          <w:noProof/>
        </w:rPr>
        <w:t xml:space="preserve"> </w:t>
      </w:r>
      <w:r w:rsidR="004425A5" w:rsidRPr="007F757E">
        <w:rPr>
          <w:noProof/>
        </w:rPr>
        <w:t xml:space="preserve">the Protocol, acting jointly in the interests of the </w:t>
      </w:r>
      <w:r w:rsidR="00283E33" w:rsidRPr="007F757E">
        <w:rPr>
          <w:noProof/>
        </w:rPr>
        <w:t xml:space="preserve">European </w:t>
      </w:r>
      <w:r w:rsidR="004425A5" w:rsidRPr="007F757E">
        <w:rPr>
          <w:noProof/>
        </w:rPr>
        <w:t xml:space="preserve">Union. </w:t>
      </w:r>
    </w:p>
    <w:p w14:paraId="15B3F498" w14:textId="242CC5CC" w:rsidR="004518F5" w:rsidRDefault="00C1434B" w:rsidP="00C1434B">
      <w:pPr>
        <w:pStyle w:val="ManualConsidrant"/>
        <w:rPr>
          <w:rStyle w:val="footnotereference"/>
          <w:noProof/>
        </w:rPr>
      </w:pPr>
      <w:r w:rsidRPr="00C1434B">
        <w:rPr>
          <w:rStyle w:val="footnotereference"/>
        </w:rPr>
        <w:t>(12)</w:t>
      </w:r>
      <w:r w:rsidRPr="00C1434B">
        <w:rPr>
          <w:rStyle w:val="footnotereference"/>
        </w:rPr>
        <w:tab/>
      </w:r>
      <w:r w:rsidR="004518F5" w:rsidRPr="007F757E">
        <w:rPr>
          <w:noProof/>
        </w:rPr>
        <w:t>The European Data Protection Supervisor was consulted in accordance with Article 42(1) of Regulation (EU) 2018/1725 of the European Parliament and of the Council</w:t>
      </w:r>
      <w:r w:rsidR="004518F5" w:rsidRPr="007F757E">
        <w:rPr>
          <w:rStyle w:val="footnotereference"/>
          <w:noProof/>
        </w:rPr>
        <w:t xml:space="preserve"> </w:t>
      </w:r>
      <w:r w:rsidR="004518F5" w:rsidRPr="007F757E">
        <w:rPr>
          <w:noProof/>
        </w:rPr>
        <w:t xml:space="preserve">and delivered an opinion </w:t>
      </w:r>
      <w:r w:rsidR="004518F5" w:rsidRPr="007C766C">
        <w:rPr>
          <w:noProof/>
        </w:rPr>
        <w:t>on …</w:t>
      </w:r>
      <w:r w:rsidR="004518F5" w:rsidRPr="007C766C">
        <w:rPr>
          <w:rStyle w:val="footnotereference"/>
          <w:noProof/>
        </w:rPr>
        <w:t xml:space="preserve"> </w:t>
      </w:r>
    </w:p>
    <w:p w14:paraId="520E4A3F" w14:textId="178353A6" w:rsidR="00F440F3" w:rsidRDefault="00C1434B" w:rsidP="00C1434B">
      <w:pPr>
        <w:pStyle w:val="ManualConsidrant"/>
        <w:rPr>
          <w:noProof/>
        </w:rPr>
      </w:pPr>
      <w:r w:rsidRPr="00C1434B">
        <w:t>(13)</w:t>
      </w:r>
      <w:r w:rsidRPr="00C1434B">
        <w:tab/>
      </w:r>
      <w:r w:rsidR="00EB7884">
        <w:rPr>
          <w:noProof/>
        </w:rPr>
        <w:t>[</w:t>
      </w:r>
      <w:r w:rsidR="00F440F3" w:rsidRPr="00F440F3">
        <w:rPr>
          <w:noProof/>
        </w:rPr>
        <w:t>In accordance with Articles</w:t>
      </w:r>
      <w:r w:rsidR="00F440F3">
        <w:rPr>
          <w:noProof/>
        </w:rPr>
        <w:t xml:space="preserve"> </w:t>
      </w:r>
      <w:r w:rsidR="00F440F3" w:rsidRPr="00F440F3">
        <w:rPr>
          <w:noProof/>
        </w:rPr>
        <w:t>1 and 2 of Protocol No</w:t>
      </w:r>
      <w:r w:rsidR="00F440F3">
        <w:rPr>
          <w:noProof/>
        </w:rPr>
        <w:t xml:space="preserve"> </w:t>
      </w:r>
      <w:r w:rsidR="00F440F3" w:rsidRPr="00F440F3">
        <w:rPr>
          <w:noProof/>
        </w:rPr>
        <w:t>21 on the position of the United Kingdom and Ireland in respect</w:t>
      </w:r>
      <w:r w:rsidR="00F440F3">
        <w:rPr>
          <w:noProof/>
        </w:rPr>
        <w:t xml:space="preserve"> </w:t>
      </w:r>
      <w:r w:rsidR="00F440F3" w:rsidRPr="00F440F3">
        <w:rPr>
          <w:noProof/>
        </w:rPr>
        <w:t xml:space="preserve">of the area of freedom, security and justice, annexed to the Treaty on European Union and to the Treaty on the Functioning of the European Union, and without prejudice to Article 4 of that Protocol, </w:t>
      </w:r>
      <w:r w:rsidR="006408DB">
        <w:rPr>
          <w:noProof/>
        </w:rPr>
        <w:t>Ireland is</w:t>
      </w:r>
      <w:r w:rsidR="00F440F3">
        <w:rPr>
          <w:noProof/>
        </w:rPr>
        <w:t xml:space="preserve"> </w:t>
      </w:r>
      <w:r w:rsidR="00E7425E">
        <w:rPr>
          <w:noProof/>
        </w:rPr>
        <w:t>not</w:t>
      </w:r>
      <w:r w:rsidR="00F440F3" w:rsidRPr="00F440F3">
        <w:rPr>
          <w:noProof/>
        </w:rPr>
        <w:t xml:space="preserve"> taking part in the adoption of this Decision and </w:t>
      </w:r>
      <w:r w:rsidR="006408DB">
        <w:rPr>
          <w:noProof/>
        </w:rPr>
        <w:t>is</w:t>
      </w:r>
      <w:r w:rsidR="00F440F3">
        <w:rPr>
          <w:noProof/>
        </w:rPr>
        <w:t xml:space="preserve"> </w:t>
      </w:r>
      <w:r w:rsidR="00EB7884">
        <w:rPr>
          <w:noProof/>
        </w:rPr>
        <w:t>not</w:t>
      </w:r>
      <w:r w:rsidR="00EB7884" w:rsidRPr="00F440F3">
        <w:rPr>
          <w:noProof/>
        </w:rPr>
        <w:t xml:space="preserve"> </w:t>
      </w:r>
      <w:r w:rsidR="00F440F3" w:rsidRPr="00F440F3">
        <w:rPr>
          <w:noProof/>
        </w:rPr>
        <w:t>bound by it or subject to its application.</w:t>
      </w:r>
      <w:r w:rsidR="00EB7884">
        <w:rPr>
          <w:noProof/>
        </w:rPr>
        <w:t>]</w:t>
      </w:r>
    </w:p>
    <w:p w14:paraId="75B556B0" w14:textId="6C515CC1" w:rsidR="00EB7884" w:rsidRDefault="00EB7884" w:rsidP="00B53E71">
      <w:pPr>
        <w:pStyle w:val="Text1"/>
        <w:ind w:left="709"/>
        <w:rPr>
          <w:noProof/>
        </w:rPr>
      </w:pPr>
      <w:r>
        <w:rPr>
          <w:noProof/>
        </w:rPr>
        <w:t>[OR]</w:t>
      </w:r>
    </w:p>
    <w:p w14:paraId="50B5E79F" w14:textId="724017B8" w:rsidR="00EB7884" w:rsidRDefault="00EB7884" w:rsidP="00B53E71">
      <w:pPr>
        <w:pStyle w:val="Text1"/>
        <w:ind w:left="709"/>
        <w:rPr>
          <w:noProof/>
        </w:rPr>
      </w:pPr>
      <w:r>
        <w:rPr>
          <w:noProof/>
        </w:rPr>
        <w:t>[In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Ireland has notified [, by its letter of ... ,] its wish to take part in the adoption and application of this Decision.]</w:t>
      </w:r>
    </w:p>
    <w:p w14:paraId="7D2F5614" w14:textId="66885720" w:rsidR="00F440F3" w:rsidRPr="007C766C" w:rsidRDefault="00C1434B" w:rsidP="00C1434B">
      <w:pPr>
        <w:pStyle w:val="ManualConsidrant"/>
        <w:rPr>
          <w:noProof/>
        </w:rPr>
      </w:pPr>
      <w:r w:rsidRPr="00C1434B">
        <w:t>(14)</w:t>
      </w:r>
      <w:r w:rsidRPr="00C1434B">
        <w:tab/>
      </w:r>
      <w:r w:rsidR="00F440F3" w:rsidRPr="00F440F3">
        <w:rPr>
          <w:noProof/>
        </w:rPr>
        <w:t>In accordance with Articles</w:t>
      </w:r>
      <w:r w:rsidR="00F440F3">
        <w:rPr>
          <w:noProof/>
        </w:rPr>
        <w:t xml:space="preserve"> </w:t>
      </w:r>
      <w:r w:rsidR="00F440F3" w:rsidRPr="00F440F3">
        <w:rPr>
          <w:noProof/>
        </w:rPr>
        <w:t>1 and 2 of Protocol No</w:t>
      </w:r>
      <w:r w:rsidR="00F440F3">
        <w:rPr>
          <w:noProof/>
        </w:rPr>
        <w:t xml:space="preserve"> </w:t>
      </w:r>
      <w:r w:rsidR="00F440F3" w:rsidRPr="00F440F3">
        <w:rPr>
          <w:noProof/>
        </w:rPr>
        <w:t>22 on the position of Denmark, annexed to the Treaty on European Union and to the Treaty on the Functioning of the European Union, Denmark is</w:t>
      </w:r>
      <w:r w:rsidR="00F440F3">
        <w:rPr>
          <w:noProof/>
        </w:rPr>
        <w:t xml:space="preserve"> </w:t>
      </w:r>
      <w:r w:rsidR="00F440F3" w:rsidRPr="00F440F3">
        <w:rPr>
          <w:noProof/>
        </w:rPr>
        <w:t>not taking part in the adoption of this Decision and is not bound by it or subject to its application,</w:t>
      </w:r>
    </w:p>
    <w:p w14:paraId="15B3F49A" w14:textId="77777777" w:rsidR="005C09B6" w:rsidRPr="007C766C" w:rsidRDefault="005C09B6" w:rsidP="00F903F3">
      <w:pPr>
        <w:pStyle w:val="Formuledadoption"/>
        <w:rPr>
          <w:noProof/>
        </w:rPr>
      </w:pPr>
      <w:r w:rsidRPr="007C766C">
        <w:rPr>
          <w:noProof/>
        </w:rPr>
        <w:t xml:space="preserve">HAS ADOPTED THIS DECISION: </w:t>
      </w:r>
    </w:p>
    <w:p w14:paraId="15B3F49B" w14:textId="53286F68" w:rsidR="005C09B6" w:rsidRPr="007C766C" w:rsidRDefault="007F757E" w:rsidP="00F903F3">
      <w:pPr>
        <w:pStyle w:val="Titrearticle"/>
        <w:rPr>
          <w:noProof/>
        </w:rPr>
      </w:pPr>
      <w:r>
        <w:rPr>
          <w:noProof/>
        </w:rPr>
        <w:t>Article 1</w:t>
      </w:r>
    </w:p>
    <w:p w14:paraId="15B3F4A0" w14:textId="02DF62E7" w:rsidR="004425A5" w:rsidRPr="00C01F1D" w:rsidRDefault="004425A5" w:rsidP="00F903F3">
      <w:pPr>
        <w:rPr>
          <w:noProof/>
        </w:rPr>
      </w:pPr>
      <w:r w:rsidRPr="00C01F1D">
        <w:rPr>
          <w:noProof/>
        </w:rPr>
        <w:t xml:space="preserve">Member States are hereby authorised to </w:t>
      </w:r>
      <w:r w:rsidR="00535733">
        <w:rPr>
          <w:noProof/>
        </w:rPr>
        <w:t>ratify</w:t>
      </w:r>
      <w:r w:rsidRPr="00C01F1D">
        <w:rPr>
          <w:noProof/>
        </w:rPr>
        <w:t xml:space="preserve">, in the interest of the European Union, the </w:t>
      </w:r>
      <w:r w:rsidRPr="007C766C">
        <w:rPr>
          <w:noProof/>
        </w:rPr>
        <w:t>Second Additional Protocol to the Convention on Cybercrime on enhanced co-operation and disclosure of electronic evidence</w:t>
      </w:r>
      <w:r w:rsidR="00125727">
        <w:rPr>
          <w:noProof/>
        </w:rPr>
        <w:t xml:space="preserve"> (‘Protocol’)</w:t>
      </w:r>
      <w:r w:rsidRPr="00C01F1D">
        <w:rPr>
          <w:noProof/>
        </w:rPr>
        <w:t xml:space="preserve">. </w:t>
      </w:r>
    </w:p>
    <w:p w14:paraId="15B3F4A1" w14:textId="3702EF5B" w:rsidR="002E512D" w:rsidRPr="007C766C" w:rsidRDefault="002E512D" w:rsidP="002E512D">
      <w:pPr>
        <w:pStyle w:val="Titrearticle"/>
        <w:keepNext w:val="0"/>
        <w:rPr>
          <w:noProof/>
        </w:rPr>
      </w:pPr>
      <w:r w:rsidRPr="007C766C">
        <w:rPr>
          <w:noProof/>
        </w:rPr>
        <w:t xml:space="preserve">Article </w:t>
      </w:r>
      <w:r w:rsidR="00125727">
        <w:rPr>
          <w:noProof/>
        </w:rPr>
        <w:t>2</w:t>
      </w:r>
    </w:p>
    <w:p w14:paraId="15B3F4A2" w14:textId="4EE1E0AE" w:rsidR="002E512D" w:rsidRPr="007C766C" w:rsidRDefault="00125727" w:rsidP="002E512D">
      <w:pPr>
        <w:rPr>
          <w:noProof/>
        </w:rPr>
      </w:pPr>
      <w:r>
        <w:rPr>
          <w:noProof/>
        </w:rPr>
        <w:t xml:space="preserve">When </w:t>
      </w:r>
      <w:r w:rsidR="00535733">
        <w:rPr>
          <w:noProof/>
        </w:rPr>
        <w:t xml:space="preserve">ratifying </w:t>
      </w:r>
      <w:r>
        <w:rPr>
          <w:noProof/>
        </w:rPr>
        <w:t xml:space="preserve">the Protocol, Member States shall make the </w:t>
      </w:r>
      <w:r w:rsidR="00890BA1" w:rsidRPr="007C766C">
        <w:rPr>
          <w:noProof/>
        </w:rPr>
        <w:t xml:space="preserve">reservations, declarations, notifications or communications </w:t>
      </w:r>
      <w:r>
        <w:rPr>
          <w:noProof/>
        </w:rPr>
        <w:t xml:space="preserve">that are </w:t>
      </w:r>
      <w:r w:rsidR="002E512D" w:rsidRPr="007C766C">
        <w:rPr>
          <w:noProof/>
        </w:rPr>
        <w:t xml:space="preserve">set out in the Annex. </w:t>
      </w:r>
    </w:p>
    <w:p w14:paraId="15B3F4A4" w14:textId="70C8F6FB" w:rsidR="005C09B6" w:rsidRPr="007C766C" w:rsidRDefault="005C09B6" w:rsidP="00F903F3">
      <w:pPr>
        <w:pStyle w:val="Titrearticle"/>
        <w:keepNext w:val="0"/>
        <w:rPr>
          <w:noProof/>
        </w:rPr>
      </w:pPr>
      <w:r w:rsidRPr="007C766C">
        <w:rPr>
          <w:noProof/>
        </w:rPr>
        <w:t xml:space="preserve">Article </w:t>
      </w:r>
      <w:r w:rsidR="00125727">
        <w:rPr>
          <w:noProof/>
        </w:rPr>
        <w:t>3</w:t>
      </w:r>
    </w:p>
    <w:p w14:paraId="15B3F4A6" w14:textId="7D83BBA9" w:rsidR="004425A5" w:rsidRPr="007C766C" w:rsidRDefault="005C09B6" w:rsidP="00F903F3">
      <w:pPr>
        <w:keepLines/>
        <w:rPr>
          <w:noProof/>
        </w:rPr>
      </w:pPr>
      <w:r w:rsidRPr="007C766C">
        <w:rPr>
          <w:noProof/>
        </w:rPr>
        <w:t>This Decisio</w:t>
      </w:r>
      <w:r w:rsidR="0012735F" w:rsidRPr="007C766C">
        <w:rPr>
          <w:noProof/>
        </w:rPr>
        <w:t>n shall enter into force on the</w:t>
      </w:r>
      <w:r w:rsidRPr="007C766C">
        <w:rPr>
          <w:noProof/>
        </w:rPr>
        <w:t xml:space="preserve"> day</w:t>
      </w:r>
      <w:r w:rsidR="004425A5" w:rsidRPr="007C766C">
        <w:rPr>
          <w:noProof/>
        </w:rPr>
        <w:t xml:space="preserve"> of its adoption</w:t>
      </w:r>
      <w:r w:rsidRPr="007C766C">
        <w:rPr>
          <w:noProof/>
        </w:rPr>
        <w:t>.</w:t>
      </w:r>
    </w:p>
    <w:p w14:paraId="15B3F4A7" w14:textId="68B7DDB6" w:rsidR="005C09B6" w:rsidRPr="007C766C" w:rsidRDefault="005C09B6" w:rsidP="00950671">
      <w:pPr>
        <w:pStyle w:val="Titrearticle"/>
        <w:rPr>
          <w:noProof/>
        </w:rPr>
      </w:pPr>
      <w:r w:rsidRPr="007C766C">
        <w:rPr>
          <w:noProof/>
        </w:rPr>
        <w:t xml:space="preserve">Article </w:t>
      </w:r>
      <w:r w:rsidR="00125727" w:rsidRPr="00C01F1D">
        <w:rPr>
          <w:noProof/>
        </w:rPr>
        <w:t>4</w:t>
      </w:r>
    </w:p>
    <w:p w14:paraId="7EDAB4FE" w14:textId="77777777" w:rsidR="00125727" w:rsidRPr="007C766C" w:rsidRDefault="00125727" w:rsidP="00125727">
      <w:pPr>
        <w:keepNext/>
        <w:keepLines/>
        <w:rPr>
          <w:noProof/>
        </w:rPr>
      </w:pPr>
      <w:r>
        <w:rPr>
          <w:noProof/>
        </w:rPr>
        <w:t xml:space="preserve">This </w:t>
      </w:r>
      <w:r>
        <w:rPr>
          <w:rStyle w:val="highlight"/>
          <w:noProof/>
        </w:rPr>
        <w:t>Decision</w:t>
      </w:r>
      <w:r>
        <w:rPr>
          <w:noProof/>
        </w:rPr>
        <w:t xml:space="preserve"> </w:t>
      </w:r>
      <w:r>
        <w:rPr>
          <w:rStyle w:val="highlight"/>
          <w:noProof/>
        </w:rPr>
        <w:t>shall</w:t>
      </w:r>
      <w:r>
        <w:rPr>
          <w:noProof/>
        </w:rPr>
        <w:t xml:space="preserve"> </w:t>
      </w:r>
      <w:r>
        <w:rPr>
          <w:rStyle w:val="highlight"/>
          <w:noProof/>
        </w:rPr>
        <w:t>be</w:t>
      </w:r>
      <w:r>
        <w:rPr>
          <w:noProof/>
        </w:rPr>
        <w:t xml:space="preserve"> </w:t>
      </w:r>
      <w:r>
        <w:rPr>
          <w:rStyle w:val="highlight"/>
          <w:noProof/>
        </w:rPr>
        <w:t>published</w:t>
      </w:r>
      <w:r>
        <w:rPr>
          <w:noProof/>
        </w:rPr>
        <w:t xml:space="preserve"> </w:t>
      </w:r>
      <w:r>
        <w:rPr>
          <w:rStyle w:val="highlight"/>
          <w:noProof/>
        </w:rPr>
        <w:t>in</w:t>
      </w:r>
      <w:r>
        <w:rPr>
          <w:noProof/>
        </w:rPr>
        <w:t xml:space="preserve"> </w:t>
      </w:r>
      <w:r>
        <w:rPr>
          <w:rStyle w:val="highlight"/>
          <w:noProof/>
        </w:rPr>
        <w:t>the</w:t>
      </w:r>
      <w:r>
        <w:rPr>
          <w:noProof/>
        </w:rPr>
        <w:t xml:space="preserve"> </w:t>
      </w:r>
      <w:r>
        <w:rPr>
          <w:rStyle w:val="italic"/>
          <w:noProof/>
        </w:rPr>
        <w:t xml:space="preserve">Official Journal of </w:t>
      </w:r>
      <w:r>
        <w:rPr>
          <w:rStyle w:val="highlight"/>
          <w:noProof/>
        </w:rPr>
        <w:t>the</w:t>
      </w:r>
      <w:r>
        <w:rPr>
          <w:rStyle w:val="italic"/>
          <w:noProof/>
        </w:rPr>
        <w:t xml:space="preserve"> European Union</w:t>
      </w:r>
      <w:r>
        <w:rPr>
          <w:noProof/>
        </w:rPr>
        <w:t>.</w:t>
      </w:r>
    </w:p>
    <w:p w14:paraId="1CB536A7" w14:textId="178B3F34" w:rsidR="00A25574" w:rsidRDefault="00A25574" w:rsidP="00647BBC">
      <w:pPr>
        <w:pStyle w:val="Titrearticle"/>
        <w:rPr>
          <w:noProof/>
        </w:rPr>
      </w:pPr>
      <w:r>
        <w:rPr>
          <w:noProof/>
        </w:rPr>
        <w:t>Article 5</w:t>
      </w:r>
    </w:p>
    <w:p w14:paraId="44EC90B6" w14:textId="6E48D93E" w:rsidR="00A25574" w:rsidRDefault="00A25574" w:rsidP="00950671">
      <w:pPr>
        <w:keepNext/>
        <w:keepLines/>
        <w:rPr>
          <w:noProof/>
        </w:rPr>
      </w:pPr>
      <w:r>
        <w:rPr>
          <w:noProof/>
        </w:rPr>
        <w:t>This Decision is addressed to Member States.</w:t>
      </w:r>
    </w:p>
    <w:p w14:paraId="15B3F4AA" w14:textId="6C1050F9" w:rsidR="005C09B6" w:rsidRPr="007C766C" w:rsidRDefault="00D473BD" w:rsidP="00647BBC">
      <w:pPr>
        <w:pStyle w:val="Fait"/>
        <w:rPr>
          <w:noProof/>
        </w:rPr>
      </w:pPr>
      <w:r w:rsidRPr="00D473BD">
        <w:t>Done at Brussels,</w:t>
      </w:r>
    </w:p>
    <w:p w14:paraId="15B3F4AB" w14:textId="77777777" w:rsidR="005C09B6" w:rsidRPr="007C766C" w:rsidRDefault="005C09B6" w:rsidP="00647BBC">
      <w:pPr>
        <w:pStyle w:val="Institutionquisigne"/>
        <w:rPr>
          <w:noProof/>
        </w:rPr>
      </w:pPr>
      <w:r w:rsidRPr="007C766C">
        <w:rPr>
          <w:noProof/>
        </w:rPr>
        <w:tab/>
        <w:t>For the Council</w:t>
      </w:r>
    </w:p>
    <w:p w14:paraId="15B3F4AC" w14:textId="77777777" w:rsidR="005C09B6" w:rsidRPr="005C09B6" w:rsidRDefault="005C09B6" w:rsidP="005C09B6">
      <w:pPr>
        <w:pStyle w:val="Personnequisigne"/>
        <w:rPr>
          <w:noProof/>
        </w:rPr>
      </w:pPr>
      <w:r w:rsidRPr="007C766C">
        <w:rPr>
          <w:noProof/>
        </w:rPr>
        <w:tab/>
        <w:t>The President</w:t>
      </w:r>
    </w:p>
    <w:sectPr w:rsidR="005C09B6" w:rsidRPr="005C09B6" w:rsidSect="00C24E6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E693F" w14:textId="77777777" w:rsidR="002E26C6" w:rsidRDefault="002E26C6" w:rsidP="005C09B6">
      <w:pPr>
        <w:spacing w:before="0" w:after="0"/>
      </w:pPr>
      <w:r>
        <w:separator/>
      </w:r>
    </w:p>
  </w:endnote>
  <w:endnote w:type="continuationSeparator" w:id="0">
    <w:p w14:paraId="6290D083" w14:textId="77777777" w:rsidR="002E26C6" w:rsidRDefault="002E26C6" w:rsidP="005C09B6">
      <w:pPr>
        <w:spacing w:before="0" w:after="0"/>
      </w:pPr>
      <w:r>
        <w:continuationSeparator/>
      </w:r>
    </w:p>
  </w:endnote>
  <w:endnote w:type="continuationNotice" w:id="1">
    <w:p w14:paraId="458C0B57" w14:textId="77777777" w:rsidR="002E26C6" w:rsidRDefault="002E26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CDD3" w14:textId="74CE7EE3" w:rsidR="00D31BF3" w:rsidRPr="00C24E69" w:rsidRDefault="00C24E69" w:rsidP="00C24E69">
    <w:pPr>
      <w:pStyle w:val="Footer"/>
      <w:rPr>
        <w:rFonts w:ascii="Arial" w:hAnsi="Arial" w:cs="Arial"/>
        <w:b/>
        <w:sz w:val="48"/>
      </w:rPr>
    </w:pPr>
    <w:r w:rsidRPr="00C24E69">
      <w:rPr>
        <w:rFonts w:ascii="Arial" w:hAnsi="Arial" w:cs="Arial"/>
        <w:b/>
        <w:sz w:val="48"/>
      </w:rPr>
      <w:t>EN</w:t>
    </w:r>
    <w:r w:rsidRPr="00C24E69">
      <w:rPr>
        <w:rFonts w:ascii="Arial" w:hAnsi="Arial" w:cs="Arial"/>
        <w:b/>
        <w:sz w:val="48"/>
      </w:rPr>
      <w:tab/>
    </w:r>
    <w:r w:rsidRPr="00C24E69">
      <w:rPr>
        <w:rFonts w:ascii="Arial" w:hAnsi="Arial" w:cs="Arial"/>
        <w:b/>
        <w:sz w:val="48"/>
      </w:rPr>
      <w:tab/>
    </w:r>
    <w:r w:rsidRPr="00C24E69">
      <w:tab/>
    </w:r>
    <w:r w:rsidRPr="00C24E69">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C0DC" w14:textId="38488B24" w:rsidR="00C24E69" w:rsidRPr="00C24E69" w:rsidRDefault="00C24E69" w:rsidP="00C24E69">
    <w:pPr>
      <w:pStyle w:val="Footer"/>
      <w:rPr>
        <w:rFonts w:ascii="Arial" w:hAnsi="Arial" w:cs="Arial"/>
        <w:b/>
        <w:sz w:val="48"/>
      </w:rPr>
    </w:pPr>
    <w:r w:rsidRPr="00C24E69">
      <w:rPr>
        <w:rFonts w:ascii="Arial" w:hAnsi="Arial" w:cs="Arial"/>
        <w:b/>
        <w:sz w:val="48"/>
      </w:rPr>
      <w:t>EN</w:t>
    </w:r>
    <w:r w:rsidRPr="00C24E69">
      <w:rPr>
        <w:rFonts w:ascii="Arial" w:hAnsi="Arial" w:cs="Arial"/>
        <w:b/>
        <w:sz w:val="48"/>
      </w:rPr>
      <w:tab/>
    </w:r>
    <w:r>
      <w:fldChar w:fldCharType="begin"/>
    </w:r>
    <w:r>
      <w:instrText xml:space="preserve"> PAGE  \* MERGEFORMAT </w:instrText>
    </w:r>
    <w:r>
      <w:fldChar w:fldCharType="separate"/>
    </w:r>
    <w:r w:rsidR="00647BBC">
      <w:rPr>
        <w:noProof/>
      </w:rPr>
      <w:t>16</w:t>
    </w:r>
    <w:r>
      <w:fldChar w:fldCharType="end"/>
    </w:r>
    <w:r>
      <w:tab/>
    </w:r>
    <w:r w:rsidRPr="00C24E69">
      <w:tab/>
    </w:r>
    <w:r w:rsidRPr="00C24E6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A7F39" w14:textId="77777777" w:rsidR="00C24E69" w:rsidRPr="00C24E69" w:rsidRDefault="00C24E69" w:rsidP="00C24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FD5A9" w14:textId="77777777" w:rsidR="002E26C6" w:rsidRDefault="002E26C6" w:rsidP="005C09B6">
      <w:pPr>
        <w:spacing w:before="0" w:after="0"/>
      </w:pPr>
      <w:r>
        <w:separator/>
      </w:r>
    </w:p>
  </w:footnote>
  <w:footnote w:type="continuationSeparator" w:id="0">
    <w:p w14:paraId="44D12968" w14:textId="77777777" w:rsidR="002E26C6" w:rsidRDefault="002E26C6" w:rsidP="005C09B6">
      <w:pPr>
        <w:spacing w:before="0" w:after="0"/>
      </w:pPr>
      <w:r>
        <w:continuationSeparator/>
      </w:r>
    </w:p>
  </w:footnote>
  <w:footnote w:type="continuationNotice" w:id="1">
    <w:p w14:paraId="3596DEC6" w14:textId="77777777" w:rsidR="002E26C6" w:rsidRDefault="002E26C6">
      <w:pPr>
        <w:spacing w:before="0" w:after="0"/>
      </w:pPr>
    </w:p>
  </w:footnote>
  <w:footnote w:id="2">
    <w:p w14:paraId="014AFDAE" w14:textId="3C735916" w:rsidR="002E26C6" w:rsidRPr="005A6CE5" w:rsidRDefault="002E26C6" w:rsidP="00226588">
      <w:pPr>
        <w:pStyle w:val="FootnoteText"/>
        <w:ind w:left="284" w:hanging="284"/>
      </w:pPr>
      <w:r w:rsidRPr="00FF6CE5">
        <w:rPr>
          <w:rStyle w:val="FootnoteReference0"/>
        </w:rPr>
        <w:footnoteRef/>
      </w:r>
      <w:r w:rsidR="004A749B">
        <w:tab/>
      </w:r>
      <w:r>
        <w:t xml:space="preserve">The text of the Protocol </w:t>
      </w:r>
      <w:r w:rsidR="001C76D8">
        <w:t>is included as an</w:t>
      </w:r>
      <w:r>
        <w:t xml:space="preserve"> annex to th</w:t>
      </w:r>
      <w:r w:rsidR="001C76D8">
        <w:t>is</w:t>
      </w:r>
      <w:r>
        <w:t xml:space="preserve"> proposal. </w:t>
      </w:r>
    </w:p>
  </w:footnote>
  <w:footnote w:id="3">
    <w:p w14:paraId="331C6E46" w14:textId="671D13FF" w:rsidR="002E26C6" w:rsidRPr="007C766C" w:rsidRDefault="002E26C6" w:rsidP="00226588">
      <w:pPr>
        <w:pStyle w:val="FootnoteText"/>
        <w:ind w:left="284" w:hanging="284"/>
      </w:pPr>
      <w:r w:rsidRPr="00A3179E">
        <w:rPr>
          <w:rStyle w:val="FootnoteReference0"/>
        </w:rPr>
        <w:footnoteRef/>
      </w:r>
      <w:r>
        <w:tab/>
      </w:r>
      <w:r w:rsidRPr="007C766C">
        <w:t>European Union Serious and Organised Crime Threat Assessment 2021 (EU SOCTA 2021).</w:t>
      </w:r>
    </w:p>
  </w:footnote>
  <w:footnote w:id="4">
    <w:p w14:paraId="15B3F4B5" w14:textId="39510BBB" w:rsidR="002E26C6" w:rsidRPr="007C766C" w:rsidRDefault="002E26C6" w:rsidP="00226588">
      <w:pPr>
        <w:pStyle w:val="FootnoteText"/>
        <w:ind w:left="284" w:hanging="284"/>
      </w:pPr>
      <w:r w:rsidRPr="00A3179E">
        <w:rPr>
          <w:rStyle w:val="FootnoteReference0"/>
        </w:rPr>
        <w:footnoteRef/>
      </w:r>
      <w:r>
        <w:tab/>
      </w:r>
      <w:r w:rsidRPr="00A546F3">
        <w:t>SWD(2018) 118 final</w:t>
      </w:r>
      <w:r w:rsidR="00EB7884">
        <w:t>.</w:t>
      </w:r>
    </w:p>
  </w:footnote>
  <w:footnote w:id="5">
    <w:p w14:paraId="13A8B246" w14:textId="033E61BB" w:rsidR="002E26C6" w:rsidRPr="007C766C" w:rsidRDefault="002E26C6" w:rsidP="00226588">
      <w:pPr>
        <w:pStyle w:val="FootnoteText"/>
        <w:ind w:left="284" w:hanging="284"/>
      </w:pPr>
      <w:r w:rsidRPr="00C01F1D">
        <w:rPr>
          <w:rStyle w:val="FootnoteReference0"/>
        </w:rPr>
        <w:footnoteRef/>
      </w:r>
      <w:r w:rsidR="00C01F1D">
        <w:tab/>
      </w:r>
      <w:r w:rsidRPr="007C766C">
        <w:t>COM(2018)225 and 226 final</w:t>
      </w:r>
      <w:r w:rsidR="00EB7884">
        <w:t>.</w:t>
      </w:r>
    </w:p>
  </w:footnote>
  <w:footnote w:id="6">
    <w:p w14:paraId="15B3F4B7" w14:textId="28131E3A" w:rsidR="002E26C6" w:rsidRPr="007C766C" w:rsidRDefault="002E26C6" w:rsidP="00226588">
      <w:pPr>
        <w:pStyle w:val="FootnoteText"/>
        <w:ind w:left="284" w:hanging="284"/>
      </w:pPr>
      <w:r w:rsidRPr="00C01F1D">
        <w:rPr>
          <w:rStyle w:val="FootnoteReference0"/>
        </w:rPr>
        <w:footnoteRef/>
      </w:r>
      <w:r w:rsidR="00C01F1D">
        <w:tab/>
      </w:r>
      <w:r w:rsidRPr="007C766C">
        <w:t>All except Ireland, which has signed but not ratified the Convention, but nevertheless committed to pursuing accession.</w:t>
      </w:r>
    </w:p>
  </w:footnote>
  <w:footnote w:id="7">
    <w:p w14:paraId="7F3B6505" w14:textId="1ABBA26B" w:rsidR="002E26C6" w:rsidRPr="007F757E" w:rsidRDefault="002E26C6" w:rsidP="00226588">
      <w:pPr>
        <w:pStyle w:val="FootnoteText"/>
        <w:ind w:left="284" w:hanging="284"/>
      </w:pPr>
      <w:r w:rsidRPr="00C01F1D">
        <w:rPr>
          <w:rStyle w:val="FootnoteReference0"/>
        </w:rPr>
        <w:footnoteRef/>
      </w:r>
      <w:r w:rsidR="00C01F1D">
        <w:tab/>
      </w:r>
      <w:r>
        <w:t>Rules of Procedure of the Cybercrime Convention Committee (T-CY (2013)25 rev), available at www.coe.int/cybercrime.</w:t>
      </w:r>
    </w:p>
  </w:footnote>
  <w:footnote w:id="8">
    <w:p w14:paraId="15B3F4B8" w14:textId="16A81CED" w:rsidR="002E26C6" w:rsidRPr="007C766C" w:rsidRDefault="002E26C6" w:rsidP="00226588">
      <w:pPr>
        <w:pStyle w:val="FootnoteText"/>
        <w:ind w:left="284" w:hanging="284"/>
      </w:pPr>
      <w:r w:rsidRPr="00C01F1D">
        <w:rPr>
          <w:rStyle w:val="FootnoteReference0"/>
        </w:rPr>
        <w:footnoteRef/>
      </w:r>
      <w:r w:rsidR="00C01F1D">
        <w:tab/>
      </w:r>
      <w:r w:rsidRPr="007C766C">
        <w:t>December 2019 United Nations General Assembly (UNGA) Resolution 74/247 on ‘Countering the use of information and communications technologies for criminal purposes’</w:t>
      </w:r>
      <w:r w:rsidR="00EB7884">
        <w:t>.</w:t>
      </w:r>
    </w:p>
  </w:footnote>
  <w:footnote w:id="9">
    <w:p w14:paraId="15B3F4B9" w14:textId="0E902181" w:rsidR="002E26C6" w:rsidRPr="007C766C" w:rsidRDefault="002E26C6" w:rsidP="00226588">
      <w:pPr>
        <w:pStyle w:val="FootnoteText"/>
        <w:ind w:left="284" w:hanging="284"/>
      </w:pPr>
      <w:r w:rsidRPr="00C01F1D">
        <w:rPr>
          <w:rStyle w:val="FootnoteReference0"/>
        </w:rPr>
        <w:footnoteRef/>
      </w:r>
      <w:r w:rsidR="00C01F1D">
        <w:tab/>
      </w:r>
      <w:r w:rsidRPr="007C766C">
        <w:t>JOIN(2020) 81 final</w:t>
      </w:r>
      <w:r w:rsidR="00EB7884">
        <w:t>.</w:t>
      </w:r>
    </w:p>
  </w:footnote>
  <w:footnote w:id="10">
    <w:p w14:paraId="15B3F4BA" w14:textId="2FF00B51" w:rsidR="002E26C6" w:rsidRPr="007C766C" w:rsidRDefault="002E26C6" w:rsidP="00226588">
      <w:pPr>
        <w:pStyle w:val="FootnoteText"/>
        <w:ind w:left="284" w:hanging="284"/>
      </w:pPr>
      <w:r w:rsidRPr="00C01F1D">
        <w:rPr>
          <w:rStyle w:val="FootnoteReference0"/>
        </w:rPr>
        <w:footnoteRef/>
      </w:r>
      <w:r w:rsidR="00C01F1D">
        <w:tab/>
      </w:r>
      <w:r w:rsidRPr="007C766C">
        <w:t>See for instance the Global Action on Cybercrime Extended (GLACY)+, via https://www.coe.int/en/web/cybercrime/glacyplus</w:t>
      </w:r>
      <w:r w:rsidR="00EB7884">
        <w:t>.</w:t>
      </w:r>
    </w:p>
  </w:footnote>
  <w:footnote w:id="11">
    <w:p w14:paraId="15B3F4BB" w14:textId="48884168" w:rsidR="002E26C6" w:rsidRPr="007C766C" w:rsidRDefault="002E26C6" w:rsidP="00226588">
      <w:pPr>
        <w:pStyle w:val="FootnoteText"/>
        <w:ind w:left="284" w:hanging="284"/>
      </w:pPr>
      <w:r w:rsidRPr="00C01F1D">
        <w:rPr>
          <w:rStyle w:val="FootnoteReference0"/>
        </w:rPr>
        <w:footnoteRef/>
      </w:r>
      <w:r w:rsidR="00C01F1D">
        <w:tab/>
      </w:r>
      <w:r w:rsidRPr="007C766C">
        <w:t xml:space="preserve">Final report of the </w:t>
      </w:r>
      <w:r w:rsidR="00EB7884">
        <w:t xml:space="preserve">Cybercrime Convention Committee </w:t>
      </w:r>
      <w:r w:rsidRPr="007C766C">
        <w:t>Cloud Evidence Group ‘Criminal justice access to electronic evidence in the cloud: Recommendations for consideration by the T-CY’ of 16 September 2016.</w:t>
      </w:r>
    </w:p>
  </w:footnote>
  <w:footnote w:id="12">
    <w:p w14:paraId="15B3F4BC" w14:textId="6D0BED62" w:rsidR="002E26C6" w:rsidRPr="007C766C" w:rsidRDefault="002E26C6" w:rsidP="00226588">
      <w:pPr>
        <w:pStyle w:val="FootnoteText"/>
        <w:ind w:left="284" w:hanging="284"/>
      </w:pPr>
      <w:r w:rsidRPr="00C01F1D">
        <w:rPr>
          <w:rStyle w:val="FootnoteReference0"/>
        </w:rPr>
        <w:footnoteRef/>
      </w:r>
      <w:r w:rsidR="00C01F1D">
        <w:tab/>
      </w:r>
      <w:r w:rsidRPr="007C766C">
        <w:t>https://rm.coe.int/t-cy-terms-of-reference-protocol/1680a03690</w:t>
      </w:r>
    </w:p>
  </w:footnote>
  <w:footnote w:id="13">
    <w:p w14:paraId="19A8C044" w14:textId="4BFB21A7" w:rsidR="002E26C6" w:rsidRPr="007C766C" w:rsidRDefault="002E26C6" w:rsidP="00226588">
      <w:pPr>
        <w:pStyle w:val="FootnoteText"/>
        <w:ind w:left="284" w:hanging="284"/>
      </w:pPr>
      <w:r w:rsidRPr="00C01F1D">
        <w:rPr>
          <w:rStyle w:val="FootnoteReference0"/>
        </w:rPr>
        <w:footnoteRef/>
      </w:r>
      <w:r w:rsidR="00C01F1D">
        <w:tab/>
      </w:r>
      <w:r w:rsidRPr="007C766C">
        <w:t>https://www.consilium.europa.eu/en/press/press-releases/2018/10/18/20181018-european-council-conslusions/</w:t>
      </w:r>
    </w:p>
  </w:footnote>
  <w:footnote w:id="14">
    <w:p w14:paraId="15B3F4BD" w14:textId="5AEA92FD" w:rsidR="002E26C6" w:rsidRPr="007C766C" w:rsidRDefault="002E26C6" w:rsidP="00226588">
      <w:pPr>
        <w:pStyle w:val="FootnoteText"/>
        <w:ind w:left="284" w:hanging="284"/>
      </w:pPr>
      <w:r w:rsidRPr="00C01F1D">
        <w:rPr>
          <w:rStyle w:val="FootnoteReference0"/>
        </w:rPr>
        <w:footnoteRef/>
      </w:r>
      <w:r w:rsidR="00C01F1D">
        <w:tab/>
      </w:r>
      <w:r w:rsidRPr="007C766C">
        <w:t>COM(2019) 71 final</w:t>
      </w:r>
      <w:r w:rsidR="00EB7884">
        <w:t>.</w:t>
      </w:r>
    </w:p>
  </w:footnote>
  <w:footnote w:id="15">
    <w:p w14:paraId="18E0E478" w14:textId="78CA090E" w:rsidR="002E26C6" w:rsidRPr="007C766C" w:rsidRDefault="002E26C6" w:rsidP="00226588">
      <w:pPr>
        <w:pStyle w:val="FootnoteText"/>
        <w:ind w:left="284" w:hanging="284"/>
      </w:pPr>
      <w:r w:rsidRPr="00C01F1D">
        <w:rPr>
          <w:rStyle w:val="FootnoteReference0"/>
        </w:rPr>
        <w:footnoteRef/>
      </w:r>
      <w:r w:rsidR="00C01F1D">
        <w:tab/>
      </w:r>
      <w:r w:rsidRPr="007C766C">
        <w:t>EDPS Opinion regarding the participation in the negotiations in view of a Second Additional Protocol to the Budapest Cybercrime Convention of 2 April 2019, Opinion 3/2019.</w:t>
      </w:r>
    </w:p>
  </w:footnote>
  <w:footnote w:id="16">
    <w:p w14:paraId="15B3F4BE" w14:textId="2AA84982" w:rsidR="002E26C6" w:rsidRPr="007C766C" w:rsidRDefault="002E26C6" w:rsidP="00226588">
      <w:pPr>
        <w:pStyle w:val="FootnoteText"/>
        <w:ind w:left="284" w:hanging="284"/>
      </w:pPr>
      <w:r w:rsidRPr="00C01F1D">
        <w:rPr>
          <w:rStyle w:val="FootnoteReference0"/>
        </w:rPr>
        <w:footnoteRef/>
      </w:r>
      <w:r w:rsidR="00C01F1D">
        <w:tab/>
      </w:r>
      <w:r w:rsidRPr="007C766C">
        <w:t>Council Decision with reference 9116/19</w:t>
      </w:r>
      <w:r w:rsidR="00EB7884">
        <w:t>.</w:t>
      </w:r>
    </w:p>
  </w:footnote>
  <w:footnote w:id="17">
    <w:p w14:paraId="15B3F4BF" w14:textId="227E5F79" w:rsidR="002E26C6" w:rsidRPr="007C766C" w:rsidRDefault="002E26C6" w:rsidP="00226588">
      <w:pPr>
        <w:pStyle w:val="FootnoteText"/>
        <w:ind w:left="284" w:hanging="284"/>
      </w:pPr>
      <w:r w:rsidRPr="00C01F1D">
        <w:rPr>
          <w:rStyle w:val="FootnoteReference0"/>
        </w:rPr>
        <w:footnoteRef/>
      </w:r>
      <w:r w:rsidR="00C01F1D">
        <w:tab/>
      </w:r>
      <w:r w:rsidRPr="007C766C">
        <w:t>COM(2020) 605 final</w:t>
      </w:r>
      <w:r w:rsidR="00EB7884">
        <w:t>.</w:t>
      </w:r>
    </w:p>
  </w:footnote>
  <w:footnote w:id="18">
    <w:p w14:paraId="15B3F4C0" w14:textId="6BC694E9" w:rsidR="002E26C6" w:rsidRPr="007C766C" w:rsidRDefault="002E26C6" w:rsidP="00226588">
      <w:pPr>
        <w:pStyle w:val="FootnoteText"/>
        <w:ind w:left="284" w:hanging="284"/>
      </w:pPr>
      <w:r w:rsidRPr="00C01F1D">
        <w:rPr>
          <w:rStyle w:val="FootnoteReference0"/>
        </w:rPr>
        <w:footnoteRef/>
      </w:r>
      <w:r w:rsidR="00C01F1D">
        <w:tab/>
      </w:r>
      <w:r w:rsidRPr="007C766C">
        <w:t>JOIN(2020) 81 final</w:t>
      </w:r>
      <w:r w:rsidR="00EB7884">
        <w:t>.</w:t>
      </w:r>
    </w:p>
  </w:footnote>
  <w:footnote w:id="19">
    <w:p w14:paraId="15B3F4C1" w14:textId="2544023B" w:rsidR="002E26C6" w:rsidRPr="007C766C" w:rsidRDefault="002E26C6" w:rsidP="00226588">
      <w:pPr>
        <w:pStyle w:val="FootnoteText"/>
        <w:ind w:left="284" w:hanging="284"/>
      </w:pPr>
      <w:r w:rsidRPr="00C01F1D">
        <w:rPr>
          <w:rStyle w:val="FootnoteReference0"/>
        </w:rPr>
        <w:footnoteRef/>
      </w:r>
      <w:r w:rsidR="00C01F1D">
        <w:tab/>
      </w:r>
      <w:r w:rsidRPr="007C766C">
        <w:t>COM(2021) 170 final</w:t>
      </w:r>
      <w:r w:rsidR="00EB7884">
        <w:t>.</w:t>
      </w:r>
    </w:p>
  </w:footnote>
  <w:footnote w:id="20">
    <w:p w14:paraId="15B3F4C2" w14:textId="2E420222" w:rsidR="002E26C6" w:rsidRPr="007C766C" w:rsidRDefault="002E26C6" w:rsidP="00226588">
      <w:pPr>
        <w:pStyle w:val="FootnoteText"/>
        <w:ind w:left="284" w:hanging="284"/>
      </w:pPr>
      <w:r w:rsidRPr="00C01F1D">
        <w:rPr>
          <w:rStyle w:val="FootnoteReference0"/>
        </w:rPr>
        <w:footnoteRef/>
      </w:r>
      <w:r w:rsidR="00C01F1D">
        <w:tab/>
      </w:r>
      <w:r>
        <w:t>European Parliament resolution of 10 June 2021 on the EU’s Cybersecurity Strategy for the Digital Decade</w:t>
      </w:r>
      <w:r w:rsidR="00EB7884">
        <w:t>.</w:t>
      </w:r>
    </w:p>
  </w:footnote>
  <w:footnote w:id="21">
    <w:p w14:paraId="48C70738" w14:textId="3685150A" w:rsidR="002E26C6" w:rsidRPr="007C766C" w:rsidRDefault="002E26C6" w:rsidP="00226588">
      <w:pPr>
        <w:pStyle w:val="FootnoteText"/>
        <w:ind w:left="284" w:hanging="284"/>
      </w:pPr>
      <w:r w:rsidRPr="00C01F1D">
        <w:rPr>
          <w:rStyle w:val="FootnoteReference0"/>
        </w:rPr>
        <w:footnoteRef/>
      </w:r>
      <w:r w:rsidR="00C01F1D">
        <w:tab/>
      </w:r>
      <w:r>
        <w:t xml:space="preserve">Reference </w:t>
      </w:r>
      <w:r w:rsidRPr="007C766C">
        <w:t>L 304/47</w:t>
      </w:r>
      <w:r w:rsidR="00EB7884">
        <w:t>.</w:t>
      </w:r>
    </w:p>
  </w:footnote>
  <w:footnote w:id="22">
    <w:p w14:paraId="15B3F4C5" w14:textId="4A4A8895" w:rsidR="002E26C6" w:rsidRPr="007C766C" w:rsidRDefault="002E26C6" w:rsidP="00226588">
      <w:pPr>
        <w:pStyle w:val="FootnoteText"/>
        <w:ind w:left="284" w:hanging="284"/>
      </w:pPr>
      <w:r w:rsidRPr="00C01F1D">
        <w:rPr>
          <w:rStyle w:val="FootnoteReference0"/>
        </w:rPr>
        <w:footnoteRef/>
      </w:r>
      <w:r w:rsidR="00C01F1D">
        <w:tab/>
      </w:r>
      <w:r w:rsidRPr="007C766C">
        <w:t>https://rm.coe.int/0900001680a2aa42</w:t>
      </w:r>
    </w:p>
  </w:footnote>
  <w:footnote w:id="23">
    <w:p w14:paraId="66FBFEF4" w14:textId="524C83F4" w:rsidR="00DE438F" w:rsidRPr="00DE438F" w:rsidRDefault="00DE438F" w:rsidP="00DE438F">
      <w:pPr>
        <w:pStyle w:val="FootnoteText"/>
        <w:ind w:left="284" w:hanging="284"/>
        <w:rPr>
          <w:lang w:val="en-IE"/>
        </w:rPr>
      </w:pPr>
      <w:r>
        <w:rPr>
          <w:rStyle w:val="FootnoteReference0"/>
        </w:rPr>
        <w:footnoteRef/>
      </w:r>
      <w:r>
        <w:rPr>
          <w:lang w:val="en-IE"/>
        </w:rPr>
        <w:tab/>
        <w:t>See paragraph 2 of the explanatory report to the Protocol.</w:t>
      </w:r>
    </w:p>
  </w:footnote>
  <w:footnote w:id="24">
    <w:p w14:paraId="15B3F4C6" w14:textId="051ADFAC" w:rsidR="002E26C6" w:rsidRPr="007C766C" w:rsidRDefault="002E26C6" w:rsidP="00226588">
      <w:pPr>
        <w:pStyle w:val="FootnoteText"/>
        <w:ind w:left="284" w:hanging="284"/>
      </w:pPr>
      <w:r w:rsidRPr="00C01F1D">
        <w:rPr>
          <w:rStyle w:val="FootnoteReference0"/>
        </w:rPr>
        <w:footnoteRef/>
      </w:r>
      <w:r w:rsidR="00C01F1D">
        <w:tab/>
      </w:r>
      <w:r w:rsidRPr="007C766C">
        <w:t>Directive 2010/64/EU of the European Parliament and of the Council of 20 October 2010 on the right to interpretation and translation in criminal proceedings, OJ L 280, 26.10.2010, p. 1; Directive 2012/13/EU of the European Parliament and of the Council of 22 May 2012 on the right to information in criminal proceedings, OJ L 142, 1.6.2012, p. 1; Directive 2013/48/EU of the European Parliament and of the Council of 22 October 2013 on the right of access to a lawyer in criminal proceedings and in European arrest warrant proceedings, and on the right to have a third party informed upon deprivation of liberty and to communicate with third persons and with consular authorities while deprived of liberty, OJ L 294, 6.11.2013, p. 1; Directive (EU) 2016/1919 of the European Parliament and of the Council of 26 October 2016 on legal aid for suspects and accused persons in criminal proceedings and for requested persons in European arrest warrant proceedings, OJ L 297, 4.11.2016, p. 1; Directive (EU) 2016/800 of the European Parliament and of the Council of 11 May 2016 on procedural safeguards for children who are suspects or accused persons in criminal proceedings, OJ L 132, 21.5.2016, p. 1; Directive (EU) 2016/343 of the European Parliament and of the Council of 9 March 2016 on the strengthening of certain aspects of the presumption of innocence and of the right to be present at the trial in criminal proceedings, OJ L 65, 11.3.2016, p. 1; Directive 2012/13/EU of the European Parliament and of the Council of 22 May 2012 on the right to information in criminal proceedings.</w:t>
      </w:r>
    </w:p>
  </w:footnote>
  <w:footnote w:id="25">
    <w:p w14:paraId="1CA7E178" w14:textId="66D26710" w:rsidR="002E26C6" w:rsidRPr="00CB17AF" w:rsidRDefault="002E26C6" w:rsidP="00226588">
      <w:pPr>
        <w:pStyle w:val="FootnoteText"/>
        <w:ind w:left="284" w:hanging="284"/>
      </w:pPr>
      <w:r w:rsidRPr="00C01F1D">
        <w:rPr>
          <w:rStyle w:val="FootnoteReference0"/>
        </w:rPr>
        <w:footnoteRef/>
      </w:r>
      <w:r w:rsidR="00C01F1D">
        <w:tab/>
      </w:r>
      <w:r>
        <w:t xml:space="preserve">See </w:t>
      </w:r>
      <w:r w:rsidRPr="00CB17AF">
        <w:t>Court of Justice (Grand Chamber), Opinion 1/15, ECLI:EU:C:2017:592</w:t>
      </w:r>
      <w:r>
        <w:t xml:space="preserve">, </w:t>
      </w:r>
      <w:r w:rsidRPr="00CB17AF">
        <w:t>para</w:t>
      </w:r>
      <w:r>
        <w:t>graph</w:t>
      </w:r>
      <w:r w:rsidRPr="00CB17AF">
        <w:t xml:space="preserve"> 220</w:t>
      </w:r>
      <w:r>
        <w:t>. See also EDPB contribution to the consultation on a draft second additional protocol to the Council of Europe Convention on Cybercrime (Budapest Convention), 13 November 2019</w:t>
      </w:r>
      <w:r w:rsidRPr="00CB17AF">
        <w:t>, p. 6 (“The competent national authorities to whom access to the data has been granted must notify the persons affected, under the applicable national procedures, as soon as that notification is no longer liable to jeopardize the investigations being undertaken by those authorities. … Notification is necessary to enable the persons affected to exercise, inter alia, their right to a legal remedy and their data protection rights in relation to the processing of their data”).</w:t>
      </w:r>
    </w:p>
  </w:footnote>
  <w:footnote w:id="26">
    <w:p w14:paraId="6E1E7620" w14:textId="22EA996C" w:rsidR="002E26C6" w:rsidRPr="00CB17AF" w:rsidRDefault="002E26C6" w:rsidP="00226588">
      <w:pPr>
        <w:pStyle w:val="FootnoteText"/>
        <w:ind w:left="284" w:hanging="284"/>
      </w:pPr>
      <w:r w:rsidRPr="00C01F1D">
        <w:rPr>
          <w:rStyle w:val="FootnoteReference0"/>
        </w:rPr>
        <w:footnoteRef/>
      </w:r>
      <w:r w:rsidR="00C01F1D">
        <w:tab/>
      </w:r>
      <w:r>
        <w:t xml:space="preserve">This is why the </w:t>
      </w:r>
      <w:r w:rsidRPr="00CB17AF">
        <w:t>C</w:t>
      </w:r>
      <w:r>
        <w:t>ouncil Decision</w:t>
      </w:r>
      <w:r w:rsidRPr="00CB17AF">
        <w:t xml:space="preserve"> </w:t>
      </w:r>
      <w:r>
        <w:t xml:space="preserve">of 21 May 2019 </w:t>
      </w:r>
      <w:r w:rsidRPr="00CB17AF">
        <w:t>authorising the opening of negotiations in view of an agreement between the European Union and the United States of America on cross-border access to electronic evidence for judicial cooperation in criminal matters</w:t>
      </w:r>
      <w:r>
        <w:t xml:space="preserve"> (</w:t>
      </w:r>
      <w:r w:rsidRPr="00E1532A">
        <w:t>9114/19</w:t>
      </w:r>
      <w:r>
        <w:t xml:space="preserve">) in its negotiating directives contains a number of additional data protection safeguards. In particular, the negotiating directives stipulate that “[t]he agreement should complement the Umbrella Agreement with additional safeguards that take into account the level of sensitivity of the categories of data concerned and the unique requirements of the transfer of electronic evidence directly by service providers rather than between authorities and transfers from competent authorities directly to service providers.” </w:t>
      </w:r>
    </w:p>
  </w:footnote>
  <w:footnote w:id="27">
    <w:p w14:paraId="6EA202D5" w14:textId="02B54EA8" w:rsidR="002E26C6" w:rsidRPr="00E1532A" w:rsidRDefault="002E26C6" w:rsidP="00226588">
      <w:pPr>
        <w:pStyle w:val="FootnoteText"/>
        <w:ind w:left="284" w:hanging="284"/>
      </w:pPr>
      <w:r w:rsidRPr="00C01F1D">
        <w:rPr>
          <w:rStyle w:val="FootnoteReference0"/>
        </w:rPr>
        <w:footnoteRef/>
      </w:r>
      <w:r w:rsidR="00C01F1D">
        <w:tab/>
      </w:r>
      <w:r>
        <w:t>See also Explanatory Report to the Protocol amending the Convention for the Protection of Individuals with regard to Automatic Processing of Personal Data, 10 October 2018, points 106-107.</w:t>
      </w:r>
    </w:p>
  </w:footnote>
  <w:footnote w:id="28">
    <w:p w14:paraId="6C772CEB" w14:textId="417DC8A5" w:rsidR="002E26C6" w:rsidRPr="007F757E" w:rsidRDefault="002E26C6" w:rsidP="00226588">
      <w:pPr>
        <w:pStyle w:val="FootnoteText"/>
        <w:ind w:left="284" w:hanging="284"/>
      </w:pPr>
      <w:r w:rsidRPr="00C01F1D">
        <w:rPr>
          <w:rStyle w:val="FootnoteReference0"/>
        </w:rPr>
        <w:footnoteRef/>
      </w:r>
      <w:r w:rsidR="00C01F1D">
        <w:tab/>
      </w:r>
      <w:r>
        <w:t>COM(2018) 225 and 226 final.</w:t>
      </w:r>
    </w:p>
  </w:footnote>
  <w:footnote w:id="29">
    <w:p w14:paraId="6FC18083" w14:textId="0DBF0C55" w:rsidR="002E26C6" w:rsidRPr="007C766C" w:rsidRDefault="002E26C6" w:rsidP="00226588">
      <w:pPr>
        <w:pStyle w:val="FootnoteText"/>
        <w:ind w:left="284" w:hanging="284"/>
      </w:pPr>
      <w:r w:rsidRPr="00C01F1D">
        <w:rPr>
          <w:rStyle w:val="FootnoteReference0"/>
        </w:rPr>
        <w:footnoteRef/>
      </w:r>
      <w:r w:rsidR="00C01F1D">
        <w:tab/>
      </w:r>
      <w:r w:rsidRPr="007C766C">
        <w:t>EDPS Opinion regarding the participation in the negotiations in view of a Second Additional Protocol to the Budapest Cybercrime Convention of 2 April 2019, Opinion 3/2019.</w:t>
      </w:r>
    </w:p>
  </w:footnote>
  <w:footnote w:id="30">
    <w:p w14:paraId="41CFAA96" w14:textId="3BFA4580" w:rsidR="002E26C6" w:rsidRPr="007C766C" w:rsidRDefault="002E26C6" w:rsidP="00226588">
      <w:pPr>
        <w:pStyle w:val="FootnoteText"/>
        <w:ind w:left="284" w:hanging="284"/>
      </w:pPr>
      <w:r w:rsidRPr="00C01F1D">
        <w:rPr>
          <w:rStyle w:val="FootnoteReference0"/>
        </w:rPr>
        <w:footnoteRef/>
      </w:r>
      <w:r w:rsidR="00C01F1D">
        <w:tab/>
      </w:r>
      <w:r w:rsidRPr="007C766C">
        <w:t>Including ‘EDPB contribution to the consultation on a draft second additional protocol to the Council of Europe Convention on Cybercrime (Budapest Convention) of 13 November 2019’; ‘Statement 02/201 on new draft provisions of the second additional protocol to the Council of Europe Convention on Cybercrime (Budapest Convention) as adopted on 2 February 2021’; ‘EDPB Contribution to the 6th round of consultations on the draft Second Additional Protocol to the Council of Europe Budapest Convention on Cybercrime of 4 May 2021’</w:t>
      </w:r>
      <w:r w:rsidR="00EB7884">
        <w:t>.</w:t>
      </w:r>
    </w:p>
  </w:footnote>
  <w:footnote w:id="31">
    <w:p w14:paraId="53C879E5" w14:textId="29D16004" w:rsidR="002E26C6" w:rsidRPr="007C766C" w:rsidRDefault="002E26C6" w:rsidP="00226588">
      <w:pPr>
        <w:pStyle w:val="FootnoteText"/>
        <w:ind w:left="284" w:hanging="284"/>
      </w:pPr>
      <w:r w:rsidRPr="00C01F1D">
        <w:rPr>
          <w:rStyle w:val="FootnoteReference0"/>
        </w:rPr>
        <w:footnoteRef/>
      </w:r>
      <w:r w:rsidR="00C01F1D">
        <w:tab/>
      </w:r>
      <w:r w:rsidRPr="007C766C">
        <w:t>Allowing Parties to reserve</w:t>
      </w:r>
      <w:r>
        <w:t xml:space="preserve"> the right not to apply</w:t>
      </w:r>
      <w:r w:rsidRPr="007C766C">
        <w:t xml:space="preserve"> Article 7 (disclosure of subscriber data).</w:t>
      </w:r>
    </w:p>
  </w:footnote>
  <w:footnote w:id="32">
    <w:p w14:paraId="65B3826E" w14:textId="7493D578" w:rsidR="002E26C6" w:rsidRPr="007C766C" w:rsidRDefault="002E26C6" w:rsidP="00226588">
      <w:pPr>
        <w:pStyle w:val="FootnoteText"/>
        <w:ind w:left="284" w:hanging="284"/>
      </w:pPr>
      <w:r w:rsidRPr="00C01F1D">
        <w:rPr>
          <w:rStyle w:val="FootnoteReference0"/>
        </w:rPr>
        <w:footnoteRef/>
      </w:r>
      <w:r w:rsidR="00C01F1D">
        <w:tab/>
      </w:r>
      <w:r w:rsidRPr="007C766C">
        <w:t>Allowing Parties to reserve</w:t>
      </w:r>
      <w:r>
        <w:t xml:space="preserve"> the</w:t>
      </w:r>
      <w:r w:rsidRPr="007C766C">
        <w:t xml:space="preserve"> right not to apply Article 7 (disclosure of subscriber data) to certain types of access numbers if that would be inconsistent with the fundamental principles of its domestic legal system. </w:t>
      </w:r>
    </w:p>
  </w:footnote>
  <w:footnote w:id="33">
    <w:p w14:paraId="7FFC1BBE" w14:textId="272702AB" w:rsidR="002E26C6" w:rsidRPr="007C766C" w:rsidRDefault="002E26C6" w:rsidP="00226588">
      <w:pPr>
        <w:pStyle w:val="FootnoteText"/>
        <w:ind w:left="284" w:hanging="284"/>
      </w:pPr>
      <w:r w:rsidRPr="00C01F1D">
        <w:rPr>
          <w:rStyle w:val="FootnoteReference0"/>
        </w:rPr>
        <w:footnoteRef/>
      </w:r>
      <w:r w:rsidR="00C01F1D">
        <w:tab/>
      </w:r>
      <w:r w:rsidRPr="007C766C">
        <w:t>Allowing Parties to declare that the order under Article 7, paragraph 1 (disclosure of subscriber data), must be issued by, or under the supervision of, a prosecutor, or other judicial authority, or otherwise be issued under independent supervision.</w:t>
      </w:r>
    </w:p>
  </w:footnote>
  <w:footnote w:id="34">
    <w:p w14:paraId="1E8A02F0" w14:textId="31B5CA29" w:rsidR="002E26C6" w:rsidRPr="007C766C" w:rsidRDefault="002E26C6" w:rsidP="00226588">
      <w:pPr>
        <w:pStyle w:val="FootnoteText"/>
        <w:ind w:left="284" w:hanging="284"/>
      </w:pPr>
      <w:r w:rsidRPr="00C01F1D">
        <w:rPr>
          <w:rStyle w:val="FootnoteReference0"/>
        </w:rPr>
        <w:footnoteRef/>
      </w:r>
      <w:r w:rsidR="00C01F1D">
        <w:tab/>
      </w:r>
      <w:r w:rsidRPr="007C766C">
        <w:t xml:space="preserve">Allowing Parties to notify the Secretary General of the Council of Europe that when an order is issued under Article 7, paragraph 1 (disclosure of subscriber data), to a service provider in its territory, the Party requires, in every case or in identified circumstances, simultaneous notification of the order, the supplemental information and a summary of the facts related to the investigation or proceeding. </w:t>
      </w:r>
    </w:p>
  </w:footnote>
  <w:footnote w:id="35">
    <w:p w14:paraId="4A74590E" w14:textId="327C2DB1" w:rsidR="002E26C6" w:rsidRPr="007C766C" w:rsidRDefault="002E26C6" w:rsidP="00226588">
      <w:pPr>
        <w:pStyle w:val="FootnoteText"/>
        <w:ind w:left="284" w:hanging="284"/>
      </w:pPr>
      <w:r w:rsidRPr="00C01F1D">
        <w:rPr>
          <w:rStyle w:val="FootnoteReference0"/>
        </w:rPr>
        <w:footnoteRef/>
      </w:r>
      <w:r w:rsidR="00C01F1D">
        <w:tab/>
      </w:r>
      <w:r w:rsidRPr="007C766C">
        <w:t xml:space="preserve">Allowing Parties to reserve the right not to apply Article 8 (giving effect to orders from another Party) to traffic data. </w:t>
      </w:r>
    </w:p>
  </w:footnote>
  <w:footnote w:id="36">
    <w:p w14:paraId="77CF0986" w14:textId="3D20CC12" w:rsidR="002E26C6" w:rsidRPr="00927D98" w:rsidRDefault="002E26C6" w:rsidP="00226588">
      <w:pPr>
        <w:pStyle w:val="FootnoteText"/>
        <w:ind w:left="284" w:hanging="284"/>
        <w:rPr>
          <w:lang w:val="en-IE"/>
        </w:rPr>
      </w:pPr>
      <w:r w:rsidRPr="00FF6CE5">
        <w:rPr>
          <w:rStyle w:val="FootnoteReference0"/>
        </w:rPr>
        <w:footnoteRef/>
      </w:r>
      <w:r w:rsidR="00FF6CE5">
        <w:tab/>
      </w:r>
      <w:r>
        <w:rPr>
          <w:lang w:val="en-IE"/>
        </w:rPr>
        <w:t>See paragraph 147 of the explanatory report to the Protocol that determines that ‘[a]</w:t>
      </w:r>
      <w:r w:rsidRPr="00A407D2">
        <w:rPr>
          <w:lang w:val="en-IE"/>
        </w:rPr>
        <w:t xml:space="preserve"> Party that reserves to this article</w:t>
      </w:r>
      <w:r>
        <w:rPr>
          <w:lang w:val="en-IE"/>
        </w:rPr>
        <w:t xml:space="preserve"> </w:t>
      </w:r>
      <w:r w:rsidRPr="00A407D2">
        <w:rPr>
          <w:lang w:val="en-IE"/>
        </w:rPr>
        <w:t xml:space="preserve">is not permitted to submit orders for traffic data to other Parties under </w:t>
      </w:r>
      <w:r>
        <w:rPr>
          <w:lang w:val="en-IE"/>
        </w:rPr>
        <w:t xml:space="preserve">[Article 8,] </w:t>
      </w:r>
      <w:r w:rsidRPr="00A407D2">
        <w:rPr>
          <w:lang w:val="en-IE"/>
        </w:rPr>
        <w:t>paragraph 1</w:t>
      </w:r>
      <w:r>
        <w:rPr>
          <w:lang w:val="en-IE"/>
        </w:rPr>
        <w:t xml:space="preserve">’. </w:t>
      </w:r>
    </w:p>
  </w:footnote>
  <w:footnote w:id="37">
    <w:p w14:paraId="7C4D2A10" w14:textId="66462293" w:rsidR="002E26C6" w:rsidRPr="007C766C" w:rsidRDefault="002E26C6" w:rsidP="00226588">
      <w:pPr>
        <w:pStyle w:val="FootnoteText"/>
        <w:ind w:left="284" w:hanging="284"/>
      </w:pPr>
      <w:r w:rsidRPr="00C01F1D">
        <w:rPr>
          <w:rStyle w:val="FootnoteReference0"/>
        </w:rPr>
        <w:footnoteRef/>
      </w:r>
      <w:r w:rsidR="00C01F1D">
        <w:tab/>
      </w:r>
      <w:r w:rsidRPr="007C766C">
        <w:t xml:space="preserve">Allowing Parties to declare that additional supporting information is required to give effect to orders under Article 8, paragraph 1 (giving effect to orders from another Party). </w:t>
      </w:r>
    </w:p>
  </w:footnote>
  <w:footnote w:id="38">
    <w:p w14:paraId="22C1A5BE" w14:textId="2A47DFB2" w:rsidR="002E26C6" w:rsidRPr="00384A04" w:rsidRDefault="002E26C6" w:rsidP="00226588">
      <w:pPr>
        <w:pStyle w:val="FootnoteText"/>
        <w:ind w:left="284" w:hanging="284"/>
      </w:pPr>
      <w:r w:rsidRPr="00C01F1D">
        <w:rPr>
          <w:rStyle w:val="FootnoteReference0"/>
        </w:rPr>
        <w:footnoteRef/>
      </w:r>
      <w:r w:rsidR="00C01F1D">
        <w:tab/>
      </w:r>
      <w:r>
        <w:t xml:space="preserve">Allowing Parties to declare that they will not execute requests under Article 9, paragraph 1, point a, (expedited disclosure of computer data in an emergency) seeking only the disclosure of subscriber data. </w:t>
      </w:r>
    </w:p>
  </w:footnote>
  <w:footnote w:id="39">
    <w:p w14:paraId="0CCD93F6" w14:textId="387C8FD1" w:rsidR="0067409F" w:rsidRPr="0067409F" w:rsidRDefault="0067409F" w:rsidP="0067409F">
      <w:pPr>
        <w:pStyle w:val="FootnoteText"/>
        <w:ind w:left="284" w:hanging="284"/>
        <w:rPr>
          <w:lang w:val="en-IE"/>
        </w:rPr>
      </w:pPr>
      <w:r>
        <w:rPr>
          <w:rStyle w:val="FootnoteReference0"/>
        </w:rPr>
        <w:footnoteRef/>
      </w:r>
      <w:r>
        <w:rPr>
          <w:lang w:val="en-IE"/>
        </w:rPr>
        <w:tab/>
      </w:r>
      <w:r w:rsidRPr="002E489A">
        <w:t>Allowing Parties to communicate the contact details of the authority that it designates to receive notifications under Article 7, paragraph 5, point a, and perform the actions described in Article 7, paragraph 5, points b, c and d (disclosure of subscriber data).</w:t>
      </w:r>
    </w:p>
  </w:footnote>
  <w:footnote w:id="40">
    <w:p w14:paraId="3C5EC866" w14:textId="65178ECA" w:rsidR="0067409F" w:rsidRPr="0067409F" w:rsidRDefault="0067409F" w:rsidP="0067409F">
      <w:pPr>
        <w:pStyle w:val="FootnoteText"/>
        <w:ind w:left="284" w:hanging="284"/>
        <w:rPr>
          <w:lang w:val="en-IE"/>
        </w:rPr>
      </w:pPr>
      <w:r>
        <w:rPr>
          <w:rStyle w:val="FootnoteReference0"/>
        </w:rPr>
        <w:footnoteRef/>
      </w:r>
      <w:r>
        <w:rPr>
          <w:lang w:val="en-IE"/>
        </w:rPr>
        <w:tab/>
        <w:t xml:space="preserve">Allowing Parties to communicate contact information of the authorities designated to submit and to receive orders under Article 8 (giving effect to orders from another Party). In line with requirements under </w:t>
      </w:r>
      <w:r>
        <w:t xml:space="preserve">Regulation (EU) 2017/1939, the Member States that </w:t>
      </w:r>
      <w:r w:rsidRPr="009C6C58">
        <w:t>participate in the enhanced cooperation on the establishment of the European Public Prosecutor’s Office (EPPO) shall include the EPPO</w:t>
      </w:r>
      <w:r>
        <w:t xml:space="preserve"> in the communication.</w:t>
      </w:r>
    </w:p>
  </w:footnote>
  <w:footnote w:id="41">
    <w:p w14:paraId="631DC459" w14:textId="2E41A84E" w:rsidR="002E26C6" w:rsidRDefault="00FF6CE5" w:rsidP="00226588">
      <w:pPr>
        <w:pStyle w:val="FootnoteText"/>
        <w:ind w:left="284" w:hanging="284"/>
      </w:pPr>
      <w:r w:rsidRPr="00FF6CE5">
        <w:rPr>
          <w:rStyle w:val="FootnoteReference0"/>
        </w:rPr>
        <w:footnoteRef/>
      </w:r>
      <w:r w:rsidR="00226588">
        <w:tab/>
      </w:r>
      <w:r w:rsidR="002E26C6" w:rsidRPr="005A231B">
        <w:t>Allowing Parties to communicate the authority or authorities that should, respectively, be notified in case of a security incident, or be contacted to seek prior authorisation in case of onward transfers to another State or international organisation.</w:t>
      </w:r>
      <w:r w:rsidR="002E26C6">
        <w:t xml:space="preserve"> </w:t>
      </w:r>
    </w:p>
  </w:footnote>
  <w:footnote w:id="42">
    <w:p w14:paraId="02F22CE7" w14:textId="51422B7F" w:rsidR="002E26C6" w:rsidRPr="00927D98" w:rsidRDefault="002E26C6" w:rsidP="00226588">
      <w:pPr>
        <w:pStyle w:val="FootnoteText"/>
        <w:ind w:left="284" w:hanging="284"/>
        <w:rPr>
          <w:lang w:val="en-IE"/>
        </w:rPr>
      </w:pPr>
      <w:r w:rsidRPr="00C01F1D">
        <w:rPr>
          <w:rStyle w:val="FootnoteReference0"/>
        </w:rPr>
        <w:footnoteRef/>
      </w:r>
      <w:r w:rsidR="00C01F1D">
        <w:tab/>
      </w:r>
      <w:r w:rsidR="005A52B9">
        <w:rPr>
          <w:lang w:val="en-IE"/>
        </w:rPr>
        <w:t>See above footnote 2</w:t>
      </w:r>
      <w:r w:rsidR="00DE438F">
        <w:rPr>
          <w:lang w:val="en-IE"/>
        </w:rPr>
        <w:t>4</w:t>
      </w:r>
      <w:r>
        <w:rPr>
          <w:lang w:val="en-IE"/>
        </w:rPr>
        <w:t>.</w:t>
      </w:r>
    </w:p>
  </w:footnote>
  <w:footnote w:id="43">
    <w:p w14:paraId="10C1F3B9" w14:textId="6733C784" w:rsidR="002E26C6" w:rsidRPr="007C766C" w:rsidRDefault="002E26C6" w:rsidP="00226588">
      <w:pPr>
        <w:pStyle w:val="FootnoteText"/>
        <w:ind w:left="284" w:hanging="284"/>
      </w:pPr>
      <w:r w:rsidRPr="00C01F1D">
        <w:rPr>
          <w:rStyle w:val="FootnoteReference0"/>
        </w:rPr>
        <w:footnoteRef/>
      </w:r>
      <w:r w:rsidR="00C01F1D">
        <w:tab/>
      </w:r>
      <w:r w:rsidRPr="007C766C">
        <w:t>https://www.coe.int/en/web/cybercrime/protocol-consultations</w:t>
      </w:r>
    </w:p>
  </w:footnote>
  <w:footnote w:id="44">
    <w:p w14:paraId="245D6C38" w14:textId="26AEECE2" w:rsidR="002E26C6" w:rsidRPr="00A546F3" w:rsidRDefault="002E26C6" w:rsidP="00226588">
      <w:pPr>
        <w:pStyle w:val="FootnoteText"/>
        <w:ind w:left="284" w:hanging="284"/>
      </w:pPr>
      <w:r w:rsidRPr="00C01F1D">
        <w:rPr>
          <w:rStyle w:val="FootnoteReference0"/>
        </w:rPr>
        <w:footnoteRef/>
      </w:r>
      <w:r w:rsidR="00C01F1D">
        <w:tab/>
      </w:r>
      <w:r w:rsidRPr="00A546F3">
        <w:t>SWD(2018) 118 final</w:t>
      </w:r>
      <w:r w:rsidR="00EB7884">
        <w:t>.</w:t>
      </w:r>
    </w:p>
  </w:footnote>
  <w:footnote w:id="45">
    <w:p w14:paraId="28EE4F26" w14:textId="3558938A" w:rsidR="002E26C6" w:rsidRPr="00645C60" w:rsidRDefault="002E26C6" w:rsidP="00226588">
      <w:pPr>
        <w:pStyle w:val="FootnoteText"/>
        <w:ind w:left="284" w:hanging="284"/>
        <w:rPr>
          <w:lang w:val="en-IE"/>
        </w:rPr>
      </w:pPr>
      <w:r w:rsidRPr="00C01F1D">
        <w:rPr>
          <w:rStyle w:val="FootnoteReference0"/>
        </w:rPr>
        <w:footnoteRef/>
      </w:r>
      <w:r w:rsidR="00C01F1D">
        <w:tab/>
      </w:r>
      <w:r>
        <w:t xml:space="preserve">See for instance </w:t>
      </w:r>
      <w:r w:rsidR="00EB7884">
        <w:t xml:space="preserve">the Cybercrime Convention Committee </w:t>
      </w:r>
      <w:r>
        <w:t>Guidance Note 10 of 1 March 2017 on production orders for subscriber information (Article 18 Budapest Convention).</w:t>
      </w:r>
    </w:p>
  </w:footnote>
  <w:footnote w:id="46">
    <w:p w14:paraId="595F3700" w14:textId="32F86754" w:rsidR="002E26C6" w:rsidRPr="00645C60" w:rsidRDefault="002E26C6" w:rsidP="00226588">
      <w:pPr>
        <w:pStyle w:val="FootnoteText"/>
        <w:ind w:left="284" w:hanging="284"/>
        <w:rPr>
          <w:lang w:val="en-IE"/>
        </w:rPr>
      </w:pPr>
      <w:r w:rsidRPr="00C01F1D">
        <w:rPr>
          <w:rStyle w:val="FootnoteReference0"/>
        </w:rPr>
        <w:footnoteRef/>
      </w:r>
      <w:r w:rsidR="00C01F1D">
        <w:tab/>
      </w:r>
      <w:r>
        <w:t>See for instance the Resolution of the Board of the Internet Cooperation for Assigned Names and Numbers (ICANN) of 15 May 2019 on the Recommendations on the Temporary Specification for gTLD registration data, available at www.icann.org.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4B2809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F0208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73AFF4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FE4EE3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03EDE8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AF0FCD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5348E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A44DBE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312581F"/>
    <w:multiLevelType w:val="multilevel"/>
    <w:tmpl w:val="C90A100C"/>
    <w:name w:val="Heading22"/>
    <w:styleLink w:val="Style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none"/>
      <w:lvlText w:val="%1.%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5"/>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num>
  <w:num w:numId="13">
    <w:abstractNumId w:val="23"/>
    <w:lvlOverride w:ilvl="0">
      <w:startOverride w:val="1"/>
    </w:lvlOverride>
  </w:num>
  <w:num w:numId="14">
    <w:abstractNumId w:val="20"/>
  </w:num>
  <w:num w:numId="15">
    <w:abstractNumId w:val="12"/>
  </w:num>
  <w:num w:numId="16">
    <w:abstractNumId w:val="22"/>
  </w:num>
  <w:num w:numId="17">
    <w:abstractNumId w:val="11"/>
  </w:num>
  <w:num w:numId="18">
    <w:abstractNumId w:val="13"/>
  </w:num>
  <w:num w:numId="19">
    <w:abstractNumId w:val="9"/>
  </w:num>
  <w:num w:numId="20">
    <w:abstractNumId w:val="21"/>
  </w:num>
  <w:num w:numId="21">
    <w:abstractNumId w:val="8"/>
  </w:num>
  <w:num w:numId="22">
    <w:abstractNumId w:val="16"/>
  </w:num>
  <w:num w:numId="23">
    <w:abstractNumId w:val="18"/>
  </w:num>
  <w:num w:numId="24">
    <w:abstractNumId w:val="19"/>
  </w:num>
  <w:num w:numId="25">
    <w:abstractNumId w:val="10"/>
  </w:num>
  <w:num w:numId="26">
    <w:abstractNumId w:val="17"/>
  </w:num>
  <w:num w:numId="27">
    <w:abstractNumId w:val="23"/>
  </w:num>
  <w:num w:numId="28">
    <w:abstractNumId w:val="20"/>
  </w:num>
  <w:num w:numId="29">
    <w:abstractNumId w:val="12"/>
  </w:num>
  <w:num w:numId="30">
    <w:abstractNumId w:val="22"/>
  </w:num>
  <w:num w:numId="31">
    <w:abstractNumId w:val="11"/>
  </w:num>
  <w:num w:numId="32">
    <w:abstractNumId w:val="13"/>
  </w:num>
  <w:num w:numId="33">
    <w:abstractNumId w:val="9"/>
  </w:num>
  <w:num w:numId="34">
    <w:abstractNumId w:val="21"/>
  </w:num>
  <w:num w:numId="35">
    <w:abstractNumId w:val="8"/>
  </w:num>
  <w:num w:numId="36">
    <w:abstractNumId w:val="16"/>
  </w:num>
  <w:num w:numId="37">
    <w:abstractNumId w:val="18"/>
  </w:num>
  <w:num w:numId="38">
    <w:abstractNumId w:val="19"/>
  </w:num>
  <w:num w:numId="39">
    <w:abstractNumId w:val="10"/>
  </w:num>
  <w:num w:numId="40">
    <w:abstractNumId w:val="17"/>
  </w:num>
  <w:num w:numId="41">
    <w:abstractNumId w:val="23"/>
  </w:num>
  <w:num w:numId="42">
    <w:abstractNumId w:val="21"/>
  </w:num>
  <w:num w:numId="43">
    <w:abstractNumId w:val="21"/>
  </w:num>
  <w:num w:numId="44">
    <w:abstractNumId w:val="21"/>
  </w:num>
  <w:num w:numId="45">
    <w:abstractNumId w:val="14"/>
  </w:num>
  <w:num w:numId="46">
    <w:abstractNumId w:val="9"/>
  </w:num>
  <w:num w:numId="47">
    <w:abstractNumId w:val="9"/>
  </w:num>
  <w:num w:numId="48">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1-24 07:34: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9"/>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13"/>
    <w:docVar w:name="DQCStatus" w:val="Green"/>
    <w:docVar w:name="DQCVersion" w:val="3"/>
    <w:docVar w:name="DQCWithWarnings" w:val="0"/>
    <w:docVar w:name="LW_CORRIGENDUM" w:val="&lt;UNUSED&gt;"/>
    <w:docVar w:name="LW_COVERPAGE_EXISTS" w:val="True"/>
    <w:docVar w:name="LW_COVERPAGE_GUID" w:val="8A9ED26A-F2C5-4EFF-AF8B-74FEC6C23CB0"/>
    <w:docVar w:name="LW_COVERPAGE_TYPE" w:val="1"/>
    <w:docVar w:name="LW_CROSSREFERENCE" w:val="&lt;UNUSED&gt;"/>
    <w:docVar w:name="LW_DocType" w:val="COM"/>
    <w:docVar w:name="LW_EMISSION" w:val="25.11.2021"/>
    <w:docVar w:name="LW_EMISSION_ISODATE" w:val="2021-11-2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83"/>
    <w:docVar w:name="LW_REF.II.NEW.CP_YEAR" w:val="2021"/>
    <w:docVar w:name="LW_REF.INST.NEW" w:val="COM"/>
    <w:docVar w:name="LW_REF.INST.NEW_ADOPTED" w:val="final"/>
    <w:docVar w:name="LW_REF.INST.NEW_TEXT" w:val="(2021) 7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uthorising Member States to ratify, in the interest of the European Union, the Second Additional Protocol to the Convention on Cybercrime on enhanced co-operation and disclosure of electronic evidence"/>
    <w:docVar w:name="LW_TYPE.DOC.CP" w:val="COUNCIL DECISION"/>
    <w:docVar w:name="LwApiVersions" w:val="LW4CoDe 1.23.1.0; LW 8.0, Build 20210728"/>
  </w:docVars>
  <w:rsids>
    <w:rsidRoot w:val="005C09B6"/>
    <w:rsid w:val="00005EB6"/>
    <w:rsid w:val="00017C34"/>
    <w:rsid w:val="00020419"/>
    <w:rsid w:val="00021EE7"/>
    <w:rsid w:val="000258CB"/>
    <w:rsid w:val="0002710C"/>
    <w:rsid w:val="0003161B"/>
    <w:rsid w:val="00034EEA"/>
    <w:rsid w:val="000442BC"/>
    <w:rsid w:val="000479B0"/>
    <w:rsid w:val="00051032"/>
    <w:rsid w:val="0005756A"/>
    <w:rsid w:val="0006646F"/>
    <w:rsid w:val="000665B7"/>
    <w:rsid w:val="000801B9"/>
    <w:rsid w:val="0008346D"/>
    <w:rsid w:val="0009217F"/>
    <w:rsid w:val="000A09A8"/>
    <w:rsid w:val="000A7517"/>
    <w:rsid w:val="000B3FE5"/>
    <w:rsid w:val="000B5E1F"/>
    <w:rsid w:val="000B69A7"/>
    <w:rsid w:val="000C1A3D"/>
    <w:rsid w:val="000D6573"/>
    <w:rsid w:val="000E198E"/>
    <w:rsid w:val="000E790A"/>
    <w:rsid w:val="000E7CAF"/>
    <w:rsid w:val="0010137D"/>
    <w:rsid w:val="00101FB2"/>
    <w:rsid w:val="00103DA6"/>
    <w:rsid w:val="00105DF3"/>
    <w:rsid w:val="00125727"/>
    <w:rsid w:val="00125F2D"/>
    <w:rsid w:val="0012735F"/>
    <w:rsid w:val="001334C3"/>
    <w:rsid w:val="00137707"/>
    <w:rsid w:val="00137B09"/>
    <w:rsid w:val="0014690B"/>
    <w:rsid w:val="001543A6"/>
    <w:rsid w:val="001773A4"/>
    <w:rsid w:val="00183D54"/>
    <w:rsid w:val="0019291E"/>
    <w:rsid w:val="001A4B27"/>
    <w:rsid w:val="001C2816"/>
    <w:rsid w:val="001C76D8"/>
    <w:rsid w:val="001D0517"/>
    <w:rsid w:val="001E2FBE"/>
    <w:rsid w:val="001E5B94"/>
    <w:rsid w:val="001F214C"/>
    <w:rsid w:val="001F71EE"/>
    <w:rsid w:val="00201885"/>
    <w:rsid w:val="002045A3"/>
    <w:rsid w:val="00220B97"/>
    <w:rsid w:val="00223070"/>
    <w:rsid w:val="002252C9"/>
    <w:rsid w:val="002264B0"/>
    <w:rsid w:val="00226588"/>
    <w:rsid w:val="00232E98"/>
    <w:rsid w:val="002355FB"/>
    <w:rsid w:val="002425C9"/>
    <w:rsid w:val="00253DDA"/>
    <w:rsid w:val="0025668F"/>
    <w:rsid w:val="00271CFF"/>
    <w:rsid w:val="00283E33"/>
    <w:rsid w:val="002846C2"/>
    <w:rsid w:val="00287AB0"/>
    <w:rsid w:val="0029232E"/>
    <w:rsid w:val="002A0D86"/>
    <w:rsid w:val="002A0EDF"/>
    <w:rsid w:val="002A3E15"/>
    <w:rsid w:val="002A46FF"/>
    <w:rsid w:val="002B59F2"/>
    <w:rsid w:val="002B6A2B"/>
    <w:rsid w:val="002B71E8"/>
    <w:rsid w:val="002C5E55"/>
    <w:rsid w:val="002D6BBD"/>
    <w:rsid w:val="002E26C6"/>
    <w:rsid w:val="002E489A"/>
    <w:rsid w:val="002E512D"/>
    <w:rsid w:val="002F051C"/>
    <w:rsid w:val="003102AA"/>
    <w:rsid w:val="00313366"/>
    <w:rsid w:val="003257A6"/>
    <w:rsid w:val="00326B52"/>
    <w:rsid w:val="00337E10"/>
    <w:rsid w:val="003442C3"/>
    <w:rsid w:val="00352E66"/>
    <w:rsid w:val="00355CC2"/>
    <w:rsid w:val="00365B03"/>
    <w:rsid w:val="003710F0"/>
    <w:rsid w:val="003819FB"/>
    <w:rsid w:val="00384A04"/>
    <w:rsid w:val="00391C6F"/>
    <w:rsid w:val="00392FBC"/>
    <w:rsid w:val="003937E6"/>
    <w:rsid w:val="003A1F11"/>
    <w:rsid w:val="003A2CAC"/>
    <w:rsid w:val="003A3057"/>
    <w:rsid w:val="003B6D1C"/>
    <w:rsid w:val="003C6CB7"/>
    <w:rsid w:val="003D0C11"/>
    <w:rsid w:val="003E20E3"/>
    <w:rsid w:val="003F1AB4"/>
    <w:rsid w:val="003F1F5E"/>
    <w:rsid w:val="003F3113"/>
    <w:rsid w:val="00400540"/>
    <w:rsid w:val="00400A83"/>
    <w:rsid w:val="00407484"/>
    <w:rsid w:val="00415509"/>
    <w:rsid w:val="00420F3E"/>
    <w:rsid w:val="00423019"/>
    <w:rsid w:val="004267E1"/>
    <w:rsid w:val="004315BE"/>
    <w:rsid w:val="00434AAC"/>
    <w:rsid w:val="00435D5B"/>
    <w:rsid w:val="004425A5"/>
    <w:rsid w:val="004442E1"/>
    <w:rsid w:val="004509CC"/>
    <w:rsid w:val="004518F5"/>
    <w:rsid w:val="0046345A"/>
    <w:rsid w:val="004A649F"/>
    <w:rsid w:val="004A749B"/>
    <w:rsid w:val="004B1196"/>
    <w:rsid w:val="004B18B3"/>
    <w:rsid w:val="004B2487"/>
    <w:rsid w:val="004B2CA2"/>
    <w:rsid w:val="004C3DFD"/>
    <w:rsid w:val="004C7968"/>
    <w:rsid w:val="004D3430"/>
    <w:rsid w:val="004E2C18"/>
    <w:rsid w:val="004F0F91"/>
    <w:rsid w:val="004F345A"/>
    <w:rsid w:val="00504852"/>
    <w:rsid w:val="005050FC"/>
    <w:rsid w:val="005056E9"/>
    <w:rsid w:val="0051211A"/>
    <w:rsid w:val="00527393"/>
    <w:rsid w:val="00534024"/>
    <w:rsid w:val="00534152"/>
    <w:rsid w:val="00535733"/>
    <w:rsid w:val="005358DE"/>
    <w:rsid w:val="005411B4"/>
    <w:rsid w:val="005475CD"/>
    <w:rsid w:val="00551903"/>
    <w:rsid w:val="00552BB4"/>
    <w:rsid w:val="005619FB"/>
    <w:rsid w:val="00566C24"/>
    <w:rsid w:val="005710A0"/>
    <w:rsid w:val="005713EE"/>
    <w:rsid w:val="00571C99"/>
    <w:rsid w:val="00577E6B"/>
    <w:rsid w:val="005922B5"/>
    <w:rsid w:val="00592837"/>
    <w:rsid w:val="005A231B"/>
    <w:rsid w:val="005A52B9"/>
    <w:rsid w:val="005A6CE5"/>
    <w:rsid w:val="005B54F9"/>
    <w:rsid w:val="005B57A2"/>
    <w:rsid w:val="005C09B6"/>
    <w:rsid w:val="005D0741"/>
    <w:rsid w:val="005D3D80"/>
    <w:rsid w:val="005D405D"/>
    <w:rsid w:val="005E37D6"/>
    <w:rsid w:val="005E6204"/>
    <w:rsid w:val="005F0468"/>
    <w:rsid w:val="00603601"/>
    <w:rsid w:val="006124EB"/>
    <w:rsid w:val="00613A5B"/>
    <w:rsid w:val="00620EBA"/>
    <w:rsid w:val="00624D20"/>
    <w:rsid w:val="006365F6"/>
    <w:rsid w:val="006408DB"/>
    <w:rsid w:val="00645C60"/>
    <w:rsid w:val="00647BBC"/>
    <w:rsid w:val="006510F7"/>
    <w:rsid w:val="00654E1E"/>
    <w:rsid w:val="00657B1D"/>
    <w:rsid w:val="0066072E"/>
    <w:rsid w:val="0067409F"/>
    <w:rsid w:val="006847AA"/>
    <w:rsid w:val="00691396"/>
    <w:rsid w:val="006A0B8D"/>
    <w:rsid w:val="006A757D"/>
    <w:rsid w:val="006B0E02"/>
    <w:rsid w:val="006B4D9A"/>
    <w:rsid w:val="006B6F6B"/>
    <w:rsid w:val="006C11BE"/>
    <w:rsid w:val="006C70AC"/>
    <w:rsid w:val="006D0C44"/>
    <w:rsid w:val="006D2C9E"/>
    <w:rsid w:val="006D6E3E"/>
    <w:rsid w:val="006E3F95"/>
    <w:rsid w:val="006E7E1A"/>
    <w:rsid w:val="006F049E"/>
    <w:rsid w:val="006F5CF4"/>
    <w:rsid w:val="0070128F"/>
    <w:rsid w:val="00706011"/>
    <w:rsid w:val="00724FB3"/>
    <w:rsid w:val="00725AF4"/>
    <w:rsid w:val="00727CAE"/>
    <w:rsid w:val="00737669"/>
    <w:rsid w:val="0074092C"/>
    <w:rsid w:val="00753AA0"/>
    <w:rsid w:val="00781980"/>
    <w:rsid w:val="00783089"/>
    <w:rsid w:val="007A375D"/>
    <w:rsid w:val="007B1471"/>
    <w:rsid w:val="007B36FD"/>
    <w:rsid w:val="007B496E"/>
    <w:rsid w:val="007C02C6"/>
    <w:rsid w:val="007C06F6"/>
    <w:rsid w:val="007C0FF8"/>
    <w:rsid w:val="007C42A7"/>
    <w:rsid w:val="007C766C"/>
    <w:rsid w:val="007D0877"/>
    <w:rsid w:val="007E34E6"/>
    <w:rsid w:val="007F2BCC"/>
    <w:rsid w:val="007F4A80"/>
    <w:rsid w:val="007F603A"/>
    <w:rsid w:val="007F757E"/>
    <w:rsid w:val="008120E9"/>
    <w:rsid w:val="00840E15"/>
    <w:rsid w:val="00841464"/>
    <w:rsid w:val="008531C5"/>
    <w:rsid w:val="00853833"/>
    <w:rsid w:val="008549DF"/>
    <w:rsid w:val="00855D36"/>
    <w:rsid w:val="00883242"/>
    <w:rsid w:val="008868D0"/>
    <w:rsid w:val="00890BA1"/>
    <w:rsid w:val="008B40DF"/>
    <w:rsid w:val="008B5D1F"/>
    <w:rsid w:val="008C0A35"/>
    <w:rsid w:val="008C4BCF"/>
    <w:rsid w:val="008D5D6A"/>
    <w:rsid w:val="008E22A3"/>
    <w:rsid w:val="008E61FC"/>
    <w:rsid w:val="008E6CD1"/>
    <w:rsid w:val="008F396D"/>
    <w:rsid w:val="00904456"/>
    <w:rsid w:val="00911013"/>
    <w:rsid w:val="00925BA7"/>
    <w:rsid w:val="009274E4"/>
    <w:rsid w:val="00927D98"/>
    <w:rsid w:val="0094137B"/>
    <w:rsid w:val="00950671"/>
    <w:rsid w:val="009631C9"/>
    <w:rsid w:val="00965F8A"/>
    <w:rsid w:val="00977966"/>
    <w:rsid w:val="00986B33"/>
    <w:rsid w:val="00987AD5"/>
    <w:rsid w:val="009A319A"/>
    <w:rsid w:val="009B4E58"/>
    <w:rsid w:val="009B7138"/>
    <w:rsid w:val="009C11CE"/>
    <w:rsid w:val="009C6702"/>
    <w:rsid w:val="009D4362"/>
    <w:rsid w:val="009F54CE"/>
    <w:rsid w:val="00A12521"/>
    <w:rsid w:val="00A13815"/>
    <w:rsid w:val="00A15E62"/>
    <w:rsid w:val="00A22CFB"/>
    <w:rsid w:val="00A25574"/>
    <w:rsid w:val="00A3179E"/>
    <w:rsid w:val="00A407D2"/>
    <w:rsid w:val="00A53B95"/>
    <w:rsid w:val="00A546F3"/>
    <w:rsid w:val="00A55679"/>
    <w:rsid w:val="00A558DB"/>
    <w:rsid w:val="00A6071D"/>
    <w:rsid w:val="00A65467"/>
    <w:rsid w:val="00A70439"/>
    <w:rsid w:val="00A77C01"/>
    <w:rsid w:val="00A8352F"/>
    <w:rsid w:val="00A835B8"/>
    <w:rsid w:val="00A8406F"/>
    <w:rsid w:val="00A9660A"/>
    <w:rsid w:val="00AB245E"/>
    <w:rsid w:val="00AB6E88"/>
    <w:rsid w:val="00AD6CAF"/>
    <w:rsid w:val="00AE1EDE"/>
    <w:rsid w:val="00AE39E5"/>
    <w:rsid w:val="00AE526B"/>
    <w:rsid w:val="00AF0058"/>
    <w:rsid w:val="00B13FDC"/>
    <w:rsid w:val="00B53E71"/>
    <w:rsid w:val="00B5592C"/>
    <w:rsid w:val="00B62841"/>
    <w:rsid w:val="00B6373E"/>
    <w:rsid w:val="00B72209"/>
    <w:rsid w:val="00B92892"/>
    <w:rsid w:val="00BA006B"/>
    <w:rsid w:val="00BA052D"/>
    <w:rsid w:val="00BB071A"/>
    <w:rsid w:val="00BB63CE"/>
    <w:rsid w:val="00BC3834"/>
    <w:rsid w:val="00BC3FD4"/>
    <w:rsid w:val="00BD30A0"/>
    <w:rsid w:val="00BE246D"/>
    <w:rsid w:val="00BF17AA"/>
    <w:rsid w:val="00BF2F85"/>
    <w:rsid w:val="00BF4D48"/>
    <w:rsid w:val="00C01F1D"/>
    <w:rsid w:val="00C03595"/>
    <w:rsid w:val="00C047C9"/>
    <w:rsid w:val="00C1434B"/>
    <w:rsid w:val="00C24556"/>
    <w:rsid w:val="00C24E69"/>
    <w:rsid w:val="00C33BDF"/>
    <w:rsid w:val="00C442B3"/>
    <w:rsid w:val="00C4614C"/>
    <w:rsid w:val="00C714F6"/>
    <w:rsid w:val="00C92845"/>
    <w:rsid w:val="00CA533D"/>
    <w:rsid w:val="00CB17AF"/>
    <w:rsid w:val="00CB55C0"/>
    <w:rsid w:val="00CB780B"/>
    <w:rsid w:val="00CE7B8F"/>
    <w:rsid w:val="00D006E3"/>
    <w:rsid w:val="00D01535"/>
    <w:rsid w:val="00D02EC1"/>
    <w:rsid w:val="00D0511C"/>
    <w:rsid w:val="00D10175"/>
    <w:rsid w:val="00D1281A"/>
    <w:rsid w:val="00D170BB"/>
    <w:rsid w:val="00D17D7E"/>
    <w:rsid w:val="00D22AFB"/>
    <w:rsid w:val="00D27DDC"/>
    <w:rsid w:val="00D31BF3"/>
    <w:rsid w:val="00D335E6"/>
    <w:rsid w:val="00D37576"/>
    <w:rsid w:val="00D465B4"/>
    <w:rsid w:val="00D473BD"/>
    <w:rsid w:val="00D52FFF"/>
    <w:rsid w:val="00D56B1A"/>
    <w:rsid w:val="00D57E8F"/>
    <w:rsid w:val="00D601B3"/>
    <w:rsid w:val="00D60A52"/>
    <w:rsid w:val="00D956E3"/>
    <w:rsid w:val="00DA019F"/>
    <w:rsid w:val="00DE438F"/>
    <w:rsid w:val="00DF43F7"/>
    <w:rsid w:val="00E00927"/>
    <w:rsid w:val="00E1532A"/>
    <w:rsid w:val="00E22D3A"/>
    <w:rsid w:val="00E366E6"/>
    <w:rsid w:val="00E41448"/>
    <w:rsid w:val="00E424A8"/>
    <w:rsid w:val="00E44115"/>
    <w:rsid w:val="00E46C6F"/>
    <w:rsid w:val="00E50B60"/>
    <w:rsid w:val="00E577E3"/>
    <w:rsid w:val="00E63C6D"/>
    <w:rsid w:val="00E6640D"/>
    <w:rsid w:val="00E67167"/>
    <w:rsid w:val="00E7425E"/>
    <w:rsid w:val="00E7547F"/>
    <w:rsid w:val="00E82F27"/>
    <w:rsid w:val="00EA1935"/>
    <w:rsid w:val="00EB18FE"/>
    <w:rsid w:val="00EB543F"/>
    <w:rsid w:val="00EB67AD"/>
    <w:rsid w:val="00EB7884"/>
    <w:rsid w:val="00EC0D19"/>
    <w:rsid w:val="00EC589E"/>
    <w:rsid w:val="00EC6C9D"/>
    <w:rsid w:val="00EC7843"/>
    <w:rsid w:val="00EC7C9C"/>
    <w:rsid w:val="00ED1D8F"/>
    <w:rsid w:val="00F00128"/>
    <w:rsid w:val="00F0357D"/>
    <w:rsid w:val="00F04B3D"/>
    <w:rsid w:val="00F1137F"/>
    <w:rsid w:val="00F148A5"/>
    <w:rsid w:val="00F156E1"/>
    <w:rsid w:val="00F1653B"/>
    <w:rsid w:val="00F20062"/>
    <w:rsid w:val="00F24BC5"/>
    <w:rsid w:val="00F379D0"/>
    <w:rsid w:val="00F440F3"/>
    <w:rsid w:val="00F44343"/>
    <w:rsid w:val="00F556F7"/>
    <w:rsid w:val="00F55D3F"/>
    <w:rsid w:val="00F605D5"/>
    <w:rsid w:val="00F76F83"/>
    <w:rsid w:val="00F8077D"/>
    <w:rsid w:val="00F824F2"/>
    <w:rsid w:val="00F903F3"/>
    <w:rsid w:val="00F94BB4"/>
    <w:rsid w:val="00FB2C04"/>
    <w:rsid w:val="00FB348B"/>
    <w:rsid w:val="00FB6736"/>
    <w:rsid w:val="00FE1BD3"/>
    <w:rsid w:val="00FE59AB"/>
    <w:rsid w:val="00FE730A"/>
    <w:rsid w:val="00FF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5B3F44A"/>
  <w15:docId w15:val="{152B09DD-F021-485A-9A85-C8382E19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4"/>
      </w:numPr>
      <w:outlineLvl w:val="3"/>
    </w:pPr>
    <w:rPr>
      <w:rFonts w:eastAsiaTheme="majorEastAsia"/>
      <w:bCs/>
      <w:iCs/>
    </w:rPr>
  </w:style>
  <w:style w:type="paragraph" w:styleId="Heading5">
    <w:name w:val="heading 5"/>
    <w:basedOn w:val="Normal"/>
    <w:next w:val="Text2"/>
    <w:link w:val="Heading5Char"/>
    <w:uiPriority w:val="9"/>
    <w:semiHidden/>
    <w:unhideWhenUsed/>
    <w:qFormat/>
    <w:rsid w:val="00EC7C9C"/>
    <w:pPr>
      <w:keepNext/>
      <w:numPr>
        <w:ilvl w:val="4"/>
        <w:numId w:val="44"/>
      </w:numPr>
      <w:outlineLvl w:val="4"/>
    </w:pPr>
    <w:rPr>
      <w:rFonts w:eastAsiaTheme="majorEastAsia"/>
    </w:rPr>
  </w:style>
  <w:style w:type="paragraph" w:styleId="Heading6">
    <w:name w:val="heading 6"/>
    <w:basedOn w:val="Normal"/>
    <w:next w:val="Text2"/>
    <w:link w:val="Heading6Char"/>
    <w:uiPriority w:val="9"/>
    <w:semiHidden/>
    <w:unhideWhenUsed/>
    <w:qFormat/>
    <w:rsid w:val="00EC7C9C"/>
    <w:pPr>
      <w:keepNext/>
      <w:numPr>
        <w:ilvl w:val="5"/>
        <w:numId w:val="44"/>
      </w:numPr>
      <w:outlineLvl w:val="5"/>
    </w:pPr>
    <w:rPr>
      <w:rFonts w:eastAsiaTheme="majorEastAsia"/>
      <w:iCs/>
    </w:rPr>
  </w:style>
  <w:style w:type="paragraph" w:styleId="Heading7">
    <w:name w:val="heading 7"/>
    <w:basedOn w:val="Normal"/>
    <w:next w:val="Text2"/>
    <w:link w:val="Heading7Char"/>
    <w:uiPriority w:val="9"/>
    <w:semiHidden/>
    <w:unhideWhenUsed/>
    <w:qFormat/>
    <w:rsid w:val="00EC7C9C"/>
    <w:pPr>
      <w:keepNext/>
      <w:numPr>
        <w:ilvl w:val="6"/>
        <w:numId w:val="4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0B5E1F"/>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rsid w:val="000B5E1F"/>
  </w:style>
  <w:style w:type="character" w:styleId="Hyperlink">
    <w:name w:val="Hyperlink"/>
    <w:basedOn w:val="DefaultParagraphFont"/>
    <w:uiPriority w:val="99"/>
    <w:unhideWhenUsed/>
    <w:rsid w:val="000B5E1F"/>
    <w:rPr>
      <w:color w:val="0000FF"/>
      <w:u w:val="single"/>
    </w:rPr>
  </w:style>
  <w:style w:type="paragraph" w:customStyle="1" w:styleId="li">
    <w:name w:val="li"/>
    <w:basedOn w:val="Normal"/>
    <w:rsid w:val="004425A5"/>
    <w:pPr>
      <w:spacing w:before="100" w:beforeAutospacing="1" w:after="100" w:afterAutospacing="1"/>
      <w:jc w:val="left"/>
    </w:pPr>
    <w:rPr>
      <w:rFonts w:eastAsia="Times New Roman"/>
      <w:szCs w:val="24"/>
      <w:lang w:eastAsia="en-GB"/>
    </w:rPr>
  </w:style>
  <w:style w:type="character" w:customStyle="1" w:styleId="num">
    <w:name w:val="num"/>
    <w:basedOn w:val="DefaultParagraphFont"/>
    <w:rsid w:val="004425A5"/>
  </w:style>
  <w:style w:type="paragraph" w:styleId="ListBullet">
    <w:name w:val="List Bullet"/>
    <w:basedOn w:val="Normal"/>
    <w:uiPriority w:val="99"/>
    <w:semiHidden/>
    <w:unhideWhenUsed/>
    <w:rsid w:val="009B4E58"/>
    <w:pPr>
      <w:numPr>
        <w:numId w:val="1"/>
      </w:numPr>
      <w:contextualSpacing/>
    </w:pPr>
  </w:style>
  <w:style w:type="paragraph" w:styleId="ListBullet2">
    <w:name w:val="List Bullet 2"/>
    <w:basedOn w:val="Normal"/>
    <w:uiPriority w:val="99"/>
    <w:semiHidden/>
    <w:unhideWhenUsed/>
    <w:rsid w:val="009B4E58"/>
    <w:pPr>
      <w:numPr>
        <w:numId w:val="2"/>
      </w:numPr>
      <w:contextualSpacing/>
    </w:pPr>
  </w:style>
  <w:style w:type="paragraph" w:styleId="ListBullet3">
    <w:name w:val="List Bullet 3"/>
    <w:basedOn w:val="Normal"/>
    <w:uiPriority w:val="99"/>
    <w:semiHidden/>
    <w:unhideWhenUsed/>
    <w:rsid w:val="009B4E58"/>
    <w:pPr>
      <w:numPr>
        <w:numId w:val="3"/>
      </w:numPr>
      <w:contextualSpacing/>
    </w:pPr>
  </w:style>
  <w:style w:type="paragraph" w:styleId="ListBullet4">
    <w:name w:val="List Bullet 4"/>
    <w:basedOn w:val="Normal"/>
    <w:uiPriority w:val="99"/>
    <w:semiHidden/>
    <w:unhideWhenUsed/>
    <w:rsid w:val="009B4E58"/>
    <w:pPr>
      <w:numPr>
        <w:numId w:val="4"/>
      </w:numPr>
      <w:contextualSpacing/>
    </w:pPr>
  </w:style>
  <w:style w:type="paragraph" w:styleId="ListParagraph">
    <w:name w:val="List Paragraph"/>
    <w:basedOn w:val="Normal"/>
    <w:uiPriority w:val="34"/>
    <w:qFormat/>
    <w:rsid w:val="00BB071A"/>
    <w:pPr>
      <w:ind w:left="720"/>
      <w:contextualSpacing/>
    </w:pPr>
  </w:style>
  <w:style w:type="paragraph" w:customStyle="1" w:styleId="Normal2">
    <w:name w:val="Normal2"/>
    <w:basedOn w:val="Normal"/>
    <w:rsid w:val="005922B5"/>
    <w:pPr>
      <w:spacing w:before="100" w:beforeAutospacing="1" w:after="100" w:afterAutospacing="1"/>
      <w:jc w:val="left"/>
    </w:pPr>
    <w:rPr>
      <w:rFonts w:eastAsia="Times New Roman"/>
      <w:szCs w:val="24"/>
      <w:lang w:eastAsia="en-GB"/>
    </w:rPr>
  </w:style>
  <w:style w:type="paragraph" w:styleId="NoSpacing">
    <w:name w:val="No Spacing"/>
    <w:uiPriority w:val="1"/>
    <w:qFormat/>
    <w:rsid w:val="00E46C6F"/>
    <w:pPr>
      <w:spacing w:after="0" w:line="240" w:lineRule="auto"/>
      <w:jc w:val="both"/>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sid w:val="00BA052D"/>
    <w:rPr>
      <w:sz w:val="16"/>
      <w:szCs w:val="16"/>
    </w:rPr>
  </w:style>
  <w:style w:type="paragraph" w:styleId="CommentText">
    <w:name w:val="annotation text"/>
    <w:basedOn w:val="Normal"/>
    <w:link w:val="CommentTextChar"/>
    <w:uiPriority w:val="99"/>
    <w:unhideWhenUsed/>
    <w:rsid w:val="00BA052D"/>
    <w:rPr>
      <w:sz w:val="20"/>
      <w:szCs w:val="20"/>
    </w:rPr>
  </w:style>
  <w:style w:type="character" w:customStyle="1" w:styleId="CommentTextChar">
    <w:name w:val="Comment Text Char"/>
    <w:basedOn w:val="DefaultParagraphFont"/>
    <w:link w:val="CommentText"/>
    <w:uiPriority w:val="99"/>
    <w:rsid w:val="00BA052D"/>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052D"/>
    <w:rPr>
      <w:b/>
      <w:bCs/>
    </w:rPr>
  </w:style>
  <w:style w:type="character" w:customStyle="1" w:styleId="CommentSubjectChar">
    <w:name w:val="Comment Subject Char"/>
    <w:basedOn w:val="CommentTextChar"/>
    <w:link w:val="CommentSubject"/>
    <w:uiPriority w:val="99"/>
    <w:semiHidden/>
    <w:rsid w:val="00BA052D"/>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A052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52D"/>
    <w:rPr>
      <w:rFonts w:ascii="Segoe UI" w:hAnsi="Segoe UI" w:cs="Segoe UI"/>
      <w:sz w:val="18"/>
      <w:szCs w:val="18"/>
      <w:lang w:val="en-GB"/>
    </w:rPr>
  </w:style>
  <w:style w:type="paragraph" w:styleId="Revision">
    <w:name w:val="Revision"/>
    <w:hidden/>
    <w:uiPriority w:val="99"/>
    <w:semiHidden/>
    <w:rsid w:val="00BA052D"/>
    <w:pPr>
      <w:spacing w:after="0" w:line="240" w:lineRule="auto"/>
    </w:pPr>
    <w:rPr>
      <w:rFonts w:ascii="Times New Roman" w:hAnsi="Times New Roman" w:cs="Times New Roman"/>
      <w:sz w:val="24"/>
      <w:lang w:val="en-GB"/>
    </w:rPr>
  </w:style>
  <w:style w:type="numbering" w:customStyle="1" w:styleId="Style1">
    <w:name w:val="Style1"/>
    <w:uiPriority w:val="99"/>
    <w:rsid w:val="00FE59AB"/>
    <w:pPr>
      <w:numPr>
        <w:numId w:val="5"/>
      </w:numPr>
    </w:pPr>
  </w:style>
  <w:style w:type="character" w:customStyle="1" w:styleId="highlight">
    <w:name w:val="highlight"/>
    <w:basedOn w:val="DefaultParagraphFont"/>
    <w:rsid w:val="00125727"/>
  </w:style>
  <w:style w:type="character" w:customStyle="1" w:styleId="italic">
    <w:name w:val="italic"/>
    <w:basedOn w:val="DefaultParagraphFont"/>
    <w:rsid w:val="00125727"/>
  </w:style>
  <w:style w:type="paragraph" w:styleId="Caption">
    <w:name w:val="caption"/>
    <w:basedOn w:val="Normal"/>
    <w:next w:val="Normal"/>
    <w:uiPriority w:val="35"/>
    <w:semiHidden/>
    <w:unhideWhenUsed/>
    <w:qFormat/>
    <w:rsid w:val="00183D54"/>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83D54"/>
    <w:pPr>
      <w:spacing w:after="0"/>
    </w:pPr>
  </w:style>
  <w:style w:type="paragraph" w:styleId="ListNumber">
    <w:name w:val="List Number"/>
    <w:basedOn w:val="Normal"/>
    <w:uiPriority w:val="99"/>
    <w:semiHidden/>
    <w:unhideWhenUsed/>
    <w:rsid w:val="00183D54"/>
    <w:pPr>
      <w:numPr>
        <w:numId w:val="7"/>
      </w:numPr>
      <w:contextualSpacing/>
    </w:pPr>
  </w:style>
  <w:style w:type="paragraph" w:styleId="ListNumber2">
    <w:name w:val="List Number 2"/>
    <w:basedOn w:val="Normal"/>
    <w:uiPriority w:val="99"/>
    <w:semiHidden/>
    <w:unhideWhenUsed/>
    <w:rsid w:val="00183D54"/>
    <w:pPr>
      <w:numPr>
        <w:numId w:val="8"/>
      </w:numPr>
      <w:contextualSpacing/>
    </w:pPr>
  </w:style>
  <w:style w:type="paragraph" w:styleId="ListNumber3">
    <w:name w:val="List Number 3"/>
    <w:basedOn w:val="Normal"/>
    <w:uiPriority w:val="99"/>
    <w:semiHidden/>
    <w:unhideWhenUsed/>
    <w:rsid w:val="00183D54"/>
    <w:pPr>
      <w:numPr>
        <w:numId w:val="9"/>
      </w:numPr>
      <w:contextualSpacing/>
    </w:pPr>
  </w:style>
  <w:style w:type="paragraph" w:styleId="ListNumber4">
    <w:name w:val="List Number 4"/>
    <w:basedOn w:val="Normal"/>
    <w:uiPriority w:val="99"/>
    <w:semiHidden/>
    <w:unhideWhenUsed/>
    <w:rsid w:val="00183D54"/>
    <w:pPr>
      <w:numPr>
        <w:numId w:val="10"/>
      </w:numPr>
      <w:contextualSpacing/>
    </w:pPr>
  </w:style>
  <w:style w:type="character" w:styleId="FollowedHyperlink">
    <w:name w:val="FollowedHyperlink"/>
    <w:basedOn w:val="DefaultParagraphFont"/>
    <w:uiPriority w:val="99"/>
    <w:semiHidden/>
    <w:unhideWhenUsed/>
    <w:rsid w:val="002E26C6"/>
    <w:rPr>
      <w:color w:val="800080" w:themeColor="followedHyperlink"/>
      <w:u w:val="single"/>
    </w:rPr>
  </w:style>
  <w:style w:type="character" w:styleId="FootnoteReference0">
    <w:name w:val="footnote reference"/>
    <w:basedOn w:val="DefaultParagraphFont"/>
    <w:uiPriority w:val="99"/>
    <w:semiHidden/>
    <w:unhideWhenUsed/>
    <w:rsid w:val="009B7138"/>
    <w:rPr>
      <w:shd w:val="clear" w:color="auto" w:fill="auto"/>
      <w:vertAlign w:val="superscript"/>
    </w:rPr>
  </w:style>
  <w:style w:type="paragraph" w:styleId="Header">
    <w:name w:val="header"/>
    <w:basedOn w:val="Normal"/>
    <w:link w:val="HeaderChar"/>
    <w:uiPriority w:val="99"/>
    <w:unhideWhenUsed/>
    <w:rsid w:val="00C24E69"/>
    <w:pPr>
      <w:tabs>
        <w:tab w:val="center" w:pos="4535"/>
        <w:tab w:val="right" w:pos="9071"/>
      </w:tabs>
      <w:spacing w:before="0"/>
    </w:pPr>
  </w:style>
  <w:style w:type="character" w:customStyle="1" w:styleId="HeaderChar">
    <w:name w:val="Header Char"/>
    <w:basedOn w:val="DefaultParagraphFont"/>
    <w:link w:val="Header"/>
    <w:uiPriority w:val="99"/>
    <w:rsid w:val="00C24E69"/>
    <w:rPr>
      <w:rFonts w:ascii="Times New Roman" w:hAnsi="Times New Roman" w:cs="Times New Roman"/>
      <w:sz w:val="24"/>
      <w:lang w:val="en-GB"/>
    </w:rPr>
  </w:style>
  <w:style w:type="paragraph" w:styleId="Footer">
    <w:name w:val="footer"/>
    <w:basedOn w:val="Normal"/>
    <w:link w:val="FooterChar"/>
    <w:uiPriority w:val="99"/>
    <w:unhideWhenUsed/>
    <w:rsid w:val="00C24E6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24E69"/>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C24E69"/>
    <w:pPr>
      <w:tabs>
        <w:tab w:val="center" w:pos="7285"/>
        <w:tab w:val="right" w:pos="14003"/>
      </w:tabs>
      <w:spacing w:before="0"/>
    </w:pPr>
  </w:style>
  <w:style w:type="paragraph" w:customStyle="1" w:styleId="FooterLandscape">
    <w:name w:val="FooterLandscape"/>
    <w:basedOn w:val="Normal"/>
    <w:rsid w:val="00C24E69"/>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C24E6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24E69"/>
    <w:pPr>
      <w:spacing w:before="0"/>
      <w:jc w:val="right"/>
    </w:pPr>
    <w:rPr>
      <w:sz w:val="28"/>
    </w:rPr>
  </w:style>
  <w:style w:type="paragraph" w:customStyle="1" w:styleId="FooterSensitivity">
    <w:name w:val="Footer Sensitivity"/>
    <w:basedOn w:val="Normal"/>
    <w:rsid w:val="00C24E6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8"/>
      </w:numPr>
    </w:pPr>
  </w:style>
  <w:style w:type="paragraph" w:customStyle="1" w:styleId="Tiret1">
    <w:name w:val="Tiret 1"/>
    <w:basedOn w:val="Point1"/>
    <w:rsid w:val="009B7138"/>
    <w:pPr>
      <w:numPr>
        <w:numId w:val="29"/>
      </w:numPr>
    </w:pPr>
  </w:style>
  <w:style w:type="paragraph" w:customStyle="1" w:styleId="Tiret2">
    <w:name w:val="Tiret 2"/>
    <w:basedOn w:val="Point2"/>
    <w:rsid w:val="009B7138"/>
    <w:pPr>
      <w:numPr>
        <w:numId w:val="30"/>
      </w:numPr>
    </w:pPr>
  </w:style>
  <w:style w:type="paragraph" w:customStyle="1" w:styleId="Tiret3">
    <w:name w:val="Tiret 3"/>
    <w:basedOn w:val="Point3"/>
    <w:rsid w:val="009B7138"/>
    <w:pPr>
      <w:numPr>
        <w:numId w:val="31"/>
      </w:numPr>
    </w:pPr>
  </w:style>
  <w:style w:type="paragraph" w:customStyle="1" w:styleId="Tiret4">
    <w:name w:val="Tiret 4"/>
    <w:basedOn w:val="Point4"/>
    <w:rsid w:val="009B7138"/>
    <w:pPr>
      <w:numPr>
        <w:numId w:val="32"/>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8"/>
      </w:numPr>
    </w:pPr>
  </w:style>
  <w:style w:type="paragraph" w:customStyle="1" w:styleId="NumPar2">
    <w:name w:val="NumPar 2"/>
    <w:basedOn w:val="Normal"/>
    <w:next w:val="Text1"/>
    <w:rsid w:val="009B7138"/>
    <w:pPr>
      <w:numPr>
        <w:ilvl w:val="1"/>
        <w:numId w:val="48"/>
      </w:numPr>
    </w:pPr>
  </w:style>
  <w:style w:type="paragraph" w:customStyle="1" w:styleId="NumPar3">
    <w:name w:val="NumPar 3"/>
    <w:basedOn w:val="Normal"/>
    <w:next w:val="Text1"/>
    <w:rsid w:val="009B7138"/>
    <w:pPr>
      <w:numPr>
        <w:ilvl w:val="2"/>
        <w:numId w:val="48"/>
      </w:numPr>
    </w:pPr>
  </w:style>
  <w:style w:type="paragraph" w:customStyle="1" w:styleId="NumPar4">
    <w:name w:val="NumPar 4"/>
    <w:basedOn w:val="Normal"/>
    <w:next w:val="Text1"/>
    <w:rsid w:val="009B7138"/>
    <w:pPr>
      <w:numPr>
        <w:ilvl w:val="3"/>
        <w:numId w:val="48"/>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5"/>
      </w:numPr>
    </w:pPr>
  </w:style>
  <w:style w:type="paragraph" w:customStyle="1" w:styleId="Point1number">
    <w:name w:val="Point 1 (number)"/>
    <w:basedOn w:val="Normal"/>
    <w:rsid w:val="009B7138"/>
    <w:pPr>
      <w:numPr>
        <w:ilvl w:val="2"/>
        <w:numId w:val="35"/>
      </w:numPr>
    </w:pPr>
  </w:style>
  <w:style w:type="paragraph" w:customStyle="1" w:styleId="Point2number">
    <w:name w:val="Point 2 (number)"/>
    <w:basedOn w:val="Normal"/>
    <w:rsid w:val="009B7138"/>
    <w:pPr>
      <w:numPr>
        <w:ilvl w:val="4"/>
        <w:numId w:val="35"/>
      </w:numPr>
    </w:pPr>
  </w:style>
  <w:style w:type="paragraph" w:customStyle="1" w:styleId="Point3number">
    <w:name w:val="Point 3 (number)"/>
    <w:basedOn w:val="Normal"/>
    <w:rsid w:val="009B7138"/>
    <w:pPr>
      <w:numPr>
        <w:ilvl w:val="6"/>
        <w:numId w:val="35"/>
      </w:numPr>
    </w:pPr>
  </w:style>
  <w:style w:type="paragraph" w:customStyle="1" w:styleId="Point0letter">
    <w:name w:val="Point 0 (letter)"/>
    <w:basedOn w:val="Normal"/>
    <w:rsid w:val="009B7138"/>
    <w:pPr>
      <w:numPr>
        <w:ilvl w:val="1"/>
        <w:numId w:val="35"/>
      </w:numPr>
    </w:pPr>
  </w:style>
  <w:style w:type="paragraph" w:customStyle="1" w:styleId="Point1letter">
    <w:name w:val="Point 1 (letter)"/>
    <w:basedOn w:val="Normal"/>
    <w:rsid w:val="009B7138"/>
    <w:pPr>
      <w:numPr>
        <w:ilvl w:val="3"/>
        <w:numId w:val="35"/>
      </w:numPr>
    </w:pPr>
  </w:style>
  <w:style w:type="paragraph" w:customStyle="1" w:styleId="Point2letter">
    <w:name w:val="Point 2 (letter)"/>
    <w:basedOn w:val="Normal"/>
    <w:rsid w:val="009B7138"/>
    <w:pPr>
      <w:numPr>
        <w:ilvl w:val="5"/>
        <w:numId w:val="35"/>
      </w:numPr>
    </w:pPr>
  </w:style>
  <w:style w:type="paragraph" w:customStyle="1" w:styleId="Point3letter">
    <w:name w:val="Point 3 (letter)"/>
    <w:basedOn w:val="Normal"/>
    <w:rsid w:val="009B7138"/>
    <w:pPr>
      <w:numPr>
        <w:ilvl w:val="7"/>
        <w:numId w:val="35"/>
      </w:numPr>
    </w:pPr>
  </w:style>
  <w:style w:type="paragraph" w:customStyle="1" w:styleId="Point4letter">
    <w:name w:val="Point 4 (letter)"/>
    <w:basedOn w:val="Normal"/>
    <w:rsid w:val="009B7138"/>
    <w:pPr>
      <w:numPr>
        <w:ilvl w:val="8"/>
        <w:numId w:val="35"/>
      </w:numPr>
    </w:pPr>
  </w:style>
  <w:style w:type="paragraph" w:customStyle="1" w:styleId="Bullet0">
    <w:name w:val="Bullet 0"/>
    <w:basedOn w:val="Normal"/>
    <w:rsid w:val="009B7138"/>
    <w:pPr>
      <w:numPr>
        <w:numId w:val="36"/>
      </w:numPr>
    </w:pPr>
  </w:style>
  <w:style w:type="paragraph" w:customStyle="1" w:styleId="Bullet1">
    <w:name w:val="Bullet 1"/>
    <w:basedOn w:val="Normal"/>
    <w:rsid w:val="009B7138"/>
    <w:pPr>
      <w:numPr>
        <w:numId w:val="37"/>
      </w:numPr>
    </w:pPr>
  </w:style>
  <w:style w:type="paragraph" w:customStyle="1" w:styleId="Bullet2">
    <w:name w:val="Bullet 2"/>
    <w:basedOn w:val="Normal"/>
    <w:rsid w:val="009B7138"/>
    <w:pPr>
      <w:numPr>
        <w:numId w:val="38"/>
      </w:numPr>
    </w:pPr>
  </w:style>
  <w:style w:type="paragraph" w:customStyle="1" w:styleId="Bullet3">
    <w:name w:val="Bullet 3"/>
    <w:basedOn w:val="Normal"/>
    <w:rsid w:val="009B7138"/>
    <w:pPr>
      <w:numPr>
        <w:numId w:val="39"/>
      </w:numPr>
    </w:pPr>
  </w:style>
  <w:style w:type="paragraph" w:customStyle="1" w:styleId="Bullet4">
    <w:name w:val="Bullet 4"/>
    <w:basedOn w:val="Normal"/>
    <w:rsid w:val="009B7138"/>
    <w:pPr>
      <w:numPr>
        <w:numId w:val="40"/>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1"/>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EC7C9C"/>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EC7C9C"/>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EC7C9C"/>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EC7C9C"/>
    <w:pPr>
      <w:keepNext/>
      <w:tabs>
        <w:tab w:val="left" w:pos="1417"/>
      </w:tabs>
      <w:ind w:left="1417" w:hanging="1417"/>
      <w:outlineLvl w:val="4"/>
    </w:pPr>
  </w:style>
  <w:style w:type="paragraph" w:customStyle="1" w:styleId="ManualHeading6">
    <w:name w:val="Manual Heading 6"/>
    <w:basedOn w:val="Normal"/>
    <w:next w:val="Text2"/>
    <w:rsid w:val="00EC7C9C"/>
    <w:pPr>
      <w:keepNext/>
      <w:tabs>
        <w:tab w:val="left" w:pos="1417"/>
      </w:tabs>
      <w:ind w:left="1417" w:hanging="1417"/>
      <w:outlineLvl w:val="5"/>
    </w:pPr>
  </w:style>
  <w:style w:type="paragraph" w:customStyle="1" w:styleId="ManualHeading7">
    <w:name w:val="Manual Heading 7"/>
    <w:basedOn w:val="Normal"/>
    <w:next w:val="Text2"/>
    <w:rsid w:val="00EC7C9C"/>
    <w:pPr>
      <w:keepNext/>
      <w:tabs>
        <w:tab w:val="left" w:pos="1417"/>
      </w:tabs>
      <w:ind w:left="1417" w:hanging="1417"/>
      <w:outlineLvl w:val="6"/>
    </w:pPr>
  </w:style>
  <w:style w:type="paragraph" w:customStyle="1" w:styleId="Text5">
    <w:name w:val="Text 5"/>
    <w:basedOn w:val="Normal"/>
    <w:rsid w:val="00EC7C9C"/>
    <w:pPr>
      <w:ind w:left="3118"/>
    </w:pPr>
  </w:style>
  <w:style w:type="paragraph" w:customStyle="1" w:styleId="Text6">
    <w:name w:val="Text 6"/>
    <w:basedOn w:val="Normal"/>
    <w:rsid w:val="00EC7C9C"/>
    <w:pPr>
      <w:ind w:left="3685"/>
    </w:pPr>
  </w:style>
  <w:style w:type="paragraph" w:customStyle="1" w:styleId="Point5">
    <w:name w:val="Point 5"/>
    <w:basedOn w:val="Normal"/>
    <w:rsid w:val="00EC7C9C"/>
    <w:pPr>
      <w:ind w:left="3685" w:hanging="567"/>
    </w:pPr>
  </w:style>
  <w:style w:type="paragraph" w:customStyle="1" w:styleId="Tiret5">
    <w:name w:val="Tiret 5"/>
    <w:basedOn w:val="Point5"/>
    <w:rsid w:val="00EC7C9C"/>
    <w:pPr>
      <w:numPr>
        <w:numId w:val="45"/>
      </w:numPr>
    </w:pPr>
  </w:style>
  <w:style w:type="paragraph" w:customStyle="1" w:styleId="NumPar5">
    <w:name w:val="NumPar 5"/>
    <w:basedOn w:val="Normal"/>
    <w:next w:val="Text2"/>
    <w:rsid w:val="00EC7C9C"/>
    <w:pPr>
      <w:numPr>
        <w:ilvl w:val="4"/>
        <w:numId w:val="48"/>
      </w:numPr>
    </w:pPr>
  </w:style>
  <w:style w:type="paragraph" w:customStyle="1" w:styleId="NumPar6">
    <w:name w:val="NumPar 6"/>
    <w:basedOn w:val="Normal"/>
    <w:next w:val="Text2"/>
    <w:rsid w:val="00EC7C9C"/>
    <w:pPr>
      <w:numPr>
        <w:ilvl w:val="5"/>
        <w:numId w:val="48"/>
      </w:numPr>
    </w:pPr>
  </w:style>
  <w:style w:type="paragraph" w:customStyle="1" w:styleId="NumPar7">
    <w:name w:val="NumPar 7"/>
    <w:basedOn w:val="Normal"/>
    <w:next w:val="Text2"/>
    <w:rsid w:val="00EC7C9C"/>
    <w:pPr>
      <w:numPr>
        <w:ilvl w:val="6"/>
        <w:numId w:val="48"/>
      </w:numPr>
    </w:pPr>
  </w:style>
  <w:style w:type="paragraph" w:customStyle="1" w:styleId="ManualNumPar5">
    <w:name w:val="Manual NumPar 5"/>
    <w:basedOn w:val="Normal"/>
    <w:next w:val="Text2"/>
    <w:rsid w:val="00EC7C9C"/>
    <w:pPr>
      <w:ind w:left="1417" w:hanging="1417"/>
    </w:pPr>
  </w:style>
  <w:style w:type="paragraph" w:customStyle="1" w:styleId="ManualNumPar6">
    <w:name w:val="Manual NumPar 6"/>
    <w:basedOn w:val="Normal"/>
    <w:next w:val="Text2"/>
    <w:rsid w:val="00EC7C9C"/>
    <w:pPr>
      <w:ind w:left="1417" w:hanging="1417"/>
    </w:pPr>
  </w:style>
  <w:style w:type="paragraph" w:customStyle="1" w:styleId="ManualNumPar7">
    <w:name w:val="Manual NumPar 7"/>
    <w:basedOn w:val="Normal"/>
    <w:next w:val="Text2"/>
    <w:rsid w:val="00EC7C9C"/>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7049">
      <w:bodyDiv w:val="1"/>
      <w:marLeft w:val="0"/>
      <w:marRight w:val="0"/>
      <w:marTop w:val="0"/>
      <w:marBottom w:val="0"/>
      <w:divBdr>
        <w:top w:val="none" w:sz="0" w:space="0" w:color="auto"/>
        <w:left w:val="none" w:sz="0" w:space="0" w:color="auto"/>
        <w:bottom w:val="none" w:sz="0" w:space="0" w:color="auto"/>
        <w:right w:val="none" w:sz="0" w:space="0" w:color="auto"/>
      </w:divBdr>
    </w:div>
    <w:div w:id="319385471">
      <w:bodyDiv w:val="1"/>
      <w:marLeft w:val="0"/>
      <w:marRight w:val="0"/>
      <w:marTop w:val="0"/>
      <w:marBottom w:val="0"/>
      <w:divBdr>
        <w:top w:val="none" w:sz="0" w:space="0" w:color="auto"/>
        <w:left w:val="none" w:sz="0" w:space="0" w:color="auto"/>
        <w:bottom w:val="none" w:sz="0" w:space="0" w:color="auto"/>
        <w:right w:val="none" w:sz="0" w:space="0" w:color="auto"/>
      </w:divBdr>
    </w:div>
    <w:div w:id="779110441">
      <w:bodyDiv w:val="1"/>
      <w:marLeft w:val="0"/>
      <w:marRight w:val="0"/>
      <w:marTop w:val="0"/>
      <w:marBottom w:val="0"/>
      <w:divBdr>
        <w:top w:val="none" w:sz="0" w:space="0" w:color="auto"/>
        <w:left w:val="none" w:sz="0" w:space="0" w:color="auto"/>
        <w:bottom w:val="none" w:sz="0" w:space="0" w:color="auto"/>
        <w:right w:val="none" w:sz="0" w:space="0" w:color="auto"/>
      </w:divBdr>
    </w:div>
    <w:div w:id="849032252">
      <w:bodyDiv w:val="1"/>
      <w:marLeft w:val="0"/>
      <w:marRight w:val="0"/>
      <w:marTop w:val="0"/>
      <w:marBottom w:val="0"/>
      <w:divBdr>
        <w:top w:val="none" w:sz="0" w:space="0" w:color="auto"/>
        <w:left w:val="none" w:sz="0" w:space="0" w:color="auto"/>
        <w:bottom w:val="none" w:sz="0" w:space="0" w:color="auto"/>
        <w:right w:val="none" w:sz="0" w:space="0" w:color="auto"/>
      </w:divBdr>
    </w:div>
    <w:div w:id="873150778">
      <w:bodyDiv w:val="1"/>
      <w:marLeft w:val="0"/>
      <w:marRight w:val="0"/>
      <w:marTop w:val="0"/>
      <w:marBottom w:val="0"/>
      <w:divBdr>
        <w:top w:val="none" w:sz="0" w:space="0" w:color="auto"/>
        <w:left w:val="none" w:sz="0" w:space="0" w:color="auto"/>
        <w:bottom w:val="none" w:sz="0" w:space="0" w:color="auto"/>
        <w:right w:val="none" w:sz="0" w:space="0" w:color="auto"/>
      </w:divBdr>
      <w:divsChild>
        <w:div w:id="207960483">
          <w:marLeft w:val="0"/>
          <w:marRight w:val="0"/>
          <w:marTop w:val="0"/>
          <w:marBottom w:val="0"/>
          <w:divBdr>
            <w:top w:val="none" w:sz="0" w:space="0" w:color="auto"/>
            <w:left w:val="none" w:sz="0" w:space="0" w:color="auto"/>
            <w:bottom w:val="none" w:sz="0" w:space="0" w:color="auto"/>
            <w:right w:val="none" w:sz="0" w:space="0" w:color="auto"/>
          </w:divBdr>
        </w:div>
        <w:div w:id="740907568">
          <w:marLeft w:val="0"/>
          <w:marRight w:val="0"/>
          <w:marTop w:val="0"/>
          <w:marBottom w:val="0"/>
          <w:divBdr>
            <w:top w:val="none" w:sz="0" w:space="0" w:color="auto"/>
            <w:left w:val="none" w:sz="0" w:space="0" w:color="auto"/>
            <w:bottom w:val="none" w:sz="0" w:space="0" w:color="auto"/>
            <w:right w:val="none" w:sz="0" w:space="0" w:color="auto"/>
          </w:divBdr>
        </w:div>
      </w:divsChild>
    </w:div>
    <w:div w:id="1399480048">
      <w:bodyDiv w:val="1"/>
      <w:marLeft w:val="0"/>
      <w:marRight w:val="0"/>
      <w:marTop w:val="0"/>
      <w:marBottom w:val="0"/>
      <w:divBdr>
        <w:top w:val="none" w:sz="0" w:space="0" w:color="auto"/>
        <w:left w:val="none" w:sz="0" w:space="0" w:color="auto"/>
        <w:bottom w:val="none" w:sz="0" w:space="0" w:color="auto"/>
        <w:right w:val="none" w:sz="0" w:space="0" w:color="auto"/>
      </w:divBdr>
    </w:div>
    <w:div w:id="1484815998">
      <w:bodyDiv w:val="1"/>
      <w:marLeft w:val="0"/>
      <w:marRight w:val="0"/>
      <w:marTop w:val="0"/>
      <w:marBottom w:val="0"/>
      <w:divBdr>
        <w:top w:val="none" w:sz="0" w:space="0" w:color="auto"/>
        <w:left w:val="none" w:sz="0" w:space="0" w:color="auto"/>
        <w:bottom w:val="none" w:sz="0" w:space="0" w:color="auto"/>
        <w:right w:val="none" w:sz="0" w:space="0" w:color="auto"/>
      </w:divBdr>
    </w:div>
    <w:div w:id="1495149635">
      <w:bodyDiv w:val="1"/>
      <w:marLeft w:val="0"/>
      <w:marRight w:val="0"/>
      <w:marTop w:val="0"/>
      <w:marBottom w:val="0"/>
      <w:divBdr>
        <w:top w:val="none" w:sz="0" w:space="0" w:color="auto"/>
        <w:left w:val="none" w:sz="0" w:space="0" w:color="auto"/>
        <w:bottom w:val="none" w:sz="0" w:space="0" w:color="auto"/>
        <w:right w:val="none" w:sz="0" w:space="0" w:color="auto"/>
      </w:divBdr>
    </w:div>
    <w:div w:id="1620259720">
      <w:bodyDiv w:val="1"/>
      <w:marLeft w:val="0"/>
      <w:marRight w:val="0"/>
      <w:marTop w:val="0"/>
      <w:marBottom w:val="0"/>
      <w:divBdr>
        <w:top w:val="none" w:sz="0" w:space="0" w:color="auto"/>
        <w:left w:val="none" w:sz="0" w:space="0" w:color="auto"/>
        <w:bottom w:val="none" w:sz="0" w:space="0" w:color="auto"/>
        <w:right w:val="none" w:sz="0" w:space="0" w:color="auto"/>
      </w:divBdr>
    </w:div>
    <w:div w:id="1763646936">
      <w:bodyDiv w:val="1"/>
      <w:marLeft w:val="0"/>
      <w:marRight w:val="0"/>
      <w:marTop w:val="0"/>
      <w:marBottom w:val="0"/>
      <w:divBdr>
        <w:top w:val="none" w:sz="0" w:space="0" w:color="auto"/>
        <w:left w:val="none" w:sz="0" w:space="0" w:color="auto"/>
        <w:bottom w:val="none" w:sz="0" w:space="0" w:color="auto"/>
        <w:right w:val="none" w:sz="0" w:space="0" w:color="auto"/>
      </w:divBdr>
    </w:div>
    <w:div w:id="1771851502">
      <w:bodyDiv w:val="1"/>
      <w:marLeft w:val="0"/>
      <w:marRight w:val="0"/>
      <w:marTop w:val="0"/>
      <w:marBottom w:val="0"/>
      <w:divBdr>
        <w:top w:val="none" w:sz="0" w:space="0" w:color="auto"/>
        <w:left w:val="none" w:sz="0" w:space="0" w:color="auto"/>
        <w:bottom w:val="none" w:sz="0" w:space="0" w:color="auto"/>
        <w:right w:val="none" w:sz="0" w:space="0" w:color="auto"/>
      </w:divBdr>
    </w:div>
    <w:div w:id="1818837718">
      <w:bodyDiv w:val="1"/>
      <w:marLeft w:val="0"/>
      <w:marRight w:val="0"/>
      <w:marTop w:val="0"/>
      <w:marBottom w:val="0"/>
      <w:divBdr>
        <w:top w:val="none" w:sz="0" w:space="0" w:color="auto"/>
        <w:left w:val="none" w:sz="0" w:space="0" w:color="auto"/>
        <w:bottom w:val="none" w:sz="0" w:space="0" w:color="auto"/>
        <w:right w:val="none" w:sz="0" w:space="0" w:color="auto"/>
      </w:divBdr>
    </w:div>
    <w:div w:id="1981694027">
      <w:bodyDiv w:val="1"/>
      <w:marLeft w:val="0"/>
      <w:marRight w:val="0"/>
      <w:marTop w:val="0"/>
      <w:marBottom w:val="0"/>
      <w:divBdr>
        <w:top w:val="none" w:sz="0" w:space="0" w:color="auto"/>
        <w:left w:val="none" w:sz="0" w:space="0" w:color="auto"/>
        <w:bottom w:val="none" w:sz="0" w:space="0" w:color="auto"/>
        <w:right w:val="none" w:sz="0" w:space="0" w:color="auto"/>
      </w:divBdr>
    </w:div>
    <w:div w:id="20048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05BFFFB036732419014A7F8A6877929" ma:contentTypeVersion="0" ma:contentTypeDescription="Create a new document in this library." ma:contentTypeScope="" ma:versionID="95a7488c095bd3856ee5cc388d703a6c">
  <xsd:schema xmlns:xsd="http://www.w3.org/2001/XMLSchema" xmlns:xs="http://www.w3.org/2001/XMLSchema" xmlns:p="http://schemas.microsoft.com/office/2006/metadata/properties" xmlns:ns2="http://schemas.microsoft.com/sharepoint/v3/fields" xmlns:ns3="e545963d-d22e-4b1c-8d50-a68973f4b290" targetNamespace="http://schemas.microsoft.com/office/2006/metadata/properties" ma:root="true" ma:fieldsID="83ca508982b74dc8660f2e73dbe1713a" ns2:_="" ns3:_="">
    <xsd:import namespace="http://schemas.microsoft.com/sharepoint/v3/fields"/>
    <xsd:import namespace="e545963d-d22e-4b1c-8d50-a68973f4b29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45963d-d22e-4b1c-8d50-a68973f4b29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e545963d-d22e-4b1c-8d50-a68973f4b290">EN</EC_Collab_DocumentLanguage>
    <_Status xmlns="http://schemas.microsoft.com/sharepoint/v3/fields">Not Started</_Status>
    <EC_Collab_Reference xmlns="e545963d-d22e-4b1c-8d50-a68973f4b290" xsi:nil="true"/>
    <EC_Collab_Status xmlns="e545963d-d22e-4b1c-8d50-a68973f4b290">Not Started</EC_Collab_Statu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83F5E99-D671-407C-AAA8-1F0FAB2B1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45963d-d22e-4b1c-8d50-a68973f4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730D2-C36F-432E-BA07-C60E99C5CE2A}">
  <ds:schemaRefs>
    <ds:schemaRef ds:uri="http://schemas.microsoft.com/sharepoint/v3/contenttype/forms"/>
  </ds:schemaRefs>
</ds:datastoreItem>
</file>

<file path=customXml/itemProps3.xml><?xml version="1.0" encoding="utf-8"?>
<ds:datastoreItem xmlns:ds="http://schemas.openxmlformats.org/officeDocument/2006/customXml" ds:itemID="{616CE21C-7EFE-4336-934B-493A6F0A92F4}">
  <ds:schemaRefs>
    <ds:schemaRef ds:uri="http://schemas.microsoft.com/sharepoint/v3/fields"/>
    <ds:schemaRef ds:uri="http://purl.org/dc/terms/"/>
    <ds:schemaRef ds:uri="e545963d-d22e-4b1c-8d50-a68973f4b290"/>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F482AB6-6BF6-415A-913B-B9C95106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17</Pages>
  <Words>6414</Words>
  <Characters>35793</Characters>
  <Application>Microsoft Office Word</Application>
  <DocSecurity>0</DocSecurity>
  <Lines>550</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2021-11-09T09:27:00Z</dcterms:created>
  <dcterms:modified xsi:type="dcterms:W3CDTF">2021-11-24T06:34:00Z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ContentTypeId">
    <vt:lpwstr>0x010100258AA79CEB83498886A3A0868112325000B05BFFFB036732419014A7F8A6877929</vt:lpwstr>
  </property>
  <property fmtid="{D5CDD505-2E9C-101B-9397-08002B2CF9AE}" pid="11" name="DQCStatus">
    <vt:lpwstr>Green (DQC version 03)</vt:lpwstr>
  </property>
</Properties>
</file>