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C688" w14:textId="09F1A8E8" w:rsidR="003F209E" w:rsidRDefault="00A618F2" w:rsidP="00A618F2">
      <w:pPr>
        <w:pStyle w:val="Pagedecouverture"/>
        <w:rPr>
          <w:noProof/>
        </w:rPr>
      </w:pPr>
      <w:r>
        <w:rPr>
          <w:noProof/>
        </w:rPr>
        <w:pict w14:anchorId="68B9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4D208259-9D1F-45E6-A2AC-632A14C5E682" style="width:455.25pt;height:383.25pt">
            <v:imagedata r:id="rId11" o:title=""/>
          </v:shape>
        </w:pict>
      </w:r>
    </w:p>
    <w:p w14:paraId="565065DA" w14:textId="77777777" w:rsidR="008E133B" w:rsidRDefault="008E133B" w:rsidP="008E133B">
      <w:pPr>
        <w:rPr>
          <w:noProof/>
        </w:rPr>
        <w:sectPr w:rsidR="008E133B" w:rsidSect="00A618F2">
          <w:footerReference w:type="default" r:id="rId12"/>
          <w:pgSz w:w="11907" w:h="16839" w:code="9"/>
          <w:pgMar w:top="1134" w:right="1417" w:bottom="1134" w:left="1417" w:header="709" w:footer="709" w:gutter="0"/>
          <w:pgNumType w:start="0"/>
          <w:cols w:space="720"/>
          <w:docGrid w:linePitch="360"/>
        </w:sectPr>
      </w:pPr>
    </w:p>
    <w:p w14:paraId="772390FE" w14:textId="5CC8B431" w:rsidR="00EB0A3C" w:rsidRDefault="00EB0A3C" w:rsidP="00715ADE">
      <w:pPr>
        <w:pStyle w:val="Exposdesmotifstitre"/>
        <w:rPr>
          <w:noProof/>
        </w:rPr>
      </w:pPr>
      <w:bookmarkStart w:id="0" w:name="_GoBack"/>
      <w:bookmarkEnd w:id="0"/>
      <w:r w:rsidRPr="006F770D">
        <w:rPr>
          <w:noProof/>
        </w:rPr>
        <w:lastRenderedPageBreak/>
        <w:t>EXPLANATORY MEMORANDUM</w:t>
      </w:r>
    </w:p>
    <w:p w14:paraId="2A7E54B7" w14:textId="77777777" w:rsidR="00EB0A3C" w:rsidRPr="006F770D" w:rsidRDefault="00EB0A3C" w:rsidP="00715ADE">
      <w:pPr>
        <w:pStyle w:val="ManualHeading1"/>
        <w:rPr>
          <w:noProof/>
        </w:rPr>
      </w:pPr>
      <w:bookmarkStart w:id="1" w:name="_Toc84517382"/>
      <w:bookmarkStart w:id="2" w:name="_Toc84517554"/>
      <w:r w:rsidRPr="00C567EE">
        <w:rPr>
          <w:noProof/>
        </w:rPr>
        <w:t>1.</w:t>
      </w:r>
      <w:r w:rsidRPr="00C567EE">
        <w:rPr>
          <w:noProof/>
        </w:rPr>
        <w:tab/>
      </w:r>
      <w:r w:rsidRPr="006F770D">
        <w:rPr>
          <w:noProof/>
        </w:rPr>
        <w:t>CONTEXT OF THE PROPOSAL</w:t>
      </w:r>
      <w:bookmarkEnd w:id="1"/>
      <w:bookmarkEnd w:id="2"/>
    </w:p>
    <w:p w14:paraId="4B84AE72" w14:textId="77777777" w:rsidR="00EB0A3C" w:rsidRPr="00044058" w:rsidRDefault="00EB0A3C" w:rsidP="00715ADE">
      <w:pPr>
        <w:pStyle w:val="ManualHeading2"/>
        <w:rPr>
          <w:rFonts w:eastAsia="Arial Unicode MS"/>
          <w:noProof/>
        </w:rPr>
      </w:pPr>
      <w:bookmarkStart w:id="3" w:name="_Toc84517555"/>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bookmarkEnd w:id="3"/>
    </w:p>
    <w:p w14:paraId="3C252D92" w14:textId="76EABD78" w:rsidR="00FC00B8" w:rsidRPr="006D0ACA" w:rsidRDefault="00EB0A3C" w:rsidP="00EB0A3C">
      <w:pPr>
        <w:pBdr>
          <w:top w:val="nil"/>
          <w:left w:val="nil"/>
          <w:bottom w:val="nil"/>
          <w:right w:val="nil"/>
          <w:between w:val="nil"/>
          <w:bar w:val="nil"/>
        </w:pBdr>
        <w:spacing w:before="0" w:after="240"/>
        <w:rPr>
          <w:noProof/>
        </w:rPr>
      </w:pPr>
      <w:r w:rsidRPr="006D0ACA">
        <w:rPr>
          <w:noProof/>
        </w:rPr>
        <w:t>The European Union Agency for Criminal Justice Cooperation (Eurojust)</w:t>
      </w:r>
      <w:r w:rsidR="46D10965" w:rsidRPr="7CC317AF">
        <w:rPr>
          <w:noProof/>
        </w:rPr>
        <w:t xml:space="preserve"> </w:t>
      </w:r>
      <w:r w:rsidRPr="006D0ACA">
        <w:rPr>
          <w:noProof/>
        </w:rPr>
        <w:t>coordinate</w:t>
      </w:r>
      <w:r w:rsidR="00A578F5">
        <w:rPr>
          <w:noProof/>
        </w:rPr>
        <w:t>s</w:t>
      </w:r>
      <w:r w:rsidRPr="006D0ACA">
        <w:rPr>
          <w:noProof/>
        </w:rPr>
        <w:t xml:space="preserve"> investigations and prosecutions of serious cross-border crime in Europe and beyond. As the European Union’s </w:t>
      </w:r>
      <w:r w:rsidR="00A578F5">
        <w:rPr>
          <w:noProof/>
        </w:rPr>
        <w:t xml:space="preserve">(EU) </w:t>
      </w:r>
      <w:r w:rsidRPr="006D0ACA">
        <w:rPr>
          <w:noProof/>
        </w:rPr>
        <w:t>hub for judicial cooperation in criminal matters, Eurojust supports national investigating and prosecuting authorities.</w:t>
      </w:r>
    </w:p>
    <w:p w14:paraId="795211ED" w14:textId="7D53D142" w:rsidR="000F03C5" w:rsidRDefault="00FC00B8" w:rsidP="00EB0A3C">
      <w:pPr>
        <w:pBdr>
          <w:top w:val="nil"/>
          <w:left w:val="nil"/>
          <w:bottom w:val="nil"/>
          <w:right w:val="nil"/>
          <w:between w:val="nil"/>
          <w:bar w:val="nil"/>
        </w:pBdr>
        <w:spacing w:before="0" w:after="240"/>
        <w:rPr>
          <w:rFonts w:eastAsia="Arial Unicode MS"/>
          <w:noProof/>
          <w:color w:val="000000" w:themeColor="text1"/>
        </w:rPr>
      </w:pPr>
      <w:r w:rsidRPr="00101907">
        <w:rPr>
          <w:noProof/>
        </w:rPr>
        <w:t>Combating</w:t>
      </w:r>
      <w:r w:rsidR="00EB0A3C" w:rsidRPr="00101907">
        <w:rPr>
          <w:noProof/>
        </w:rPr>
        <w:t xml:space="preserve"> terrorism has been </w:t>
      </w:r>
      <w:r w:rsidR="00A578F5">
        <w:rPr>
          <w:noProof/>
        </w:rPr>
        <w:t>part</w:t>
      </w:r>
      <w:r w:rsidR="00EB0A3C" w:rsidRPr="00101907">
        <w:rPr>
          <w:noProof/>
        </w:rPr>
        <w:t xml:space="preserve"> of Eurojust’s man</w:t>
      </w:r>
      <w:r w:rsidR="00A72E78" w:rsidRPr="00101907">
        <w:rPr>
          <w:noProof/>
        </w:rPr>
        <w:t>date since its creation in 2002</w:t>
      </w:r>
      <w:r w:rsidR="00EB0A3C" w:rsidRPr="00101907">
        <w:rPr>
          <w:noProof/>
        </w:rPr>
        <w:t xml:space="preserve"> and re</w:t>
      </w:r>
      <w:r w:rsidR="00196C2B" w:rsidRPr="00101907">
        <w:rPr>
          <w:noProof/>
        </w:rPr>
        <w:t xml:space="preserve">mains one of its </w:t>
      </w:r>
      <w:r w:rsidR="00A578F5">
        <w:rPr>
          <w:noProof/>
        </w:rPr>
        <w:t>core</w:t>
      </w:r>
      <w:r w:rsidR="00A578F5" w:rsidRPr="7CC317AF">
        <w:rPr>
          <w:noProof/>
        </w:rPr>
        <w:t xml:space="preserve"> </w:t>
      </w:r>
      <w:r w:rsidR="00196C2B" w:rsidRPr="00101907">
        <w:rPr>
          <w:noProof/>
        </w:rPr>
        <w:t>priorities</w:t>
      </w:r>
      <w:r w:rsidR="00EB0A3C" w:rsidRPr="7CC317AF">
        <w:rPr>
          <w:noProof/>
        </w:rPr>
        <w:t xml:space="preserve">. </w:t>
      </w:r>
      <w:r w:rsidRPr="002B1990">
        <w:rPr>
          <w:rFonts w:eastAsia="Arial Unicode MS"/>
          <w:noProof/>
          <w:color w:val="000000" w:themeColor="text1"/>
        </w:rPr>
        <w:t xml:space="preserve">To combat terrorism effectively, </w:t>
      </w:r>
      <w:r w:rsidR="00223B55">
        <w:rPr>
          <w:rFonts w:eastAsia="Arial Unicode MS"/>
          <w:noProof/>
          <w:color w:val="000000" w:themeColor="text1"/>
        </w:rPr>
        <w:t xml:space="preserve">it is crucial </w:t>
      </w:r>
      <w:r w:rsidR="006E1804">
        <w:rPr>
          <w:rFonts w:eastAsia="Arial Unicode MS"/>
          <w:noProof/>
          <w:color w:val="000000" w:themeColor="text1"/>
        </w:rPr>
        <w:t xml:space="preserve">that competent authorities </w:t>
      </w:r>
      <w:r w:rsidRPr="002B1990">
        <w:rPr>
          <w:rFonts w:eastAsia="Arial Unicode MS"/>
          <w:noProof/>
          <w:color w:val="000000" w:themeColor="text1"/>
        </w:rPr>
        <w:t>efficient</w:t>
      </w:r>
      <w:r w:rsidR="006E1804">
        <w:rPr>
          <w:rFonts w:eastAsia="Arial Unicode MS"/>
          <w:noProof/>
          <w:color w:val="000000" w:themeColor="text1"/>
        </w:rPr>
        <w:t>ly</w:t>
      </w:r>
      <w:r w:rsidRPr="002B1990">
        <w:rPr>
          <w:rFonts w:eastAsia="Arial Unicode MS"/>
          <w:noProof/>
          <w:color w:val="000000" w:themeColor="text1"/>
        </w:rPr>
        <w:t xml:space="preserve"> </w:t>
      </w:r>
      <w:r w:rsidR="006E1804">
        <w:rPr>
          <w:rFonts w:eastAsia="Arial Unicode MS"/>
          <w:noProof/>
          <w:color w:val="000000" w:themeColor="text1"/>
        </w:rPr>
        <w:t>share</w:t>
      </w:r>
      <w:r w:rsidRPr="002B1990">
        <w:rPr>
          <w:rFonts w:eastAsia="Arial Unicode MS"/>
          <w:noProof/>
          <w:color w:val="000000" w:themeColor="text1"/>
        </w:rPr>
        <w:t xml:space="preserve"> </w:t>
      </w:r>
      <w:r w:rsidR="006E1804">
        <w:rPr>
          <w:rFonts w:eastAsia="Arial Unicode MS"/>
          <w:noProof/>
          <w:color w:val="000000" w:themeColor="text1"/>
        </w:rPr>
        <w:t xml:space="preserve">relevant </w:t>
      </w:r>
      <w:r w:rsidRPr="002B1990">
        <w:rPr>
          <w:rFonts w:eastAsia="Arial Unicode MS"/>
          <w:noProof/>
          <w:color w:val="000000" w:themeColor="text1"/>
        </w:rPr>
        <w:t xml:space="preserve">information </w:t>
      </w:r>
      <w:r w:rsidR="006E1804">
        <w:rPr>
          <w:rFonts w:eastAsia="Arial Unicode MS"/>
          <w:noProof/>
          <w:color w:val="000000" w:themeColor="text1"/>
        </w:rPr>
        <w:t xml:space="preserve">among themselves and with EU agencies and bodies to </w:t>
      </w:r>
      <w:r w:rsidRPr="002B1990">
        <w:rPr>
          <w:rFonts w:eastAsia="Arial Unicode MS"/>
          <w:noProof/>
          <w:color w:val="000000" w:themeColor="text1"/>
        </w:rPr>
        <w:t xml:space="preserve">prevent, detect, </w:t>
      </w:r>
      <w:r w:rsidR="006E1804" w:rsidRPr="002B1990">
        <w:rPr>
          <w:rFonts w:eastAsia="Arial Unicode MS"/>
          <w:noProof/>
          <w:color w:val="000000" w:themeColor="text1"/>
        </w:rPr>
        <w:t>investigat</w:t>
      </w:r>
      <w:r w:rsidR="006E1804">
        <w:rPr>
          <w:rFonts w:eastAsia="Arial Unicode MS"/>
          <w:noProof/>
          <w:color w:val="000000" w:themeColor="text1"/>
        </w:rPr>
        <w:t>e</w:t>
      </w:r>
      <w:r w:rsidR="006E1804" w:rsidRPr="002B1990">
        <w:rPr>
          <w:rFonts w:eastAsia="Arial Unicode MS"/>
          <w:noProof/>
          <w:color w:val="000000" w:themeColor="text1"/>
        </w:rPr>
        <w:t xml:space="preserve"> </w:t>
      </w:r>
      <w:r w:rsidRPr="002B1990">
        <w:rPr>
          <w:rFonts w:eastAsia="Arial Unicode MS"/>
          <w:noProof/>
          <w:color w:val="000000" w:themeColor="text1"/>
        </w:rPr>
        <w:t xml:space="preserve">or </w:t>
      </w:r>
      <w:r w:rsidR="006E1804" w:rsidRPr="002B1990">
        <w:rPr>
          <w:rFonts w:eastAsia="Arial Unicode MS"/>
          <w:noProof/>
          <w:color w:val="000000" w:themeColor="text1"/>
        </w:rPr>
        <w:t>prosecut</w:t>
      </w:r>
      <w:r w:rsidR="006E1804">
        <w:rPr>
          <w:rFonts w:eastAsia="Arial Unicode MS"/>
          <w:noProof/>
          <w:color w:val="000000" w:themeColor="text1"/>
        </w:rPr>
        <w:t>e</w:t>
      </w:r>
      <w:r w:rsidR="006E1804" w:rsidRPr="002B1990">
        <w:rPr>
          <w:rFonts w:eastAsia="Arial Unicode MS"/>
          <w:noProof/>
          <w:color w:val="000000" w:themeColor="text1"/>
        </w:rPr>
        <w:t xml:space="preserve"> </w:t>
      </w:r>
      <w:r w:rsidRPr="002B1990">
        <w:rPr>
          <w:rFonts w:eastAsia="Arial Unicode MS"/>
          <w:noProof/>
          <w:color w:val="000000" w:themeColor="text1"/>
        </w:rPr>
        <w:t>terrorist offences.</w:t>
      </w:r>
    </w:p>
    <w:p w14:paraId="5C86B3C5" w14:textId="1BF2CAFA" w:rsidR="000F03C5" w:rsidRDefault="00FC00B8" w:rsidP="00EB0A3C">
      <w:pPr>
        <w:pBdr>
          <w:top w:val="nil"/>
          <w:left w:val="nil"/>
          <w:bottom w:val="nil"/>
          <w:right w:val="nil"/>
          <w:between w:val="nil"/>
          <w:bar w:val="nil"/>
        </w:pBdr>
        <w:spacing w:before="0" w:after="240"/>
        <w:rPr>
          <w:rFonts w:eastAsia="Arial Unicode MS"/>
          <w:noProof/>
          <w:color w:val="000000" w:themeColor="text1"/>
        </w:rPr>
      </w:pPr>
      <w:r w:rsidRPr="002B1990">
        <w:rPr>
          <w:rFonts w:eastAsia="Arial Unicode MS"/>
          <w:noProof/>
          <w:color w:val="000000" w:themeColor="text1"/>
        </w:rPr>
        <w:t>Council Decision 2005/671/JHA of 20</w:t>
      </w:r>
      <w:r w:rsidR="00BA5D81">
        <w:rPr>
          <w:rFonts w:eastAsia="Arial Unicode MS"/>
          <w:noProof/>
          <w:color w:val="000000" w:themeColor="text1"/>
        </w:rPr>
        <w:t> </w:t>
      </w:r>
      <w:r w:rsidRPr="002B1990">
        <w:rPr>
          <w:rFonts w:eastAsia="Arial Unicode MS"/>
          <w:noProof/>
          <w:color w:val="000000" w:themeColor="text1"/>
        </w:rPr>
        <w:t>September</w:t>
      </w:r>
      <w:r w:rsidR="00BA5D81">
        <w:rPr>
          <w:rFonts w:eastAsia="Arial Unicode MS"/>
          <w:noProof/>
          <w:color w:val="000000" w:themeColor="text1"/>
        </w:rPr>
        <w:t> </w:t>
      </w:r>
      <w:r w:rsidRPr="002B1990">
        <w:rPr>
          <w:rFonts w:eastAsia="Arial Unicode MS"/>
          <w:noProof/>
          <w:color w:val="000000" w:themeColor="text1"/>
        </w:rPr>
        <w:t>2005 on the exchange of information and cooperation concerning terrorist offences</w:t>
      </w:r>
      <w:r w:rsidRPr="002B1990">
        <w:rPr>
          <w:rStyle w:val="FootnoteReference"/>
          <w:rFonts w:eastAsia="Arial Unicode MS"/>
          <w:noProof/>
          <w:color w:val="000000" w:themeColor="text1"/>
        </w:rPr>
        <w:footnoteReference w:id="2"/>
      </w:r>
      <w:r w:rsidRPr="002B1990">
        <w:rPr>
          <w:rFonts w:eastAsia="Arial Unicode MS"/>
          <w:noProof/>
          <w:color w:val="000000" w:themeColor="text1"/>
        </w:rPr>
        <w:t xml:space="preserve"> </w:t>
      </w:r>
      <w:r w:rsidR="006E1804">
        <w:rPr>
          <w:rFonts w:eastAsia="Arial Unicode MS"/>
          <w:noProof/>
          <w:color w:val="000000" w:themeColor="text1"/>
        </w:rPr>
        <w:t xml:space="preserve">states </w:t>
      </w:r>
      <w:r w:rsidRPr="002B1990">
        <w:rPr>
          <w:rFonts w:eastAsia="Arial Unicode MS"/>
          <w:noProof/>
          <w:color w:val="000000" w:themeColor="text1"/>
        </w:rPr>
        <w:t>that to combat terrorism, it is essential to have the most complete and up</w:t>
      </w:r>
      <w:r w:rsidR="006E1804">
        <w:rPr>
          <w:rFonts w:eastAsia="Arial Unicode MS"/>
          <w:noProof/>
          <w:color w:val="000000" w:themeColor="text1"/>
        </w:rPr>
        <w:t xml:space="preserve"> to </w:t>
      </w:r>
      <w:r w:rsidRPr="002B1990">
        <w:rPr>
          <w:rFonts w:eastAsia="Arial Unicode MS"/>
          <w:noProof/>
          <w:color w:val="000000" w:themeColor="text1"/>
        </w:rPr>
        <w:t xml:space="preserve">date information possible. The persistence </w:t>
      </w:r>
      <w:r w:rsidR="006E1804">
        <w:rPr>
          <w:rFonts w:eastAsia="Arial Unicode MS"/>
          <w:noProof/>
          <w:color w:val="000000" w:themeColor="text1"/>
        </w:rPr>
        <w:t xml:space="preserve">and complexity </w:t>
      </w:r>
      <w:r w:rsidRPr="002B1990">
        <w:rPr>
          <w:rFonts w:eastAsia="Arial Unicode MS"/>
          <w:noProof/>
          <w:color w:val="000000" w:themeColor="text1"/>
        </w:rPr>
        <w:t xml:space="preserve">of the terrorist threat </w:t>
      </w:r>
      <w:r w:rsidR="00223013">
        <w:rPr>
          <w:rFonts w:eastAsia="Arial Unicode MS"/>
          <w:noProof/>
          <w:color w:val="000000" w:themeColor="text1"/>
        </w:rPr>
        <w:t>gives rise to</w:t>
      </w:r>
      <w:r w:rsidR="00223013" w:rsidRPr="002B1990">
        <w:rPr>
          <w:rFonts w:eastAsia="Arial Unicode MS"/>
          <w:noProof/>
          <w:color w:val="000000" w:themeColor="text1"/>
        </w:rPr>
        <w:t xml:space="preserve"> </w:t>
      </w:r>
      <w:r w:rsidRPr="002B1990">
        <w:rPr>
          <w:rFonts w:eastAsia="Arial Unicode MS"/>
          <w:noProof/>
          <w:color w:val="000000" w:themeColor="text1"/>
        </w:rPr>
        <w:t xml:space="preserve">the need for </w:t>
      </w:r>
      <w:r w:rsidR="00223013">
        <w:rPr>
          <w:rFonts w:eastAsia="Arial Unicode MS"/>
          <w:noProof/>
          <w:color w:val="000000" w:themeColor="text1"/>
        </w:rPr>
        <w:t>more</w:t>
      </w:r>
      <w:r w:rsidRPr="002B1990">
        <w:rPr>
          <w:rFonts w:eastAsia="Arial Unicode MS"/>
          <w:noProof/>
          <w:color w:val="000000" w:themeColor="text1"/>
        </w:rPr>
        <w:t xml:space="preserve"> information</w:t>
      </w:r>
      <w:r w:rsidR="00223013">
        <w:rPr>
          <w:rFonts w:eastAsia="Arial Unicode MS"/>
          <w:noProof/>
          <w:color w:val="000000" w:themeColor="text1"/>
        </w:rPr>
        <w:t xml:space="preserve"> sharing</w:t>
      </w:r>
      <w:r w:rsidRPr="002B1990">
        <w:rPr>
          <w:rFonts w:eastAsia="Arial Unicode MS"/>
          <w:noProof/>
          <w:color w:val="000000" w:themeColor="text1"/>
        </w:rPr>
        <w:t>.</w:t>
      </w:r>
    </w:p>
    <w:p w14:paraId="36AB8461" w14:textId="45DBDBC7" w:rsidR="000F03C5" w:rsidRDefault="00FC00B8" w:rsidP="00EB0A3C">
      <w:pPr>
        <w:pBdr>
          <w:top w:val="nil"/>
          <w:left w:val="nil"/>
          <w:bottom w:val="nil"/>
          <w:right w:val="nil"/>
          <w:between w:val="nil"/>
          <w:bar w:val="nil"/>
        </w:pBdr>
        <w:spacing w:before="0" w:after="240"/>
        <w:rPr>
          <w:rFonts w:eastAsia="Arial Unicode MS"/>
          <w:noProof/>
          <w:color w:val="000000" w:themeColor="text1"/>
        </w:rPr>
      </w:pPr>
      <w:r w:rsidRPr="002B1990">
        <w:rPr>
          <w:rFonts w:eastAsia="Arial Unicode MS"/>
          <w:noProof/>
          <w:color w:val="000000" w:themeColor="text1"/>
        </w:rPr>
        <w:t xml:space="preserve">Against this background, Council Decision 2005/671/JHA provides that Member States </w:t>
      </w:r>
      <w:r w:rsidR="003D0074">
        <w:rPr>
          <w:rFonts w:eastAsia="Arial Unicode MS"/>
          <w:noProof/>
          <w:color w:val="000000" w:themeColor="text1"/>
        </w:rPr>
        <w:t>must</w:t>
      </w:r>
      <w:r w:rsidR="003D0074" w:rsidRPr="002B1990">
        <w:rPr>
          <w:rFonts w:eastAsia="Arial Unicode MS"/>
          <w:noProof/>
          <w:color w:val="000000" w:themeColor="text1"/>
        </w:rPr>
        <w:t xml:space="preserve"> </w:t>
      </w:r>
      <w:r w:rsidRPr="002B1990">
        <w:rPr>
          <w:rFonts w:eastAsia="Arial Unicode MS"/>
          <w:noProof/>
          <w:color w:val="000000" w:themeColor="text1"/>
        </w:rPr>
        <w:t xml:space="preserve">collect all relevant information concerning and resulting from criminal investigations </w:t>
      </w:r>
      <w:r w:rsidR="003D0074">
        <w:rPr>
          <w:rFonts w:eastAsia="Arial Unicode MS"/>
          <w:noProof/>
          <w:color w:val="000000" w:themeColor="text1"/>
        </w:rPr>
        <w:t>linked</w:t>
      </w:r>
      <w:r w:rsidRPr="002B1990">
        <w:rPr>
          <w:rFonts w:eastAsia="Arial Unicode MS"/>
          <w:noProof/>
          <w:color w:val="000000" w:themeColor="text1"/>
        </w:rPr>
        <w:t xml:space="preserve"> to terrorist offences</w:t>
      </w:r>
      <w:r w:rsidR="00FA7367">
        <w:rPr>
          <w:rFonts w:eastAsia="Arial Unicode MS"/>
          <w:noProof/>
          <w:color w:val="000000" w:themeColor="text1"/>
        </w:rPr>
        <w:t>,</w:t>
      </w:r>
      <w:r w:rsidR="0041167C">
        <w:rPr>
          <w:rFonts w:eastAsia="Arial Unicode MS"/>
          <w:noProof/>
          <w:color w:val="000000" w:themeColor="text1"/>
        </w:rPr>
        <w:t xml:space="preserve"> </w:t>
      </w:r>
      <w:r w:rsidR="0041167C" w:rsidRPr="0041167C">
        <w:rPr>
          <w:rFonts w:eastAsia="Arial Unicode MS"/>
          <w:noProof/>
          <w:color w:val="000000" w:themeColor="text1"/>
        </w:rPr>
        <w:t>which affect or may affect two or more Member States</w:t>
      </w:r>
      <w:r w:rsidRPr="002B1990">
        <w:rPr>
          <w:rFonts w:eastAsia="Arial Unicode MS"/>
          <w:noProof/>
          <w:color w:val="000000" w:themeColor="text1"/>
        </w:rPr>
        <w:t xml:space="preserve"> and send it to Europol</w:t>
      </w:r>
      <w:r w:rsidR="003D0074">
        <w:rPr>
          <w:rStyle w:val="FootnoteReference"/>
          <w:rFonts w:eastAsia="Arial Unicode MS"/>
          <w:noProof/>
          <w:color w:val="000000" w:themeColor="text1"/>
        </w:rPr>
        <w:footnoteReference w:id="3"/>
      </w:r>
      <w:r w:rsidRPr="002B1990">
        <w:rPr>
          <w:rFonts w:eastAsia="Arial Unicode MS"/>
          <w:noProof/>
          <w:color w:val="000000" w:themeColor="text1"/>
        </w:rPr>
        <w:t xml:space="preserve">. </w:t>
      </w:r>
      <w:r w:rsidR="00E56C74">
        <w:rPr>
          <w:rFonts w:eastAsia="Arial Unicode MS"/>
          <w:noProof/>
          <w:color w:val="000000" w:themeColor="text1"/>
        </w:rPr>
        <w:t>In addition</w:t>
      </w:r>
      <w:r w:rsidRPr="002B1990">
        <w:rPr>
          <w:rFonts w:eastAsia="Arial Unicode MS"/>
          <w:noProof/>
          <w:color w:val="000000" w:themeColor="text1"/>
        </w:rPr>
        <w:t xml:space="preserve">, Member States </w:t>
      </w:r>
      <w:r w:rsidR="00E44789">
        <w:rPr>
          <w:rFonts w:eastAsia="Arial Unicode MS"/>
          <w:noProof/>
          <w:color w:val="000000" w:themeColor="text1"/>
        </w:rPr>
        <w:t>must</w:t>
      </w:r>
      <w:r w:rsidR="00E44789" w:rsidRPr="002B1990">
        <w:rPr>
          <w:rFonts w:eastAsia="Arial Unicode MS"/>
          <w:noProof/>
          <w:color w:val="000000" w:themeColor="text1"/>
        </w:rPr>
        <w:t xml:space="preserve"> </w:t>
      </w:r>
      <w:r w:rsidRPr="002B1990">
        <w:rPr>
          <w:rFonts w:eastAsia="Arial Unicode MS"/>
          <w:noProof/>
          <w:color w:val="000000" w:themeColor="text1"/>
        </w:rPr>
        <w:t xml:space="preserve">collect all relevant information concerning prosecutions and convictions for terrorist </w:t>
      </w:r>
      <w:r w:rsidR="00CE7EB7" w:rsidRPr="002B1990">
        <w:rPr>
          <w:rFonts w:eastAsia="Arial Unicode MS"/>
          <w:noProof/>
          <w:color w:val="000000" w:themeColor="text1"/>
        </w:rPr>
        <w:t>offences, which</w:t>
      </w:r>
      <w:r w:rsidR="0041167C" w:rsidRPr="0041167C">
        <w:rPr>
          <w:rFonts w:eastAsia="Arial Unicode MS"/>
          <w:noProof/>
          <w:color w:val="000000" w:themeColor="text1"/>
        </w:rPr>
        <w:t xml:space="preserve"> affect or may affect two or more Member States </w:t>
      </w:r>
      <w:r w:rsidRPr="002B1990">
        <w:rPr>
          <w:rFonts w:eastAsia="Arial Unicode MS"/>
          <w:noProof/>
          <w:color w:val="000000" w:themeColor="text1"/>
        </w:rPr>
        <w:t xml:space="preserve">and send it to Eurojust. Each Member State </w:t>
      </w:r>
      <w:r w:rsidR="00E44789">
        <w:rPr>
          <w:rFonts w:eastAsia="Arial Unicode MS"/>
          <w:noProof/>
          <w:color w:val="000000" w:themeColor="text1"/>
        </w:rPr>
        <w:t>must</w:t>
      </w:r>
      <w:r w:rsidR="00E44789" w:rsidRPr="002B1990">
        <w:rPr>
          <w:rFonts w:eastAsia="Arial Unicode MS"/>
          <w:noProof/>
          <w:color w:val="000000" w:themeColor="text1"/>
        </w:rPr>
        <w:t xml:space="preserve"> </w:t>
      </w:r>
      <w:r w:rsidRPr="002B1990">
        <w:rPr>
          <w:rFonts w:eastAsia="Arial Unicode MS"/>
          <w:noProof/>
          <w:color w:val="000000" w:themeColor="text1"/>
        </w:rPr>
        <w:t xml:space="preserve">also make </w:t>
      </w:r>
      <w:r w:rsidR="00E44789">
        <w:rPr>
          <w:rFonts w:eastAsia="Arial Unicode MS"/>
          <w:noProof/>
          <w:color w:val="000000" w:themeColor="text1"/>
        </w:rPr>
        <w:t>available</w:t>
      </w:r>
      <w:r w:rsidR="00E44789" w:rsidRPr="002B1990">
        <w:rPr>
          <w:rFonts w:eastAsia="Arial Unicode MS"/>
          <w:noProof/>
          <w:color w:val="000000" w:themeColor="text1"/>
        </w:rPr>
        <w:t xml:space="preserve"> </w:t>
      </w:r>
      <w:r w:rsidRPr="002B1990">
        <w:rPr>
          <w:rFonts w:eastAsia="Arial Unicode MS"/>
          <w:noProof/>
          <w:color w:val="000000" w:themeColor="text1"/>
        </w:rPr>
        <w:t xml:space="preserve">all relevant information gathered by its competent authorities </w:t>
      </w:r>
      <w:r w:rsidR="00E44789">
        <w:rPr>
          <w:rFonts w:eastAsia="Arial Unicode MS"/>
          <w:noProof/>
          <w:color w:val="000000" w:themeColor="text1"/>
        </w:rPr>
        <w:t>about</w:t>
      </w:r>
      <w:r w:rsidR="6BC1807E">
        <w:rPr>
          <w:rFonts w:eastAsia="Arial Unicode MS"/>
          <w:noProof/>
          <w:color w:val="000000" w:themeColor="text1"/>
        </w:rPr>
        <w:t xml:space="preserve"> </w:t>
      </w:r>
      <w:r w:rsidRPr="002B1990">
        <w:rPr>
          <w:rFonts w:eastAsia="Arial Unicode MS"/>
          <w:noProof/>
          <w:color w:val="000000" w:themeColor="text1"/>
        </w:rPr>
        <w:t xml:space="preserve">criminal proceedings </w:t>
      </w:r>
      <w:r w:rsidR="00E44789">
        <w:rPr>
          <w:rFonts w:eastAsia="Arial Unicode MS"/>
          <w:noProof/>
          <w:color w:val="000000" w:themeColor="text1"/>
        </w:rPr>
        <w:t>connected</w:t>
      </w:r>
      <w:r w:rsidR="1A265653">
        <w:rPr>
          <w:rFonts w:eastAsia="Arial Unicode MS"/>
          <w:noProof/>
          <w:color w:val="000000" w:themeColor="text1"/>
        </w:rPr>
        <w:t xml:space="preserve"> </w:t>
      </w:r>
      <w:r w:rsidRPr="002B1990">
        <w:rPr>
          <w:rFonts w:eastAsia="Arial Unicode MS"/>
          <w:noProof/>
          <w:color w:val="000000" w:themeColor="text1"/>
        </w:rPr>
        <w:t>with terrorist offences</w:t>
      </w:r>
      <w:r w:rsidR="00E44789">
        <w:rPr>
          <w:rFonts w:eastAsia="Arial Unicode MS"/>
          <w:noProof/>
          <w:color w:val="000000" w:themeColor="text1"/>
        </w:rPr>
        <w:t>. This information must be swiftly made available</w:t>
      </w:r>
      <w:r w:rsidRPr="002B1990">
        <w:rPr>
          <w:rFonts w:eastAsia="Arial Unicode MS"/>
          <w:noProof/>
          <w:color w:val="000000" w:themeColor="text1"/>
        </w:rPr>
        <w:t xml:space="preserve"> to the competent authorities of another Member State where the information could be used </w:t>
      </w:r>
      <w:r w:rsidR="00E44789">
        <w:rPr>
          <w:rFonts w:eastAsia="Arial Unicode MS"/>
          <w:noProof/>
          <w:color w:val="000000" w:themeColor="text1"/>
        </w:rPr>
        <w:t>to</w:t>
      </w:r>
      <w:r w:rsidRPr="002B1990">
        <w:rPr>
          <w:rFonts w:eastAsia="Arial Unicode MS"/>
          <w:noProof/>
          <w:color w:val="000000" w:themeColor="text1"/>
        </w:rPr>
        <w:t xml:space="preserve"> prevent, detect, </w:t>
      </w:r>
      <w:r w:rsidR="00E44789" w:rsidRPr="002B1990">
        <w:rPr>
          <w:rFonts w:eastAsia="Arial Unicode MS"/>
          <w:noProof/>
          <w:color w:val="000000" w:themeColor="text1"/>
        </w:rPr>
        <w:t>investigat</w:t>
      </w:r>
      <w:r w:rsidR="00E44789">
        <w:rPr>
          <w:rFonts w:eastAsia="Arial Unicode MS"/>
          <w:noProof/>
          <w:color w:val="000000" w:themeColor="text1"/>
        </w:rPr>
        <w:t>e</w:t>
      </w:r>
      <w:r w:rsidR="00E44789" w:rsidRPr="002B1990">
        <w:rPr>
          <w:rFonts w:eastAsia="Arial Unicode MS"/>
          <w:noProof/>
          <w:color w:val="000000" w:themeColor="text1"/>
        </w:rPr>
        <w:t xml:space="preserve"> </w:t>
      </w:r>
      <w:r w:rsidRPr="002B1990">
        <w:rPr>
          <w:rFonts w:eastAsia="Arial Unicode MS"/>
          <w:noProof/>
          <w:color w:val="000000" w:themeColor="text1"/>
        </w:rPr>
        <w:t xml:space="preserve">or </w:t>
      </w:r>
      <w:r w:rsidR="00E44789" w:rsidRPr="002B1990">
        <w:rPr>
          <w:rFonts w:eastAsia="Arial Unicode MS"/>
          <w:noProof/>
          <w:color w:val="000000" w:themeColor="text1"/>
        </w:rPr>
        <w:t>prosecut</w:t>
      </w:r>
      <w:r w:rsidR="00E44789">
        <w:rPr>
          <w:rFonts w:eastAsia="Arial Unicode MS"/>
          <w:noProof/>
          <w:color w:val="000000" w:themeColor="text1"/>
        </w:rPr>
        <w:t>e</w:t>
      </w:r>
      <w:r w:rsidRPr="002B1990">
        <w:rPr>
          <w:rFonts w:eastAsia="Arial Unicode MS"/>
          <w:noProof/>
          <w:color w:val="000000" w:themeColor="text1"/>
        </w:rPr>
        <w:t xml:space="preserve"> terrorist offences. </w:t>
      </w:r>
    </w:p>
    <w:p w14:paraId="6D0241B8" w14:textId="5CC78BC6" w:rsidR="00FC00B8" w:rsidRPr="006D0ACA" w:rsidRDefault="00FC00B8" w:rsidP="00EB0A3C">
      <w:pPr>
        <w:pBdr>
          <w:top w:val="nil"/>
          <w:left w:val="nil"/>
          <w:bottom w:val="nil"/>
          <w:right w:val="nil"/>
          <w:between w:val="nil"/>
          <w:bar w:val="nil"/>
        </w:pBdr>
        <w:spacing w:before="0" w:after="240"/>
        <w:rPr>
          <w:noProof/>
        </w:rPr>
      </w:pPr>
      <w:r w:rsidRPr="002B1990">
        <w:rPr>
          <w:rFonts w:eastAsia="Arial Unicode MS"/>
          <w:noProof/>
          <w:color w:val="000000" w:themeColor="text1"/>
        </w:rPr>
        <w:t>Since 2005, the importance of sharing information between Member States and with Europol and Eurojust has only become more evident. Directive (EU) 2017/541 on combating terrorism</w:t>
      </w:r>
      <w:r w:rsidRPr="006D0ACA">
        <w:rPr>
          <w:rStyle w:val="FootnoteReference"/>
          <w:noProof/>
        </w:rPr>
        <w:footnoteReference w:id="4"/>
      </w:r>
      <w:r w:rsidRPr="002B1990">
        <w:rPr>
          <w:rFonts w:eastAsia="Arial Unicode MS"/>
          <w:noProof/>
          <w:color w:val="000000" w:themeColor="text1"/>
        </w:rPr>
        <w:t xml:space="preserve"> amended Council Decision 2005/671/JHA, to ensure that information is </w:t>
      </w:r>
      <w:r w:rsidR="00B91C45">
        <w:rPr>
          <w:rFonts w:eastAsia="Arial Unicode MS"/>
          <w:noProof/>
          <w:color w:val="000000" w:themeColor="text1"/>
        </w:rPr>
        <w:t>shared</w:t>
      </w:r>
      <w:r w:rsidR="00B91C45" w:rsidRPr="002B1990">
        <w:rPr>
          <w:rFonts w:eastAsia="Arial Unicode MS"/>
          <w:noProof/>
          <w:color w:val="000000" w:themeColor="text1"/>
        </w:rPr>
        <w:t xml:space="preserve"> </w:t>
      </w:r>
      <w:r w:rsidRPr="002B1990">
        <w:rPr>
          <w:rFonts w:eastAsia="Arial Unicode MS"/>
          <w:noProof/>
          <w:color w:val="000000" w:themeColor="text1"/>
        </w:rPr>
        <w:t>between Member States in an effective and timely manner, taking into account the serious threat posed by terrorist offences.</w:t>
      </w:r>
    </w:p>
    <w:p w14:paraId="0AA030CD" w14:textId="774CA8FE" w:rsidR="003C7DDE" w:rsidRPr="006D0ACA" w:rsidRDefault="00EB0A3C" w:rsidP="003C7DDE">
      <w:pPr>
        <w:pBdr>
          <w:top w:val="nil"/>
          <w:left w:val="nil"/>
          <w:bottom w:val="nil"/>
          <w:right w:val="nil"/>
          <w:between w:val="nil"/>
          <w:bar w:val="nil"/>
        </w:pBdr>
        <w:spacing w:before="0" w:after="240"/>
        <w:rPr>
          <w:noProof/>
        </w:rPr>
      </w:pPr>
      <w:r w:rsidRPr="006D0ACA">
        <w:rPr>
          <w:noProof/>
        </w:rPr>
        <w:t xml:space="preserve">One of the key </w:t>
      </w:r>
      <w:r w:rsidR="00B91C45">
        <w:rPr>
          <w:noProof/>
        </w:rPr>
        <w:t>aspects</w:t>
      </w:r>
      <w:r w:rsidR="00B91C45" w:rsidRPr="7CC317AF">
        <w:rPr>
          <w:noProof/>
        </w:rPr>
        <w:t xml:space="preserve"> </w:t>
      </w:r>
      <w:r w:rsidRPr="006D0ACA">
        <w:rPr>
          <w:noProof/>
        </w:rPr>
        <w:t>of Eurojust’s work in this field is the European Judicial Counter-Terrorism Register (CTR). The CTR was launched in September 2019, based o</w:t>
      </w:r>
      <w:r w:rsidR="00196C2B" w:rsidRPr="006D0ACA">
        <w:rPr>
          <w:noProof/>
        </w:rPr>
        <w:t>n Council Decision 2005/671/JHA</w:t>
      </w:r>
      <w:r w:rsidRPr="006D0ACA">
        <w:rPr>
          <w:noProof/>
        </w:rPr>
        <w:t>. For the CTR, Member States provide information on judicial proceedings concerning terrorist offe</w:t>
      </w:r>
      <w:r w:rsidR="00C00C4F" w:rsidRPr="006D0ACA">
        <w:rPr>
          <w:noProof/>
        </w:rPr>
        <w:t>nces in their jurisdiction. These</w:t>
      </w:r>
      <w:r w:rsidRPr="006D0ACA">
        <w:rPr>
          <w:noProof/>
        </w:rPr>
        <w:t xml:space="preserve"> data are stored and </w:t>
      </w:r>
      <w:r w:rsidRPr="006A0D14">
        <w:rPr>
          <w:noProof/>
          <w:lang w:val="en-IE"/>
        </w:rPr>
        <w:t>cross</w:t>
      </w:r>
      <w:r w:rsidRPr="006D0ACA">
        <w:rPr>
          <w:noProof/>
        </w:rPr>
        <w:t>-checked in Eurojust’s information p</w:t>
      </w:r>
      <w:r w:rsidR="00C00C4F" w:rsidRPr="006D0ACA">
        <w:rPr>
          <w:noProof/>
        </w:rPr>
        <w:t>rocessing system</w:t>
      </w:r>
      <w:r w:rsidR="00C00C4F" w:rsidRPr="7CC317AF">
        <w:rPr>
          <w:noProof/>
        </w:rPr>
        <w:t xml:space="preserve"> </w:t>
      </w:r>
      <w:r w:rsidR="00B91C45" w:rsidRPr="7CC317AF">
        <w:rPr>
          <w:noProof/>
        </w:rPr>
        <w:t xml:space="preserve">- </w:t>
      </w:r>
      <w:r w:rsidR="00C00C4F" w:rsidRPr="006D0ACA">
        <w:rPr>
          <w:noProof/>
        </w:rPr>
        <w:t>the Eurojust case management s</w:t>
      </w:r>
      <w:r w:rsidRPr="006D0ACA">
        <w:rPr>
          <w:noProof/>
        </w:rPr>
        <w:t>ystem (CMS)</w:t>
      </w:r>
      <w:r w:rsidR="00B91C45" w:rsidRPr="7CC317AF">
        <w:rPr>
          <w:noProof/>
        </w:rPr>
        <w:t xml:space="preserve"> -</w:t>
      </w:r>
      <w:r w:rsidRPr="006D0ACA">
        <w:rPr>
          <w:noProof/>
        </w:rPr>
        <w:t xml:space="preserve"> in the same way as </w:t>
      </w:r>
      <w:r w:rsidR="004D2520">
        <w:rPr>
          <w:noProof/>
        </w:rPr>
        <w:t>operational</w:t>
      </w:r>
      <w:r w:rsidR="004D2520" w:rsidRPr="7CC317AF">
        <w:rPr>
          <w:noProof/>
        </w:rPr>
        <w:t xml:space="preserve"> </w:t>
      </w:r>
      <w:r w:rsidRPr="006D0ACA">
        <w:rPr>
          <w:noProof/>
        </w:rPr>
        <w:t xml:space="preserve">data related to ongoing cases of judicial cooperation supported by Eurojust. The objective is to identify potential links between judicial counter-terrorism proceedings and possible coordination needs stemming from these. </w:t>
      </w:r>
      <w:r w:rsidR="00EB73F6">
        <w:rPr>
          <w:rFonts w:eastAsia="Arial Unicode MS"/>
          <w:noProof/>
          <w:color w:val="000000" w:themeColor="text1"/>
        </w:rPr>
        <w:t>B</w:t>
      </w:r>
      <w:r w:rsidR="00EB73F6" w:rsidRPr="00617977">
        <w:rPr>
          <w:rFonts w:eastAsia="Arial Unicode MS"/>
          <w:noProof/>
          <w:color w:val="000000" w:themeColor="text1"/>
        </w:rPr>
        <w:t>ased on the findings of the Digital Criminal Justice study</w:t>
      </w:r>
      <w:r w:rsidR="00EB73F6" w:rsidRPr="006D0ACA">
        <w:rPr>
          <w:rStyle w:val="FootnoteReference"/>
          <w:noProof/>
        </w:rPr>
        <w:footnoteReference w:id="5"/>
      </w:r>
      <w:r w:rsidR="00EB73F6">
        <w:rPr>
          <w:rFonts w:eastAsia="Arial Unicode MS"/>
          <w:noProof/>
          <w:color w:val="000000" w:themeColor="text1"/>
        </w:rPr>
        <w:t>,</w:t>
      </w:r>
      <w:r w:rsidR="00EB73F6" w:rsidRPr="00617977">
        <w:rPr>
          <w:rFonts w:eastAsia="Arial Unicode MS"/>
          <w:noProof/>
          <w:color w:val="000000" w:themeColor="text1"/>
        </w:rPr>
        <w:t xml:space="preserve"> </w:t>
      </w:r>
      <w:r w:rsidR="00617977" w:rsidRPr="00617977">
        <w:rPr>
          <w:rFonts w:eastAsia="Arial Unicode MS"/>
          <w:noProof/>
          <w:color w:val="000000" w:themeColor="text1"/>
        </w:rPr>
        <w:t>improv</w:t>
      </w:r>
      <w:r w:rsidR="00EB73F6">
        <w:rPr>
          <w:rFonts w:eastAsia="Arial Unicode MS"/>
          <w:noProof/>
          <w:color w:val="000000" w:themeColor="text1"/>
        </w:rPr>
        <w:t>ing</w:t>
      </w:r>
      <w:r w:rsidR="00617977" w:rsidRPr="00617977">
        <w:rPr>
          <w:rFonts w:eastAsia="Arial Unicode MS"/>
          <w:noProof/>
          <w:color w:val="000000" w:themeColor="text1"/>
        </w:rPr>
        <w:t xml:space="preserve"> the functioning of the CTR was identified as one of the key priorities of European criminal law</w:t>
      </w:r>
      <w:r w:rsidR="00EB73F6">
        <w:rPr>
          <w:rFonts w:eastAsia="Arial Unicode MS"/>
          <w:noProof/>
          <w:color w:val="000000" w:themeColor="text1"/>
        </w:rPr>
        <w:t>.</w:t>
      </w:r>
    </w:p>
    <w:p w14:paraId="3E7CCCD0" w14:textId="52FC1F85" w:rsidR="00D0072B" w:rsidRPr="00FC6272" w:rsidRDefault="003C7DDE" w:rsidP="00FC6272">
      <w:pPr>
        <w:pBdr>
          <w:top w:val="nil"/>
          <w:left w:val="nil"/>
          <w:bottom w:val="nil"/>
          <w:right w:val="nil"/>
          <w:between w:val="nil"/>
          <w:bar w:val="nil"/>
        </w:pBdr>
        <w:rPr>
          <w:noProof/>
        </w:rPr>
      </w:pPr>
      <w:r w:rsidRPr="006D0ACA">
        <w:rPr>
          <w:noProof/>
        </w:rPr>
        <w:t>With the entry into force of Regulation (EU) 2018/1727 on the European Union Agency for Criminal Justice Cooperation</w:t>
      </w:r>
      <w:r w:rsidRPr="00101907">
        <w:rPr>
          <w:rStyle w:val="FootnoteReference"/>
          <w:rFonts w:eastAsia="Arial Unicode MS"/>
          <w:noProof/>
        </w:rPr>
        <w:footnoteReference w:id="6"/>
      </w:r>
      <w:r w:rsidRPr="006D0ACA">
        <w:rPr>
          <w:noProof/>
        </w:rPr>
        <w:t xml:space="preserve"> (‘Eurojust Regulation’) in December 2019, Eurojust was provided with a new legal framework and transformed into an EU agency. As the Eurojust Regulation was adopted before the establishment of the CTR, the CTR and its functions were not provided for in the Eurojust Regulation. </w:t>
      </w:r>
      <w:r w:rsidR="00D0072B" w:rsidRPr="002B1990">
        <w:rPr>
          <w:rFonts w:eastAsia="Arial Unicode MS"/>
          <w:noProof/>
          <w:color w:val="000000" w:themeColor="text1"/>
        </w:rPr>
        <w:t>This cr</w:t>
      </w:r>
      <w:r w:rsidR="003D1D2C" w:rsidRPr="002B1990">
        <w:rPr>
          <w:rFonts w:eastAsia="Arial Unicode MS"/>
          <w:noProof/>
          <w:color w:val="000000" w:themeColor="text1"/>
        </w:rPr>
        <w:t>eates legal uncertainties, especially as the relationship between Council Decision 200</w:t>
      </w:r>
      <w:r w:rsidR="004D2520">
        <w:rPr>
          <w:rFonts w:eastAsia="Arial Unicode MS"/>
          <w:noProof/>
          <w:color w:val="000000" w:themeColor="text1"/>
        </w:rPr>
        <w:t>5</w:t>
      </w:r>
      <w:r w:rsidR="003D1D2C" w:rsidRPr="002B1990">
        <w:rPr>
          <w:rFonts w:eastAsia="Arial Unicode MS"/>
          <w:noProof/>
          <w:color w:val="000000" w:themeColor="text1"/>
        </w:rPr>
        <w:t>/671/JHA and the Eurojust Regulation is unclear.</w:t>
      </w:r>
    </w:p>
    <w:p w14:paraId="54CA2512" w14:textId="349F7E22" w:rsidR="00D0072B" w:rsidRPr="006D0ACA" w:rsidRDefault="0018409A" w:rsidP="00D256EB">
      <w:pPr>
        <w:pBdr>
          <w:top w:val="nil"/>
          <w:left w:val="nil"/>
          <w:bottom w:val="nil"/>
          <w:right w:val="nil"/>
          <w:between w:val="nil"/>
          <w:bar w:val="nil"/>
        </w:pBdr>
        <w:spacing w:before="0" w:after="240"/>
        <w:rPr>
          <w:noProof/>
        </w:rPr>
      </w:pPr>
      <w:r w:rsidRPr="006D0ACA">
        <w:rPr>
          <w:noProof/>
        </w:rPr>
        <w:t>Further</w:t>
      </w:r>
      <w:r w:rsidR="00D0072B" w:rsidRPr="006D0ACA">
        <w:rPr>
          <w:noProof/>
        </w:rPr>
        <w:t xml:space="preserve"> problems </w:t>
      </w:r>
      <w:r w:rsidR="00D0072B" w:rsidRPr="002B1990">
        <w:rPr>
          <w:rFonts w:eastAsia="Arial Unicode MS"/>
          <w:noProof/>
          <w:color w:val="000000" w:themeColor="text1"/>
        </w:rPr>
        <w:t>exist regarding the data national authorities share with Eurojust</w:t>
      </w:r>
      <w:r w:rsidR="003D1D2C" w:rsidRPr="002B1990">
        <w:rPr>
          <w:rFonts w:eastAsia="Arial Unicode MS"/>
          <w:noProof/>
          <w:color w:val="000000" w:themeColor="text1"/>
        </w:rPr>
        <w:t xml:space="preserve">. </w:t>
      </w:r>
      <w:r w:rsidR="00D957C9">
        <w:rPr>
          <w:rFonts w:eastAsia="Arial Unicode MS"/>
          <w:noProof/>
          <w:color w:val="000000" w:themeColor="text1"/>
        </w:rPr>
        <w:t>Currently, Eurojust often does not receive the necessary data from national authorities to cross-check information on terrorism cases</w:t>
      </w:r>
      <w:r w:rsidR="00617977">
        <w:rPr>
          <w:rFonts w:eastAsia="Arial Unicode MS"/>
          <w:noProof/>
          <w:color w:val="000000" w:themeColor="text1"/>
        </w:rPr>
        <w:t xml:space="preserve"> in </w:t>
      </w:r>
      <w:r w:rsidR="00EB73F6">
        <w:rPr>
          <w:rFonts w:eastAsia="Arial Unicode MS"/>
          <w:noProof/>
          <w:color w:val="000000" w:themeColor="text1"/>
        </w:rPr>
        <w:t xml:space="preserve">line </w:t>
      </w:r>
      <w:r w:rsidR="00617977">
        <w:rPr>
          <w:rFonts w:eastAsia="Arial Unicode MS"/>
          <w:noProof/>
          <w:color w:val="000000" w:themeColor="text1"/>
        </w:rPr>
        <w:t>with Council Decision 20</w:t>
      </w:r>
      <w:r w:rsidR="004D2520">
        <w:rPr>
          <w:rFonts w:eastAsia="Arial Unicode MS"/>
          <w:noProof/>
          <w:color w:val="000000" w:themeColor="text1"/>
        </w:rPr>
        <w:t>05</w:t>
      </w:r>
      <w:r w:rsidR="00617977">
        <w:rPr>
          <w:rFonts w:eastAsia="Arial Unicode MS"/>
          <w:noProof/>
          <w:color w:val="000000" w:themeColor="text1"/>
        </w:rPr>
        <w:t>/671/JHA</w:t>
      </w:r>
      <w:r w:rsidR="00D957C9">
        <w:rPr>
          <w:rFonts w:eastAsia="Arial Unicode MS"/>
          <w:noProof/>
          <w:color w:val="000000" w:themeColor="text1"/>
        </w:rPr>
        <w:t xml:space="preserve"> and </w:t>
      </w:r>
      <w:r w:rsidR="008C039C">
        <w:rPr>
          <w:rFonts w:eastAsia="Arial Unicode MS"/>
          <w:noProof/>
          <w:color w:val="000000" w:themeColor="text1"/>
        </w:rPr>
        <w:t xml:space="preserve">on </w:t>
      </w:r>
      <w:r w:rsidR="00D957C9">
        <w:rPr>
          <w:rFonts w:eastAsia="Arial Unicode MS"/>
          <w:noProof/>
          <w:color w:val="000000" w:themeColor="text1"/>
        </w:rPr>
        <w:t>serious crimes</w:t>
      </w:r>
      <w:r w:rsidR="00617977">
        <w:rPr>
          <w:rFonts w:eastAsia="Arial Unicode MS"/>
          <w:noProof/>
          <w:color w:val="000000" w:themeColor="text1"/>
        </w:rPr>
        <w:t xml:space="preserve"> in </w:t>
      </w:r>
      <w:r w:rsidR="00EB73F6">
        <w:rPr>
          <w:rFonts w:eastAsia="Arial Unicode MS"/>
          <w:noProof/>
          <w:color w:val="000000" w:themeColor="text1"/>
        </w:rPr>
        <w:t xml:space="preserve">line </w:t>
      </w:r>
      <w:r w:rsidR="00617977">
        <w:rPr>
          <w:rFonts w:eastAsia="Arial Unicode MS"/>
          <w:noProof/>
          <w:color w:val="000000" w:themeColor="text1"/>
        </w:rPr>
        <w:t xml:space="preserve">with Article 21 </w:t>
      </w:r>
      <w:r w:rsidR="008E4B0E">
        <w:rPr>
          <w:rFonts w:eastAsia="Arial Unicode MS"/>
          <w:noProof/>
          <w:color w:val="000000" w:themeColor="text1"/>
        </w:rPr>
        <w:t xml:space="preserve">of the </w:t>
      </w:r>
      <w:r w:rsidR="00617977">
        <w:rPr>
          <w:rFonts w:eastAsia="Arial Unicode MS"/>
          <w:noProof/>
          <w:color w:val="000000" w:themeColor="text1"/>
        </w:rPr>
        <w:t>Eurojust Regulation</w:t>
      </w:r>
      <w:r w:rsidR="00D957C9">
        <w:rPr>
          <w:rFonts w:eastAsia="Arial Unicode MS"/>
          <w:noProof/>
          <w:color w:val="000000" w:themeColor="text1"/>
        </w:rPr>
        <w:t xml:space="preserve">. </w:t>
      </w:r>
      <w:r w:rsidR="00FF6DF9">
        <w:rPr>
          <w:rFonts w:eastAsia="Arial Unicode MS"/>
          <w:noProof/>
          <w:color w:val="000000" w:themeColor="text1"/>
        </w:rPr>
        <w:t xml:space="preserve">The </w:t>
      </w:r>
      <w:r w:rsidR="00617977">
        <w:rPr>
          <w:rFonts w:eastAsia="Arial Unicode MS"/>
          <w:noProof/>
          <w:color w:val="000000" w:themeColor="text1"/>
        </w:rPr>
        <w:t>reasons</w:t>
      </w:r>
      <w:r w:rsidR="00FF6DF9">
        <w:rPr>
          <w:rFonts w:eastAsia="Arial Unicode MS"/>
          <w:noProof/>
          <w:color w:val="000000" w:themeColor="text1"/>
        </w:rPr>
        <w:t xml:space="preserve"> for this are numerous</w:t>
      </w:r>
      <w:r w:rsidR="00617977">
        <w:rPr>
          <w:rFonts w:eastAsia="Arial Unicode MS"/>
          <w:noProof/>
          <w:color w:val="000000" w:themeColor="text1"/>
        </w:rPr>
        <w:t xml:space="preserve">. </w:t>
      </w:r>
      <w:r w:rsidR="00FF6DF9">
        <w:rPr>
          <w:rFonts w:eastAsia="Arial Unicode MS"/>
          <w:noProof/>
          <w:color w:val="000000" w:themeColor="text1"/>
        </w:rPr>
        <w:t>To begin with</w:t>
      </w:r>
      <w:r w:rsidR="00617977">
        <w:rPr>
          <w:rFonts w:eastAsia="Arial Unicode MS"/>
          <w:noProof/>
          <w:color w:val="000000" w:themeColor="text1"/>
        </w:rPr>
        <w:t>, Council Decision 2005/671/JHA is not sufficiently precise as it was intended to have a much broader scope.</w:t>
      </w:r>
      <w:r w:rsidR="003D1D2C" w:rsidRPr="002B1990">
        <w:rPr>
          <w:rFonts w:eastAsia="Arial Unicode MS"/>
          <w:noProof/>
          <w:color w:val="000000" w:themeColor="text1"/>
        </w:rPr>
        <w:t xml:space="preserve"> While it provides some guidance on what kind of information Member States must send to Eurojust, it is still not specific enough. In addition, information is often not shared due to the lack of secure communication channels and the administrative burden</w:t>
      </w:r>
      <w:r w:rsidRPr="002B1990">
        <w:rPr>
          <w:rFonts w:eastAsia="Arial Unicode MS"/>
          <w:noProof/>
          <w:color w:val="000000" w:themeColor="text1"/>
        </w:rPr>
        <w:t xml:space="preserve"> </w:t>
      </w:r>
      <w:r w:rsidR="00617977">
        <w:rPr>
          <w:rFonts w:eastAsia="Arial Unicode MS"/>
          <w:noProof/>
          <w:color w:val="000000" w:themeColor="text1"/>
        </w:rPr>
        <w:t xml:space="preserve">caused by </w:t>
      </w:r>
      <w:r w:rsidRPr="002B1990">
        <w:rPr>
          <w:rFonts w:eastAsia="Arial Unicode MS"/>
          <w:noProof/>
          <w:color w:val="000000" w:themeColor="text1"/>
        </w:rPr>
        <w:t>the manual extraction</w:t>
      </w:r>
      <w:r w:rsidR="00617977">
        <w:rPr>
          <w:rFonts w:eastAsia="Arial Unicode MS"/>
          <w:noProof/>
          <w:color w:val="000000" w:themeColor="text1"/>
        </w:rPr>
        <w:t xml:space="preserve"> </w:t>
      </w:r>
      <w:r w:rsidR="00FF6DF9">
        <w:rPr>
          <w:rFonts w:eastAsia="Arial Unicode MS"/>
          <w:noProof/>
          <w:color w:val="000000" w:themeColor="text1"/>
        </w:rPr>
        <w:t>of the information</w:t>
      </w:r>
      <w:r w:rsidR="003D1D2C" w:rsidRPr="002B1990">
        <w:rPr>
          <w:rFonts w:eastAsia="Arial Unicode MS"/>
          <w:noProof/>
          <w:color w:val="000000" w:themeColor="text1"/>
        </w:rPr>
        <w:t xml:space="preserve">, as more structured </w:t>
      </w:r>
      <w:r w:rsidRPr="002B1990">
        <w:rPr>
          <w:rFonts w:eastAsia="Arial Unicode MS"/>
          <w:noProof/>
          <w:color w:val="000000" w:themeColor="text1"/>
        </w:rPr>
        <w:t>and automated exchange</w:t>
      </w:r>
      <w:r w:rsidR="00FF6DF9">
        <w:rPr>
          <w:rFonts w:eastAsia="Arial Unicode MS"/>
          <w:noProof/>
          <w:color w:val="000000" w:themeColor="text1"/>
        </w:rPr>
        <w:t>s</w:t>
      </w:r>
      <w:r w:rsidRPr="002B1990">
        <w:rPr>
          <w:rFonts w:eastAsia="Arial Unicode MS"/>
          <w:noProof/>
          <w:color w:val="000000" w:themeColor="text1"/>
        </w:rPr>
        <w:t xml:space="preserve"> </w:t>
      </w:r>
      <w:r w:rsidR="003D1D2C" w:rsidRPr="002B1990">
        <w:rPr>
          <w:rFonts w:eastAsia="Arial Unicode MS"/>
          <w:noProof/>
          <w:color w:val="000000" w:themeColor="text1"/>
        </w:rPr>
        <w:t xml:space="preserve">of data </w:t>
      </w:r>
      <w:r w:rsidR="00FF6DF9">
        <w:rPr>
          <w:rFonts w:eastAsia="Arial Unicode MS"/>
          <w:noProof/>
          <w:color w:val="000000" w:themeColor="text1"/>
        </w:rPr>
        <w:t>are</w:t>
      </w:r>
      <w:r w:rsidR="00FF6DF9" w:rsidRPr="002B1990">
        <w:rPr>
          <w:rFonts w:eastAsia="Arial Unicode MS"/>
          <w:noProof/>
          <w:color w:val="000000" w:themeColor="text1"/>
        </w:rPr>
        <w:t xml:space="preserve"> </w:t>
      </w:r>
      <w:r w:rsidRPr="002B1990">
        <w:rPr>
          <w:rFonts w:eastAsia="Arial Unicode MS"/>
          <w:noProof/>
          <w:color w:val="000000" w:themeColor="text1"/>
        </w:rPr>
        <w:t xml:space="preserve">not possible without further digitalisation. </w:t>
      </w:r>
    </w:p>
    <w:p w14:paraId="69FD17C0" w14:textId="7BAC9862" w:rsidR="00D0072B" w:rsidRPr="002B1990" w:rsidRDefault="00E56C74" w:rsidP="00D256EB">
      <w:pPr>
        <w:pBdr>
          <w:top w:val="nil"/>
          <w:left w:val="nil"/>
          <w:bottom w:val="nil"/>
          <w:right w:val="nil"/>
          <w:between w:val="nil"/>
          <w:bar w:val="nil"/>
        </w:pBdr>
        <w:spacing w:before="0" w:after="240"/>
        <w:rPr>
          <w:rFonts w:eastAsia="Arial Unicode MS"/>
          <w:noProof/>
          <w:color w:val="000000" w:themeColor="text1"/>
        </w:rPr>
      </w:pPr>
      <w:r>
        <w:rPr>
          <w:noProof/>
        </w:rPr>
        <w:t>Moreover,</w:t>
      </w:r>
      <w:r w:rsidR="00617977" w:rsidRPr="006D0ACA">
        <w:rPr>
          <w:noProof/>
        </w:rPr>
        <w:t xml:space="preserve"> the</w:t>
      </w:r>
      <w:r w:rsidR="003C7DDE" w:rsidRPr="7CC317AF">
        <w:rPr>
          <w:noProof/>
        </w:rPr>
        <w:t xml:space="preserve"> </w:t>
      </w:r>
      <w:r w:rsidR="0018409A" w:rsidRPr="006D0ACA">
        <w:rPr>
          <w:noProof/>
        </w:rPr>
        <w:t xml:space="preserve">current CMS and the data processing environment are limiting Eurojust’s more proactive role in digitalised judicial cooperation. The </w:t>
      </w:r>
      <w:r w:rsidR="003C7DDE" w:rsidRPr="006D0ACA">
        <w:rPr>
          <w:noProof/>
        </w:rPr>
        <w:t xml:space="preserve">technically outdated Eurojust CMS is </w:t>
      </w:r>
      <w:r w:rsidR="00FF6DF9">
        <w:rPr>
          <w:noProof/>
        </w:rPr>
        <w:t>un</w:t>
      </w:r>
      <w:r w:rsidR="003C7DDE" w:rsidRPr="006D0ACA">
        <w:rPr>
          <w:noProof/>
        </w:rPr>
        <w:t xml:space="preserve">able to </w:t>
      </w:r>
      <w:r w:rsidR="00FF6DF9">
        <w:rPr>
          <w:noProof/>
        </w:rPr>
        <w:t xml:space="preserve">properly </w:t>
      </w:r>
      <w:r w:rsidR="003C7DDE" w:rsidRPr="006D0ACA">
        <w:rPr>
          <w:noProof/>
        </w:rPr>
        <w:t>integrate and support a</w:t>
      </w:r>
      <w:r w:rsidR="00000EE2" w:rsidRPr="006D0ACA">
        <w:rPr>
          <w:noProof/>
        </w:rPr>
        <w:t>n</w:t>
      </w:r>
      <w:r w:rsidR="003C7DDE" w:rsidRPr="7CC317AF">
        <w:rPr>
          <w:noProof/>
        </w:rPr>
        <w:t xml:space="preserve"> </w:t>
      </w:r>
      <w:r w:rsidR="0010640D" w:rsidRPr="006D0ACA">
        <w:rPr>
          <w:noProof/>
        </w:rPr>
        <w:t xml:space="preserve">innovative </w:t>
      </w:r>
      <w:r w:rsidR="003C7DDE" w:rsidRPr="006D0ACA">
        <w:rPr>
          <w:noProof/>
        </w:rPr>
        <w:t xml:space="preserve">tool requiring </w:t>
      </w:r>
      <w:r w:rsidR="0010640D" w:rsidRPr="006D0ACA">
        <w:rPr>
          <w:noProof/>
        </w:rPr>
        <w:t xml:space="preserve">secure digital exchange and cross-checking </w:t>
      </w:r>
      <w:r w:rsidR="003C7DDE" w:rsidRPr="006D0ACA">
        <w:rPr>
          <w:noProof/>
        </w:rPr>
        <w:t>of data such as the CTR</w:t>
      </w:r>
      <w:r w:rsidR="003C7DDE" w:rsidRPr="7CC317AF">
        <w:rPr>
          <w:noProof/>
        </w:rPr>
        <w:t xml:space="preserve">. </w:t>
      </w:r>
      <w:r w:rsidR="008C039C">
        <w:rPr>
          <w:rFonts w:eastAsia="Arial Unicode MS"/>
          <w:noProof/>
          <w:color w:val="000000" w:themeColor="text1"/>
        </w:rPr>
        <w:t>In addition, the</w:t>
      </w:r>
      <w:r w:rsidR="0018409A" w:rsidRPr="002B1990">
        <w:rPr>
          <w:rFonts w:eastAsia="Arial Unicode MS"/>
          <w:noProof/>
          <w:color w:val="000000" w:themeColor="text1"/>
        </w:rPr>
        <w:t xml:space="preserve"> technical </w:t>
      </w:r>
      <w:r w:rsidR="008C039C">
        <w:rPr>
          <w:rFonts w:eastAsia="Arial Unicode MS"/>
          <w:noProof/>
          <w:color w:val="000000" w:themeColor="text1"/>
        </w:rPr>
        <w:t>design of the CMS</w:t>
      </w:r>
      <w:r w:rsidR="0018409A" w:rsidRPr="002B1990">
        <w:rPr>
          <w:rFonts w:eastAsia="Arial Unicode MS"/>
          <w:noProof/>
          <w:color w:val="000000" w:themeColor="text1"/>
        </w:rPr>
        <w:t xml:space="preserve"> is reflected in the Eurojust Regulation. The Eurojust Regulation restricts the set</w:t>
      </w:r>
      <w:r w:rsidR="00FF6DF9">
        <w:rPr>
          <w:rFonts w:eastAsia="Arial Unicode MS"/>
          <w:noProof/>
          <w:color w:val="000000" w:themeColor="text1"/>
        </w:rPr>
        <w:t xml:space="preserve"> </w:t>
      </w:r>
      <w:r w:rsidR="0018409A" w:rsidRPr="002B1990">
        <w:rPr>
          <w:rFonts w:eastAsia="Arial Unicode MS"/>
          <w:noProof/>
          <w:color w:val="000000" w:themeColor="text1"/>
        </w:rPr>
        <w:t>up of the CMS to temporary work file</w:t>
      </w:r>
      <w:r w:rsidR="00617977">
        <w:rPr>
          <w:rFonts w:eastAsia="Arial Unicode MS"/>
          <w:noProof/>
          <w:color w:val="000000" w:themeColor="text1"/>
        </w:rPr>
        <w:t>s, aiming to support the administrative follow-up on ongoing cases,</w:t>
      </w:r>
      <w:r w:rsidR="0018409A" w:rsidRPr="002B1990">
        <w:rPr>
          <w:rFonts w:eastAsia="Arial Unicode MS"/>
          <w:noProof/>
          <w:color w:val="000000" w:themeColor="text1"/>
        </w:rPr>
        <w:t xml:space="preserve"> and an index</w:t>
      </w:r>
      <w:r w:rsidR="0018409A" w:rsidRPr="006D0ACA">
        <w:rPr>
          <w:rStyle w:val="FootnoteReference"/>
          <w:noProof/>
        </w:rPr>
        <w:footnoteReference w:id="7"/>
      </w:r>
      <w:r w:rsidR="008E4B0E">
        <w:rPr>
          <w:rFonts w:eastAsia="Arial Unicode MS"/>
          <w:noProof/>
          <w:color w:val="000000" w:themeColor="text1"/>
        </w:rPr>
        <w:t>.</w:t>
      </w:r>
      <w:r w:rsidR="0018409A" w:rsidRPr="002B1990">
        <w:rPr>
          <w:rFonts w:eastAsia="Arial Unicode MS"/>
          <w:noProof/>
          <w:color w:val="000000" w:themeColor="text1"/>
        </w:rPr>
        <w:t xml:space="preserve"> It does not </w:t>
      </w:r>
      <w:r w:rsidR="00720167">
        <w:rPr>
          <w:rFonts w:eastAsia="Arial Unicode MS"/>
          <w:noProof/>
          <w:color w:val="000000" w:themeColor="text1"/>
        </w:rPr>
        <w:t xml:space="preserve">explicitly provide for </w:t>
      </w:r>
      <w:r w:rsidR="0018409A" w:rsidRPr="002B1990">
        <w:rPr>
          <w:rFonts w:eastAsia="Arial Unicode MS"/>
          <w:noProof/>
          <w:color w:val="000000" w:themeColor="text1"/>
        </w:rPr>
        <w:t xml:space="preserve">an additional </w:t>
      </w:r>
      <w:r w:rsidR="00FF6DF9" w:rsidRPr="002B1990">
        <w:rPr>
          <w:rFonts w:eastAsia="Arial Unicode MS"/>
          <w:noProof/>
          <w:color w:val="000000" w:themeColor="text1"/>
        </w:rPr>
        <w:t xml:space="preserve">CTR </w:t>
      </w:r>
      <w:r w:rsidR="0018409A" w:rsidRPr="002B1990">
        <w:rPr>
          <w:rFonts w:eastAsia="Arial Unicode MS"/>
          <w:noProof/>
          <w:color w:val="000000" w:themeColor="text1"/>
        </w:rPr>
        <w:t>database</w:t>
      </w:r>
      <w:r w:rsidR="008C039C">
        <w:rPr>
          <w:rFonts w:eastAsia="Arial Unicode MS"/>
          <w:noProof/>
          <w:color w:val="000000" w:themeColor="text1"/>
        </w:rPr>
        <w:t xml:space="preserve"> </w:t>
      </w:r>
      <w:r w:rsidR="0018409A" w:rsidRPr="002B1990">
        <w:rPr>
          <w:rFonts w:eastAsia="Arial Unicode MS"/>
          <w:noProof/>
          <w:color w:val="000000" w:themeColor="text1"/>
        </w:rPr>
        <w:t>within the CMS to be set up. Processing of personal data outside the CMS is prohibited</w:t>
      </w:r>
      <w:r w:rsidR="00183611" w:rsidRPr="006D0ACA">
        <w:rPr>
          <w:rStyle w:val="FootnoteReference"/>
          <w:noProof/>
        </w:rPr>
        <w:footnoteReference w:id="8"/>
      </w:r>
      <w:r w:rsidR="008E4B0E">
        <w:rPr>
          <w:rFonts w:eastAsia="Arial Unicode MS"/>
          <w:noProof/>
          <w:color w:val="000000" w:themeColor="text1"/>
        </w:rPr>
        <w:t>.</w:t>
      </w:r>
      <w:r w:rsidR="0018409A" w:rsidRPr="002B1990">
        <w:rPr>
          <w:rFonts w:eastAsia="Arial Unicode MS"/>
          <w:noProof/>
          <w:color w:val="000000" w:themeColor="text1"/>
        </w:rPr>
        <w:t xml:space="preserve"> Therefore, the establishment of an additional </w:t>
      </w:r>
      <w:r w:rsidR="001E1475">
        <w:rPr>
          <w:rFonts w:eastAsia="Arial Unicode MS"/>
          <w:noProof/>
          <w:color w:val="000000" w:themeColor="text1"/>
        </w:rPr>
        <w:t xml:space="preserve">CTR </w:t>
      </w:r>
      <w:r w:rsidR="0018409A" w:rsidRPr="002B1990">
        <w:rPr>
          <w:rFonts w:eastAsia="Arial Unicode MS"/>
          <w:noProof/>
          <w:color w:val="000000" w:themeColor="text1"/>
        </w:rPr>
        <w:t>database outside the CMS is also not legally possible.</w:t>
      </w:r>
    </w:p>
    <w:p w14:paraId="2D851664" w14:textId="02A288A1" w:rsidR="00D745EF" w:rsidRPr="006D0ACA" w:rsidRDefault="001E1475" w:rsidP="00D256EB">
      <w:pPr>
        <w:pBdr>
          <w:top w:val="nil"/>
          <w:left w:val="nil"/>
          <w:bottom w:val="nil"/>
          <w:right w:val="nil"/>
          <w:between w:val="nil"/>
          <w:bar w:val="nil"/>
        </w:pBdr>
        <w:spacing w:before="0" w:after="240"/>
        <w:rPr>
          <w:noProof/>
        </w:rPr>
      </w:pPr>
      <w:r>
        <w:rPr>
          <w:rFonts w:eastAsia="Arial Unicode MS"/>
          <w:noProof/>
          <w:color w:val="000000" w:themeColor="text1"/>
        </w:rPr>
        <w:t>P</w:t>
      </w:r>
      <w:r w:rsidR="00D745EF" w:rsidRPr="002B1990">
        <w:rPr>
          <w:rFonts w:eastAsia="Arial Unicode MS"/>
          <w:noProof/>
          <w:color w:val="000000" w:themeColor="text1"/>
        </w:rPr>
        <w:t xml:space="preserve">ractical and legal challenges </w:t>
      </w:r>
      <w:r>
        <w:rPr>
          <w:rFonts w:eastAsia="Arial Unicode MS"/>
          <w:noProof/>
          <w:color w:val="000000" w:themeColor="text1"/>
        </w:rPr>
        <w:t xml:space="preserve">also </w:t>
      </w:r>
      <w:r w:rsidR="008C039C">
        <w:rPr>
          <w:rFonts w:eastAsia="Arial Unicode MS"/>
          <w:noProof/>
          <w:color w:val="000000" w:themeColor="text1"/>
        </w:rPr>
        <w:t>exist</w:t>
      </w:r>
      <w:r w:rsidR="0041167C">
        <w:rPr>
          <w:rFonts w:eastAsia="Arial Unicode MS"/>
          <w:noProof/>
          <w:color w:val="000000" w:themeColor="text1"/>
        </w:rPr>
        <w:t xml:space="preserve"> </w:t>
      </w:r>
      <w:r w:rsidR="0018409A" w:rsidRPr="002B1990">
        <w:rPr>
          <w:rFonts w:eastAsia="Arial Unicode MS"/>
          <w:noProof/>
          <w:color w:val="000000" w:themeColor="text1"/>
        </w:rPr>
        <w:t>regarding the cooperation</w:t>
      </w:r>
      <w:r w:rsidR="00D745EF" w:rsidRPr="002B1990">
        <w:rPr>
          <w:rFonts w:eastAsia="Arial Unicode MS"/>
          <w:noProof/>
          <w:color w:val="000000" w:themeColor="text1"/>
        </w:rPr>
        <w:t xml:space="preserve"> with third country Liaison Prosecutors (LPs). Eurojust has concluded cooperation agreements with 12 third countries</w:t>
      </w:r>
      <w:r w:rsidR="00D745EF" w:rsidRPr="002B1990">
        <w:rPr>
          <w:rStyle w:val="FootnoteReference"/>
          <w:rFonts w:eastAsia="Arial Unicode MS"/>
          <w:noProof/>
          <w:color w:val="000000" w:themeColor="text1"/>
        </w:rPr>
        <w:footnoteReference w:id="9"/>
      </w:r>
      <w:r w:rsidR="00D745EF" w:rsidRPr="002B1990">
        <w:rPr>
          <w:rFonts w:eastAsia="Arial Unicode MS"/>
          <w:noProof/>
          <w:color w:val="000000" w:themeColor="text1"/>
        </w:rPr>
        <w:t xml:space="preserve"> before the entry into force of the Eurojust Regulation. These agreements contain provisions on data exchange, data protection</w:t>
      </w:r>
      <w:r w:rsidR="0041167C">
        <w:rPr>
          <w:rFonts w:eastAsia="Arial Unicode MS"/>
          <w:noProof/>
          <w:color w:val="000000" w:themeColor="text1"/>
        </w:rPr>
        <w:t xml:space="preserve"> safeguards</w:t>
      </w:r>
      <w:r w:rsidR="00D745EF" w:rsidRPr="002B1990">
        <w:rPr>
          <w:rFonts w:eastAsia="Arial Unicode MS"/>
          <w:noProof/>
          <w:color w:val="000000" w:themeColor="text1"/>
        </w:rPr>
        <w:t xml:space="preserve"> and practical cooperation. To facilitate the cooperation, they allow LPs to be posted to Eurojust. These LPs work side by side with their colleagues from EU Member States and provide support in cross-border investigations involving their country in line with the applicable cooperation agreements. </w:t>
      </w:r>
      <w:r w:rsidR="008C039C">
        <w:rPr>
          <w:rFonts w:eastAsia="Arial Unicode MS"/>
          <w:noProof/>
          <w:color w:val="000000" w:themeColor="text1"/>
        </w:rPr>
        <w:t xml:space="preserve">The Eurojust Regulation, however, does not mention these LPs or their access to the CMS at all. Therefore, </w:t>
      </w:r>
      <w:r w:rsidR="00D745EF" w:rsidRPr="002B1990">
        <w:rPr>
          <w:rFonts w:eastAsia="Arial Unicode MS"/>
          <w:noProof/>
          <w:color w:val="000000" w:themeColor="text1"/>
        </w:rPr>
        <w:t xml:space="preserve">it is </w:t>
      </w:r>
      <w:r w:rsidR="008C039C">
        <w:rPr>
          <w:rFonts w:eastAsia="Arial Unicode MS"/>
          <w:noProof/>
          <w:color w:val="000000" w:themeColor="text1"/>
        </w:rPr>
        <w:t>currently</w:t>
      </w:r>
      <w:r w:rsidR="008C039C" w:rsidRPr="002B1990">
        <w:rPr>
          <w:rFonts w:eastAsia="Arial Unicode MS"/>
          <w:noProof/>
          <w:color w:val="000000" w:themeColor="text1"/>
        </w:rPr>
        <w:t xml:space="preserve"> </w:t>
      </w:r>
      <w:r w:rsidR="00D745EF" w:rsidRPr="002B1990">
        <w:rPr>
          <w:rFonts w:eastAsia="Arial Unicode MS"/>
          <w:noProof/>
          <w:color w:val="000000" w:themeColor="text1"/>
        </w:rPr>
        <w:t xml:space="preserve">unclear how data, including personal data, can be exchanged efficiently and securely with third country LPs in compliance with the Eurojust Regulation. </w:t>
      </w:r>
    </w:p>
    <w:p w14:paraId="65B8B48C" w14:textId="24A862E2" w:rsidR="00D256EB" w:rsidRPr="006D0ACA" w:rsidRDefault="003C7DDE" w:rsidP="00D256EB">
      <w:pPr>
        <w:pBdr>
          <w:top w:val="nil"/>
          <w:left w:val="nil"/>
          <w:bottom w:val="nil"/>
          <w:right w:val="nil"/>
          <w:between w:val="nil"/>
          <w:bar w:val="nil"/>
        </w:pBdr>
        <w:spacing w:before="0" w:after="240"/>
        <w:rPr>
          <w:noProof/>
        </w:rPr>
      </w:pPr>
      <w:r w:rsidRPr="006D0ACA">
        <w:rPr>
          <w:noProof/>
        </w:rPr>
        <w:t xml:space="preserve">To that end, this proposal seeks </w:t>
      </w:r>
      <w:r w:rsidR="00A72E78" w:rsidRPr="006D0ACA">
        <w:rPr>
          <w:noProof/>
        </w:rPr>
        <w:t xml:space="preserve">to enable Eurojust to fulfil its stronger, more proactive role </w:t>
      </w:r>
      <w:r w:rsidR="00000EE2" w:rsidRPr="006D0ACA">
        <w:rPr>
          <w:noProof/>
        </w:rPr>
        <w:t xml:space="preserve">envisaged in the Eurojust Regulation </w:t>
      </w:r>
      <w:r w:rsidR="00A72E78" w:rsidRPr="006D0ACA">
        <w:rPr>
          <w:noProof/>
        </w:rPr>
        <w:t>in supporting and strengthening the coordination and the cooperation between the national investigating and prosecuting authorities in serious crime, in particular terrorist offences</w:t>
      </w:r>
      <w:r w:rsidR="00D256EB" w:rsidRPr="006D0ACA">
        <w:rPr>
          <w:noProof/>
        </w:rPr>
        <w:t>, by:</w:t>
      </w:r>
    </w:p>
    <w:p w14:paraId="79F33DDE" w14:textId="6AE645F3" w:rsidR="00D256EB" w:rsidRPr="006D0ACA" w:rsidRDefault="001E1475" w:rsidP="00221FF8">
      <w:pPr>
        <w:pStyle w:val="Bullet0"/>
        <w:numPr>
          <w:ilvl w:val="0"/>
          <w:numId w:val="18"/>
        </w:numPr>
        <w:rPr>
          <w:noProof/>
        </w:rPr>
      </w:pPr>
      <w:r>
        <w:rPr>
          <w:noProof/>
        </w:rPr>
        <w:t>e</w:t>
      </w:r>
      <w:r w:rsidR="00D256EB" w:rsidRPr="006D0ACA">
        <w:rPr>
          <w:noProof/>
        </w:rPr>
        <w:t xml:space="preserve">nabling </w:t>
      </w:r>
      <w:r w:rsidR="00A72E78" w:rsidRPr="006D0ACA">
        <w:rPr>
          <w:noProof/>
        </w:rPr>
        <w:t>Eurojust to identify links between parallel cross-border investigations and prosecutions regarding terrorist offences more efficiently and to provide proactively feedback on these links to Member States</w:t>
      </w:r>
      <w:r w:rsidR="00D256EB" w:rsidRPr="7CC317AF">
        <w:rPr>
          <w:noProof/>
        </w:rPr>
        <w:t>;</w:t>
      </w:r>
    </w:p>
    <w:p w14:paraId="039953C8" w14:textId="1F1670EB" w:rsidR="00A72E78" w:rsidRPr="006D0ACA" w:rsidRDefault="001E1475" w:rsidP="7CC317AF">
      <w:pPr>
        <w:pStyle w:val="Bullet0"/>
        <w:rPr>
          <w:noProof/>
        </w:rPr>
      </w:pPr>
      <w:r>
        <w:rPr>
          <w:noProof/>
        </w:rPr>
        <w:t>r</w:t>
      </w:r>
      <w:r w:rsidR="00D256EB" w:rsidRPr="006D0ACA">
        <w:rPr>
          <w:noProof/>
        </w:rPr>
        <w:t>endering</w:t>
      </w:r>
      <w:r w:rsidR="00A72E78" w:rsidRPr="006D0ACA">
        <w:rPr>
          <w:noProof/>
        </w:rPr>
        <w:t xml:space="preserve"> the data exchange between Member States, Eurojust and third countries more efficient and secure.</w:t>
      </w:r>
    </w:p>
    <w:p w14:paraId="2C2FC2F3" w14:textId="5029A814" w:rsidR="008E46D4" w:rsidRPr="006D0ACA" w:rsidRDefault="00014D6B" w:rsidP="00372FD1">
      <w:pPr>
        <w:rPr>
          <w:noProof/>
        </w:rPr>
      </w:pPr>
      <w:r w:rsidRPr="006D0ACA">
        <w:rPr>
          <w:noProof/>
        </w:rPr>
        <w:t xml:space="preserve">To achieve these objectives, the proposal </w:t>
      </w:r>
      <w:r w:rsidR="00F0090D">
        <w:rPr>
          <w:noProof/>
        </w:rPr>
        <w:t xml:space="preserve">also aims to </w:t>
      </w:r>
      <w:r w:rsidR="001E1475">
        <w:rPr>
          <w:noProof/>
        </w:rPr>
        <w:t>provide legal certainty</w:t>
      </w:r>
      <w:r w:rsidR="00372FD1" w:rsidRPr="7CC317AF">
        <w:rPr>
          <w:noProof/>
        </w:rPr>
        <w:t xml:space="preserve"> </w:t>
      </w:r>
      <w:r w:rsidR="001E1475">
        <w:rPr>
          <w:noProof/>
        </w:rPr>
        <w:t>on</w:t>
      </w:r>
      <w:r w:rsidR="001E1475" w:rsidRPr="7CC317AF">
        <w:rPr>
          <w:noProof/>
        </w:rPr>
        <w:t xml:space="preserve"> </w:t>
      </w:r>
      <w:r w:rsidR="00372FD1" w:rsidRPr="006D0ACA">
        <w:rPr>
          <w:noProof/>
        </w:rPr>
        <w:t xml:space="preserve">the </w:t>
      </w:r>
      <w:r w:rsidR="001E1475">
        <w:rPr>
          <w:noProof/>
        </w:rPr>
        <w:t>precise</w:t>
      </w:r>
      <w:r w:rsidR="001E1475" w:rsidRPr="7CC317AF">
        <w:rPr>
          <w:noProof/>
        </w:rPr>
        <w:t xml:space="preserve"> </w:t>
      </w:r>
      <w:r w:rsidR="00372FD1" w:rsidRPr="006D0ACA">
        <w:rPr>
          <w:noProof/>
        </w:rPr>
        <w:t>scope of the obligation to share information in terrorism cases</w:t>
      </w:r>
      <w:r w:rsidRPr="7CC317AF">
        <w:rPr>
          <w:noProof/>
        </w:rPr>
        <w:t xml:space="preserve"> </w:t>
      </w:r>
      <w:r w:rsidR="00372FD1" w:rsidRPr="006D0ACA">
        <w:rPr>
          <w:noProof/>
        </w:rPr>
        <w:t xml:space="preserve">and the relationship </w:t>
      </w:r>
      <w:r w:rsidR="009B1D04">
        <w:rPr>
          <w:noProof/>
        </w:rPr>
        <w:t>with</w:t>
      </w:r>
      <w:r w:rsidR="009B1D04" w:rsidRPr="7CC317AF">
        <w:rPr>
          <w:noProof/>
        </w:rPr>
        <w:t xml:space="preserve"> </w:t>
      </w:r>
      <w:r w:rsidR="00372FD1" w:rsidRPr="006D0ACA">
        <w:rPr>
          <w:noProof/>
        </w:rPr>
        <w:t xml:space="preserve">Council Decision 2005/671/JHA, requiring substantive amendments to the Eurojust Regulation as well as Council Decision 2005/671/JHA. </w:t>
      </w:r>
    </w:p>
    <w:p w14:paraId="09150F66" w14:textId="4DE348D1" w:rsidR="00EB0A3C" w:rsidRPr="002B1990" w:rsidRDefault="00EB0A3C" w:rsidP="00715ADE">
      <w:pPr>
        <w:pStyle w:val="ManualHeading2"/>
        <w:rPr>
          <w:rFonts w:eastAsia="Arial Unicode MS"/>
          <w:noProof/>
          <w:color w:val="000000" w:themeColor="text1"/>
          <w:bdr w:val="nil"/>
          <w:lang w:val="en-US" w:eastAsia="en-GB"/>
        </w:rPr>
      </w:pPr>
      <w:bookmarkStart w:id="4" w:name="_Toc84517556"/>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rPr>
        <w:t>Consistency with existing policy provisions in the policy area</w:t>
      </w:r>
      <w:bookmarkEnd w:id="4"/>
    </w:p>
    <w:p w14:paraId="07FC7DEC" w14:textId="4382BC65" w:rsidR="00EB0A3C" w:rsidRDefault="00EB0A3C" w:rsidP="160710AA">
      <w:pPr>
        <w:pBdr>
          <w:top w:val="nil"/>
          <w:left w:val="nil"/>
          <w:bottom w:val="nil"/>
          <w:right w:val="nil"/>
          <w:between w:val="nil"/>
          <w:bar w:val="nil"/>
        </w:pBdr>
        <w:spacing w:before="0" w:after="240"/>
        <w:rPr>
          <w:noProof/>
        </w:rPr>
      </w:pPr>
      <w:r w:rsidRPr="006D0ACA">
        <w:rPr>
          <w:noProof/>
        </w:rPr>
        <w:t>Th</w:t>
      </w:r>
      <w:r w:rsidR="00D147B6">
        <w:rPr>
          <w:noProof/>
        </w:rPr>
        <w:t>e</w:t>
      </w:r>
      <w:r w:rsidRPr="006D0ACA">
        <w:rPr>
          <w:noProof/>
        </w:rPr>
        <w:t xml:space="preserve"> proposal was announced in the Commission’s Communication on the digitalisation of justice in the </w:t>
      </w:r>
      <w:r w:rsidR="00D256EB" w:rsidRPr="006D0ACA">
        <w:rPr>
          <w:noProof/>
        </w:rPr>
        <w:t>EU</w:t>
      </w:r>
      <w:r w:rsidR="00193F20" w:rsidRPr="00101907">
        <w:rPr>
          <w:rStyle w:val="FootnoteReference"/>
          <w:rFonts w:eastAsia="Arial Unicode MS"/>
          <w:noProof/>
        </w:rPr>
        <w:footnoteReference w:id="10"/>
      </w:r>
      <w:r w:rsidRPr="006D0ACA">
        <w:rPr>
          <w:noProof/>
        </w:rPr>
        <w:t xml:space="preserve"> as part of a broader initiative to enable the secure electronic communication and exchange of information and documents between courts, national authorities, and justice and home affairs agencies. </w:t>
      </w:r>
      <w:r w:rsidR="00DF34BD">
        <w:rPr>
          <w:noProof/>
        </w:rPr>
        <w:t>In line with the Communication, it builds on e-CODEX</w:t>
      </w:r>
      <w:r w:rsidR="00DF34BD">
        <w:rPr>
          <w:rStyle w:val="FootnoteReference"/>
          <w:noProof/>
        </w:rPr>
        <w:footnoteReference w:id="11"/>
      </w:r>
      <w:r w:rsidR="00DF34BD">
        <w:rPr>
          <w:noProof/>
        </w:rPr>
        <w:t xml:space="preserve"> as the gold standard for secure digital communication in cross-border judicial proceedings. </w:t>
      </w:r>
      <w:r w:rsidRPr="006D0ACA">
        <w:rPr>
          <w:noProof/>
        </w:rPr>
        <w:t>As part of the digitalisation of justice package and together with the initiative on the digitalisation of cross-border judicial cooperation and the initiative on Joint Investigation Teams collaboration platform, it is one of the proposals</w:t>
      </w:r>
      <w:r w:rsidR="00F758DF">
        <w:rPr>
          <w:noProof/>
        </w:rPr>
        <w:t xml:space="preserve"> listed</w:t>
      </w:r>
      <w:r w:rsidRPr="006D0ACA">
        <w:rPr>
          <w:noProof/>
        </w:rPr>
        <w:t xml:space="preserve"> in the 2021 Commission work plan under the heading ‘A New Push for European Democracy</w:t>
      </w:r>
      <w:r w:rsidR="00A8552E" w:rsidRPr="58C9E2C4">
        <w:rPr>
          <w:noProof/>
        </w:rPr>
        <w:t>’</w:t>
      </w:r>
      <w:r w:rsidR="0083334D">
        <w:rPr>
          <w:rStyle w:val="FootnoteReference"/>
          <w:noProof/>
        </w:rPr>
        <w:footnoteReference w:id="12"/>
      </w:r>
      <w:r w:rsidR="008E4B0E">
        <w:rPr>
          <w:noProof/>
        </w:rPr>
        <w:t>.</w:t>
      </w:r>
    </w:p>
    <w:p w14:paraId="087E9E97" w14:textId="42DDA66C" w:rsidR="00F0090D" w:rsidRPr="006D0ACA" w:rsidRDefault="00F0090D" w:rsidP="006A0D14">
      <w:pPr>
        <w:rPr>
          <w:noProof/>
        </w:rPr>
      </w:pPr>
      <w:r>
        <w:rPr>
          <w:rFonts w:eastAsia="Arial Unicode MS"/>
          <w:noProof/>
          <w:color w:val="000000" w:themeColor="text1"/>
        </w:rPr>
        <w:t xml:space="preserve">The proposal also takes into account </w:t>
      </w:r>
      <w:r>
        <w:rPr>
          <w:noProof/>
        </w:rPr>
        <w:t xml:space="preserve">the Commission proposal for a Directive </w:t>
      </w:r>
      <w:r w:rsidR="00E529CF">
        <w:rPr>
          <w:noProof/>
        </w:rPr>
        <w:t>(EU) […/…] of the European Parliament and the Council</w:t>
      </w:r>
      <w:r w:rsidR="00E529CF">
        <w:rPr>
          <w:rStyle w:val="FootnoteReference"/>
          <w:noProof/>
        </w:rPr>
        <w:footnoteReference w:id="13"/>
      </w:r>
      <w:r w:rsidR="00E529CF">
        <w:rPr>
          <w:noProof/>
        </w:rPr>
        <w:t xml:space="preserve"> </w:t>
      </w:r>
      <w:r>
        <w:rPr>
          <w:noProof/>
        </w:rPr>
        <w:t>amending</w:t>
      </w:r>
      <w:r w:rsidRPr="006D0ACA">
        <w:rPr>
          <w:noProof/>
        </w:rPr>
        <w:t xml:space="preserve"> Council Decision 2005/671/JHA </w:t>
      </w:r>
      <w:r>
        <w:rPr>
          <w:noProof/>
        </w:rPr>
        <w:t xml:space="preserve">in order to align it </w:t>
      </w:r>
      <w:r w:rsidRPr="006D0ACA">
        <w:rPr>
          <w:noProof/>
        </w:rPr>
        <w:t>with Directive (EU) 2016/680</w:t>
      </w:r>
      <w:r w:rsidRPr="00101907">
        <w:rPr>
          <w:rStyle w:val="FootnoteReference"/>
          <w:rFonts w:eastAsia="Arial Unicode MS"/>
          <w:noProof/>
        </w:rPr>
        <w:footnoteReference w:id="14"/>
      </w:r>
      <w:r w:rsidRPr="006D0ACA">
        <w:rPr>
          <w:noProof/>
        </w:rPr>
        <w:t xml:space="preserve"> (the Data Protection Law Enforcement Directive – LED)</w:t>
      </w:r>
      <w:r w:rsidRPr="1FF0445A">
        <w:rPr>
          <w:noProof/>
        </w:rPr>
        <w:t xml:space="preserve">. </w:t>
      </w:r>
      <w:r>
        <w:rPr>
          <w:noProof/>
        </w:rPr>
        <w:t>Close coordination will be necessary throughout the legislative process to ensure consistency of the amendments</w:t>
      </w:r>
      <w:r w:rsidRPr="1FF0445A">
        <w:rPr>
          <w:noProof/>
        </w:rPr>
        <w:t>.</w:t>
      </w:r>
    </w:p>
    <w:p w14:paraId="7C776D3F" w14:textId="77777777" w:rsidR="00EB0A3C" w:rsidRPr="002B1990" w:rsidRDefault="00EB0A3C" w:rsidP="00715ADE">
      <w:pPr>
        <w:pStyle w:val="ManualHeading2"/>
        <w:rPr>
          <w:rFonts w:eastAsia="Arial Unicode MS"/>
          <w:noProof/>
          <w:color w:val="000000" w:themeColor="text1"/>
        </w:rPr>
      </w:pPr>
      <w:bookmarkStart w:id="5" w:name="_Toc84517557"/>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rPr>
        <w:t>Consistency with other Union policies</w:t>
      </w:r>
      <w:bookmarkEnd w:id="5"/>
    </w:p>
    <w:p w14:paraId="0CA6F1AA" w14:textId="60D8E3B3" w:rsidR="007E6658" w:rsidRPr="006D0ACA" w:rsidRDefault="00DF432B" w:rsidP="007E6658">
      <w:pPr>
        <w:pBdr>
          <w:top w:val="nil"/>
          <w:left w:val="nil"/>
          <w:bottom w:val="nil"/>
          <w:right w:val="nil"/>
          <w:between w:val="nil"/>
          <w:bar w:val="nil"/>
        </w:pBdr>
        <w:spacing w:before="0" w:after="240"/>
        <w:rPr>
          <w:noProof/>
        </w:rPr>
      </w:pPr>
      <w:r w:rsidRPr="002B1990">
        <w:rPr>
          <w:rFonts w:eastAsia="Arial Unicode MS"/>
          <w:noProof/>
          <w:color w:val="000000" w:themeColor="text1"/>
        </w:rPr>
        <w:t>The importance of i</w:t>
      </w:r>
      <w:r w:rsidR="00196C2B" w:rsidRPr="002B1990">
        <w:rPr>
          <w:rFonts w:eastAsia="Arial Unicode MS"/>
          <w:noProof/>
          <w:color w:val="000000" w:themeColor="text1"/>
        </w:rPr>
        <w:t xml:space="preserve">mproving the digital exchange of data on terrorism cases </w:t>
      </w:r>
      <w:r w:rsidR="007B2D5A">
        <w:rPr>
          <w:rFonts w:eastAsia="Arial Unicode MS"/>
          <w:noProof/>
          <w:color w:val="000000" w:themeColor="text1"/>
        </w:rPr>
        <w:t xml:space="preserve">and </w:t>
      </w:r>
      <w:r w:rsidR="008E4B0E">
        <w:rPr>
          <w:rFonts w:eastAsia="Arial Unicode MS"/>
          <w:noProof/>
          <w:color w:val="000000" w:themeColor="text1"/>
        </w:rPr>
        <w:t>of</w:t>
      </w:r>
      <w:r w:rsidR="007B2D5A">
        <w:rPr>
          <w:rFonts w:eastAsia="Arial Unicode MS"/>
          <w:noProof/>
          <w:color w:val="000000" w:themeColor="text1"/>
        </w:rPr>
        <w:t xml:space="preserve"> modernising Eurojust’s CMS</w:t>
      </w:r>
      <w:r w:rsidR="00196C2B" w:rsidRPr="002B1990">
        <w:rPr>
          <w:rFonts w:eastAsia="Arial Unicode MS"/>
          <w:noProof/>
          <w:color w:val="000000" w:themeColor="text1"/>
        </w:rPr>
        <w:t xml:space="preserve"> </w:t>
      </w:r>
      <w:r w:rsidRPr="002B1990">
        <w:rPr>
          <w:rFonts w:eastAsia="Arial Unicode MS"/>
          <w:noProof/>
          <w:color w:val="000000" w:themeColor="text1"/>
        </w:rPr>
        <w:t xml:space="preserve">has been stressed in several high-level documents, such as </w:t>
      </w:r>
      <w:r w:rsidR="00196C2B" w:rsidRPr="002B1990">
        <w:rPr>
          <w:rFonts w:eastAsia="Arial Unicode MS"/>
          <w:noProof/>
          <w:color w:val="000000" w:themeColor="text1"/>
        </w:rPr>
        <w:t xml:space="preserve">the EU Security Union </w:t>
      </w:r>
      <w:r w:rsidR="00C3510B">
        <w:rPr>
          <w:rFonts w:eastAsia="Arial Unicode MS"/>
          <w:noProof/>
          <w:color w:val="000000" w:themeColor="text1"/>
        </w:rPr>
        <w:t>s</w:t>
      </w:r>
      <w:r w:rsidR="00196C2B" w:rsidRPr="002B1990">
        <w:rPr>
          <w:rFonts w:eastAsia="Arial Unicode MS"/>
          <w:noProof/>
          <w:color w:val="000000" w:themeColor="text1"/>
        </w:rPr>
        <w:t>trategy</w:t>
      </w:r>
      <w:r w:rsidR="00193F20" w:rsidRPr="002B1990">
        <w:rPr>
          <w:rStyle w:val="FootnoteReference"/>
          <w:rFonts w:eastAsia="Arial Unicode MS"/>
          <w:noProof/>
          <w:color w:val="000000" w:themeColor="text1"/>
        </w:rPr>
        <w:footnoteReference w:id="15"/>
      </w:r>
      <w:r w:rsidR="00196C2B" w:rsidRPr="002B1990">
        <w:rPr>
          <w:rFonts w:eastAsia="Arial Unicode MS"/>
          <w:noProof/>
          <w:color w:val="000000" w:themeColor="text1"/>
        </w:rPr>
        <w:t xml:space="preserve">, the Counter-Terrorism </w:t>
      </w:r>
      <w:r w:rsidR="00C3510B">
        <w:rPr>
          <w:rFonts w:eastAsia="Arial Unicode MS"/>
          <w:noProof/>
          <w:color w:val="000000" w:themeColor="text1"/>
        </w:rPr>
        <w:t>a</w:t>
      </w:r>
      <w:r w:rsidR="00196C2B" w:rsidRPr="002B1990">
        <w:rPr>
          <w:rFonts w:eastAsia="Arial Unicode MS"/>
          <w:noProof/>
          <w:color w:val="000000" w:themeColor="text1"/>
        </w:rPr>
        <w:t>genda for the EU</w:t>
      </w:r>
      <w:r w:rsidR="00193F20" w:rsidRPr="002B1990">
        <w:rPr>
          <w:rStyle w:val="FootnoteReference"/>
          <w:rFonts w:eastAsia="Arial Unicode MS"/>
          <w:noProof/>
          <w:color w:val="000000" w:themeColor="text1"/>
        </w:rPr>
        <w:footnoteReference w:id="16"/>
      </w:r>
      <w:r w:rsidR="00196C2B" w:rsidRPr="002B1990">
        <w:rPr>
          <w:rFonts w:eastAsia="Arial Unicode MS"/>
          <w:noProof/>
          <w:color w:val="000000" w:themeColor="text1"/>
        </w:rPr>
        <w:t xml:space="preserve"> and the EU </w:t>
      </w:r>
      <w:r w:rsidR="00C3510B">
        <w:rPr>
          <w:rFonts w:eastAsia="Arial Unicode MS"/>
          <w:noProof/>
          <w:color w:val="000000" w:themeColor="text1"/>
        </w:rPr>
        <w:t>s</w:t>
      </w:r>
      <w:r w:rsidR="00196C2B" w:rsidRPr="002B1990">
        <w:rPr>
          <w:rFonts w:eastAsia="Arial Unicode MS"/>
          <w:noProof/>
          <w:color w:val="000000" w:themeColor="text1"/>
        </w:rPr>
        <w:t>trategy to tackle Organised Crime</w:t>
      </w:r>
      <w:r w:rsidR="00193F20" w:rsidRPr="002B1990">
        <w:rPr>
          <w:rStyle w:val="FootnoteReference"/>
          <w:rFonts w:eastAsia="Arial Unicode MS"/>
          <w:noProof/>
          <w:color w:val="000000" w:themeColor="text1"/>
        </w:rPr>
        <w:footnoteReference w:id="17"/>
      </w:r>
      <w:r w:rsidR="00196C2B" w:rsidRPr="002B1990">
        <w:rPr>
          <w:rFonts w:eastAsia="Arial Unicode MS"/>
          <w:noProof/>
          <w:color w:val="000000" w:themeColor="text1"/>
        </w:rPr>
        <w:t xml:space="preserve">. </w:t>
      </w:r>
      <w:r w:rsidR="00EB0A3C" w:rsidRPr="006D0ACA">
        <w:rPr>
          <w:noProof/>
        </w:rPr>
        <w:t xml:space="preserve">In the </w:t>
      </w:r>
      <w:r w:rsidR="00196C2B" w:rsidRPr="006D0ACA">
        <w:rPr>
          <w:noProof/>
        </w:rPr>
        <w:t xml:space="preserve">latter, the </w:t>
      </w:r>
      <w:r w:rsidR="00EB0A3C" w:rsidRPr="006D0ACA">
        <w:rPr>
          <w:noProof/>
        </w:rPr>
        <w:t xml:space="preserve">Commission announced </w:t>
      </w:r>
      <w:r w:rsidR="00C3510B" w:rsidRPr="006D0ACA">
        <w:rPr>
          <w:noProof/>
        </w:rPr>
        <w:t>it</w:t>
      </w:r>
      <w:r w:rsidR="00C3510B">
        <w:rPr>
          <w:noProof/>
        </w:rPr>
        <w:t xml:space="preserve"> would</w:t>
      </w:r>
      <w:r w:rsidR="00C3510B" w:rsidRPr="7CC317AF">
        <w:rPr>
          <w:noProof/>
        </w:rPr>
        <w:t xml:space="preserve"> </w:t>
      </w:r>
      <w:r w:rsidR="00EB0A3C" w:rsidRPr="006D0ACA">
        <w:rPr>
          <w:noProof/>
        </w:rPr>
        <w:t>support modernising Eurojust’s CMS to help Eurojust provide feedback to national authorities and detect judicial links between ongoing investigations.</w:t>
      </w:r>
    </w:p>
    <w:p w14:paraId="7B91D042" w14:textId="2479ACD9" w:rsidR="00DF432B" w:rsidRPr="006D0ACA" w:rsidRDefault="007E6658" w:rsidP="00715ADE">
      <w:pPr>
        <w:pBdr>
          <w:top w:val="nil"/>
          <w:left w:val="nil"/>
          <w:bottom w:val="nil"/>
          <w:right w:val="nil"/>
          <w:between w:val="nil"/>
          <w:bar w:val="nil"/>
        </w:pBdr>
        <w:spacing w:before="0" w:after="240"/>
        <w:rPr>
          <w:noProof/>
        </w:rPr>
      </w:pPr>
      <w:r w:rsidRPr="006D0ACA">
        <w:rPr>
          <w:noProof/>
        </w:rPr>
        <w:t xml:space="preserve">The proposal also </w:t>
      </w:r>
      <w:r w:rsidR="00C3510B">
        <w:rPr>
          <w:noProof/>
        </w:rPr>
        <w:t xml:space="preserve">fully </w:t>
      </w:r>
      <w:r w:rsidRPr="006D0ACA">
        <w:rPr>
          <w:noProof/>
        </w:rPr>
        <w:t xml:space="preserve">takes account </w:t>
      </w:r>
      <w:r w:rsidR="00E56C74">
        <w:rPr>
          <w:noProof/>
        </w:rPr>
        <w:t xml:space="preserve">of </w:t>
      </w:r>
      <w:r w:rsidRPr="002B1990">
        <w:rPr>
          <w:rFonts w:eastAsia="Arial Unicode MS"/>
          <w:noProof/>
          <w:color w:val="000000" w:themeColor="text1"/>
        </w:rPr>
        <w:t>the mandate, with which the Council authori</w:t>
      </w:r>
      <w:r w:rsidR="00C3510B">
        <w:rPr>
          <w:rFonts w:eastAsia="Arial Unicode MS"/>
          <w:noProof/>
          <w:color w:val="000000" w:themeColor="text1"/>
        </w:rPr>
        <w:t>s</w:t>
      </w:r>
      <w:r w:rsidRPr="002B1990">
        <w:rPr>
          <w:rFonts w:eastAsia="Arial Unicode MS"/>
          <w:noProof/>
          <w:color w:val="000000" w:themeColor="text1"/>
        </w:rPr>
        <w:t xml:space="preserve">ed the Commission to negotiate further cooperation agreements on the cooperation between Eurojust and </w:t>
      </w:r>
      <w:r w:rsidR="00C3510B">
        <w:rPr>
          <w:rFonts w:eastAsia="Arial Unicode MS"/>
          <w:noProof/>
          <w:color w:val="000000" w:themeColor="text1"/>
        </w:rPr>
        <w:t>13</w:t>
      </w:r>
      <w:r w:rsidR="00C3510B" w:rsidRPr="002B1990">
        <w:rPr>
          <w:rFonts w:eastAsia="Arial Unicode MS"/>
          <w:noProof/>
          <w:color w:val="000000" w:themeColor="text1"/>
        </w:rPr>
        <w:t xml:space="preserve"> </w:t>
      </w:r>
      <w:r w:rsidRPr="002B1990">
        <w:rPr>
          <w:rFonts w:eastAsia="Arial Unicode MS"/>
          <w:noProof/>
          <w:color w:val="000000" w:themeColor="text1"/>
        </w:rPr>
        <w:t xml:space="preserve">further third </w:t>
      </w:r>
      <w:r w:rsidR="00C3510B">
        <w:rPr>
          <w:rFonts w:eastAsia="Arial Unicode MS"/>
          <w:noProof/>
          <w:color w:val="000000" w:themeColor="text1"/>
        </w:rPr>
        <w:t>countries</w:t>
      </w:r>
      <w:r w:rsidRPr="002B1990">
        <w:rPr>
          <w:rStyle w:val="FootnoteReference"/>
          <w:rFonts w:eastAsia="Arial Unicode MS"/>
          <w:noProof/>
          <w:color w:val="000000" w:themeColor="text1"/>
        </w:rPr>
        <w:footnoteReference w:id="18"/>
      </w:r>
      <w:r w:rsidR="008E4B0E">
        <w:rPr>
          <w:rFonts w:eastAsia="Arial Unicode MS"/>
          <w:noProof/>
          <w:color w:val="000000" w:themeColor="text1"/>
        </w:rPr>
        <w:t>.</w:t>
      </w:r>
      <w:r w:rsidRPr="002B1990">
        <w:rPr>
          <w:rFonts w:eastAsia="Arial Unicode MS"/>
          <w:noProof/>
          <w:color w:val="000000" w:themeColor="text1"/>
        </w:rPr>
        <w:t xml:space="preserve"> </w:t>
      </w:r>
    </w:p>
    <w:p w14:paraId="23EF7B73" w14:textId="0FB52961" w:rsidR="00F743B9" w:rsidRDefault="00000EE2" w:rsidP="00715ADE">
      <w:pPr>
        <w:pBdr>
          <w:top w:val="nil"/>
          <w:left w:val="nil"/>
          <w:bottom w:val="nil"/>
          <w:right w:val="nil"/>
          <w:between w:val="nil"/>
          <w:bar w:val="nil"/>
        </w:pBdr>
        <w:spacing w:before="0" w:after="240"/>
        <w:rPr>
          <w:rFonts w:eastAsia="Arial Unicode MS"/>
          <w:noProof/>
          <w:color w:val="000000" w:themeColor="text1"/>
        </w:rPr>
      </w:pPr>
      <w:r w:rsidRPr="002B1990">
        <w:rPr>
          <w:rFonts w:eastAsia="Arial Unicode MS"/>
          <w:noProof/>
          <w:color w:val="000000" w:themeColor="text1"/>
        </w:rPr>
        <w:t>It</w:t>
      </w:r>
      <w:r w:rsidR="00F743B9" w:rsidRPr="002B1990">
        <w:rPr>
          <w:rFonts w:eastAsia="Arial Unicode MS"/>
          <w:noProof/>
          <w:color w:val="000000" w:themeColor="text1"/>
        </w:rPr>
        <w:t xml:space="preserve"> also takes account of Eurojust’s cooperation with other </w:t>
      </w:r>
      <w:r w:rsidR="00C3510B">
        <w:rPr>
          <w:rFonts w:eastAsia="Arial Unicode MS"/>
          <w:noProof/>
          <w:color w:val="000000" w:themeColor="text1"/>
        </w:rPr>
        <w:t>EU</w:t>
      </w:r>
      <w:r w:rsidR="00C3510B" w:rsidRPr="002B1990">
        <w:rPr>
          <w:rFonts w:eastAsia="Arial Unicode MS"/>
          <w:noProof/>
          <w:color w:val="000000" w:themeColor="text1"/>
        </w:rPr>
        <w:t xml:space="preserve"> </w:t>
      </w:r>
      <w:r w:rsidR="00F743B9" w:rsidRPr="002B1990">
        <w:rPr>
          <w:rFonts w:eastAsia="Arial Unicode MS"/>
          <w:noProof/>
          <w:color w:val="000000" w:themeColor="text1"/>
        </w:rPr>
        <w:t xml:space="preserve">bodies or agencies, </w:t>
      </w:r>
      <w:r w:rsidR="00C3510B">
        <w:rPr>
          <w:rFonts w:eastAsia="Arial Unicode MS"/>
          <w:noProof/>
          <w:color w:val="000000" w:themeColor="text1"/>
        </w:rPr>
        <w:t>namely</w:t>
      </w:r>
      <w:r w:rsidR="00C3510B" w:rsidRPr="002B1990">
        <w:rPr>
          <w:rFonts w:eastAsia="Arial Unicode MS"/>
          <w:noProof/>
          <w:color w:val="000000" w:themeColor="text1"/>
        </w:rPr>
        <w:t xml:space="preserve"> </w:t>
      </w:r>
      <w:r w:rsidR="00F743B9" w:rsidRPr="002B1990">
        <w:rPr>
          <w:rFonts w:eastAsia="Arial Unicode MS"/>
          <w:noProof/>
          <w:color w:val="000000" w:themeColor="text1"/>
        </w:rPr>
        <w:t>the European Public Prosecutor’s Office</w:t>
      </w:r>
      <w:r w:rsidR="00DF432B" w:rsidRPr="002B1990">
        <w:rPr>
          <w:rStyle w:val="FootnoteReference"/>
          <w:rFonts w:eastAsia="Arial Unicode MS"/>
          <w:noProof/>
          <w:color w:val="000000" w:themeColor="text1"/>
        </w:rPr>
        <w:footnoteReference w:id="19"/>
      </w:r>
      <w:r w:rsidR="00F743B9" w:rsidRPr="002B1990">
        <w:rPr>
          <w:rFonts w:eastAsia="Arial Unicode MS"/>
          <w:noProof/>
          <w:color w:val="000000" w:themeColor="text1"/>
        </w:rPr>
        <w:t xml:space="preserve">, Europol as the EU agency for </w:t>
      </w:r>
      <w:r w:rsidR="00DF432B" w:rsidRPr="002B1990">
        <w:rPr>
          <w:rFonts w:eastAsia="Arial Unicode MS"/>
          <w:noProof/>
          <w:color w:val="000000" w:themeColor="text1"/>
        </w:rPr>
        <w:t>police</w:t>
      </w:r>
      <w:r w:rsidR="00F743B9" w:rsidRPr="002B1990">
        <w:rPr>
          <w:rFonts w:eastAsia="Arial Unicode MS"/>
          <w:noProof/>
          <w:color w:val="000000" w:themeColor="text1"/>
        </w:rPr>
        <w:t xml:space="preserve"> cooperation</w:t>
      </w:r>
      <w:r w:rsidR="00DF432B" w:rsidRPr="002B1990">
        <w:rPr>
          <w:rStyle w:val="FootnoteReference"/>
          <w:rFonts w:eastAsia="Arial Unicode MS"/>
          <w:noProof/>
          <w:color w:val="000000" w:themeColor="text1"/>
        </w:rPr>
        <w:footnoteReference w:id="20"/>
      </w:r>
      <w:r w:rsidR="00F743B9" w:rsidRPr="002B1990">
        <w:rPr>
          <w:rFonts w:eastAsia="Arial Unicode MS"/>
          <w:noProof/>
          <w:color w:val="000000" w:themeColor="text1"/>
        </w:rPr>
        <w:t xml:space="preserve">, the European </w:t>
      </w:r>
      <w:r w:rsidR="00DF432B" w:rsidRPr="002B1990">
        <w:rPr>
          <w:rFonts w:eastAsia="Arial Unicode MS"/>
          <w:noProof/>
          <w:color w:val="000000" w:themeColor="text1"/>
        </w:rPr>
        <w:t>Anti-Fraud Office (OLAF)</w:t>
      </w:r>
      <w:r w:rsidR="00DF432B" w:rsidRPr="002B1990">
        <w:rPr>
          <w:rStyle w:val="FootnoteReference"/>
          <w:rFonts w:eastAsia="Arial Unicode MS"/>
          <w:noProof/>
          <w:color w:val="000000" w:themeColor="text1"/>
        </w:rPr>
        <w:footnoteReference w:id="21"/>
      </w:r>
      <w:r w:rsidR="00F743B9" w:rsidRPr="002B1990">
        <w:rPr>
          <w:rFonts w:eastAsia="Arial Unicode MS"/>
          <w:noProof/>
          <w:color w:val="000000" w:themeColor="text1"/>
        </w:rPr>
        <w:t>, and the European Border an</w:t>
      </w:r>
      <w:r w:rsidR="00DF432B" w:rsidRPr="002B1990">
        <w:rPr>
          <w:rFonts w:eastAsia="Arial Unicode MS"/>
          <w:noProof/>
          <w:color w:val="000000" w:themeColor="text1"/>
        </w:rPr>
        <w:t>d Coast Guard Agency (Frontex)</w:t>
      </w:r>
      <w:r w:rsidR="00DF432B" w:rsidRPr="002B1990">
        <w:rPr>
          <w:rStyle w:val="FootnoteReference"/>
          <w:rFonts w:eastAsia="Arial Unicode MS"/>
          <w:noProof/>
          <w:color w:val="000000" w:themeColor="text1"/>
        </w:rPr>
        <w:footnoteReference w:id="22"/>
      </w:r>
      <w:r w:rsidR="00DF432B" w:rsidRPr="002B1990">
        <w:rPr>
          <w:rFonts w:eastAsia="Arial Unicode MS"/>
          <w:noProof/>
          <w:color w:val="000000" w:themeColor="text1"/>
        </w:rPr>
        <w:t xml:space="preserve">, </w:t>
      </w:r>
      <w:r w:rsidRPr="002B1990">
        <w:rPr>
          <w:rFonts w:eastAsia="Arial Unicode MS"/>
          <w:noProof/>
          <w:color w:val="000000" w:themeColor="text1"/>
        </w:rPr>
        <w:t>and</w:t>
      </w:r>
      <w:r w:rsidR="00DF432B" w:rsidRPr="002B1990">
        <w:rPr>
          <w:rFonts w:eastAsia="Arial Unicode MS"/>
          <w:noProof/>
          <w:color w:val="000000" w:themeColor="text1"/>
        </w:rPr>
        <w:t xml:space="preserve"> the importance of secure data exchange and </w:t>
      </w:r>
      <w:r w:rsidR="00261455" w:rsidRPr="002B1990">
        <w:rPr>
          <w:rFonts w:eastAsia="Arial Unicode MS"/>
          <w:noProof/>
          <w:color w:val="000000" w:themeColor="text1"/>
        </w:rPr>
        <w:t xml:space="preserve">the establishment of </w:t>
      </w:r>
      <w:r w:rsidR="00DF432B" w:rsidRPr="002B1990">
        <w:rPr>
          <w:rFonts w:eastAsia="Arial Unicode MS"/>
          <w:noProof/>
          <w:color w:val="000000" w:themeColor="text1"/>
        </w:rPr>
        <w:t>hit/no-hit</w:t>
      </w:r>
      <w:r w:rsidR="0041167C">
        <w:rPr>
          <w:rFonts w:eastAsia="Arial Unicode MS"/>
          <w:noProof/>
          <w:color w:val="000000" w:themeColor="text1"/>
        </w:rPr>
        <w:t xml:space="preserve"> connections</w:t>
      </w:r>
      <w:r w:rsidR="00DF432B" w:rsidRPr="002B1990">
        <w:rPr>
          <w:rFonts w:eastAsia="Arial Unicode MS"/>
          <w:noProof/>
          <w:color w:val="000000" w:themeColor="text1"/>
        </w:rPr>
        <w:t xml:space="preserve"> between</w:t>
      </w:r>
      <w:r w:rsidR="0041167C">
        <w:rPr>
          <w:rFonts w:eastAsia="Arial Unicode MS"/>
          <w:noProof/>
          <w:color w:val="000000" w:themeColor="text1"/>
        </w:rPr>
        <w:t xml:space="preserve"> some of</w:t>
      </w:r>
      <w:r w:rsidR="006C1CA7">
        <w:rPr>
          <w:rFonts w:eastAsia="Arial Unicode MS"/>
          <w:noProof/>
          <w:color w:val="000000" w:themeColor="text1"/>
        </w:rPr>
        <w:t xml:space="preserve"> them.</w:t>
      </w:r>
    </w:p>
    <w:p w14:paraId="138C4B0A" w14:textId="55AD6C21" w:rsidR="00B83475" w:rsidRPr="00C26696" w:rsidRDefault="00B83475" w:rsidP="00B83475">
      <w:pPr>
        <w:pBdr>
          <w:top w:val="nil"/>
          <w:left w:val="nil"/>
          <w:bottom w:val="nil"/>
          <w:right w:val="nil"/>
          <w:between w:val="nil"/>
          <w:bar w:val="nil"/>
        </w:pBdr>
        <w:spacing w:before="0" w:after="240"/>
        <w:rPr>
          <w:rFonts w:eastAsia="Arial Unicode MS"/>
          <w:noProof/>
          <w:color w:val="000000" w:themeColor="text1"/>
        </w:rPr>
      </w:pPr>
      <w:r w:rsidRPr="00534D23">
        <w:rPr>
          <w:rFonts w:eastAsia="Arial Unicode MS"/>
          <w:iCs/>
          <w:noProof/>
          <w:color w:val="000000" w:themeColor="text1"/>
        </w:rPr>
        <w:t>Given the highly sensitive nature of the information exchanged, it is essential that the implementation of the toolbox approach on the digitalisation of justice, including through this proposal, takes place in a way that guarantees strong cybersecurity standards. This is consistent with the approach outlined in the EU's Cybersecurity Strategy</w:t>
      </w:r>
      <w:r>
        <w:rPr>
          <w:rStyle w:val="FootnoteReference"/>
          <w:rFonts w:eastAsia="Arial Unicode MS"/>
          <w:iCs/>
          <w:noProof/>
          <w:color w:val="000000" w:themeColor="text1"/>
        </w:rPr>
        <w:footnoteReference w:id="23"/>
      </w:r>
      <w:r w:rsidRPr="00534D23">
        <w:rPr>
          <w:rFonts w:eastAsia="Arial Unicode MS"/>
          <w:iCs/>
          <w:noProof/>
          <w:color w:val="000000" w:themeColor="text1"/>
        </w:rPr>
        <w:t xml:space="preserve"> and the Commission’s proposal for a Directive on measures for a high common level of cybersecurity across the Union (NIS2)</w:t>
      </w:r>
      <w:r>
        <w:rPr>
          <w:rStyle w:val="FootnoteReference"/>
          <w:rFonts w:eastAsia="Arial Unicode MS"/>
          <w:iCs/>
          <w:noProof/>
          <w:color w:val="000000" w:themeColor="text1"/>
        </w:rPr>
        <w:footnoteReference w:id="24"/>
      </w:r>
      <w:r w:rsidRPr="00534D23">
        <w:rPr>
          <w:rFonts w:eastAsia="Arial Unicode MS"/>
          <w:iCs/>
          <w:noProof/>
          <w:color w:val="000000" w:themeColor="text1"/>
        </w:rPr>
        <w:t>, aiming to improve further the cybersecurity capacities of public and private entities, competent authorities and the Union as a whole in the field of cybersecurity and critical infrastructure protection</w:t>
      </w:r>
      <w:r w:rsidRPr="00B83475">
        <w:rPr>
          <w:rFonts w:eastAsia="Arial Unicode MS"/>
          <w:noProof/>
          <w:color w:val="000000" w:themeColor="text1"/>
        </w:rPr>
        <w:t>.</w:t>
      </w:r>
      <w:r w:rsidR="00C26696">
        <w:rPr>
          <w:rFonts w:eastAsia="Arial Unicode MS"/>
          <w:noProof/>
          <w:color w:val="000000" w:themeColor="text1"/>
        </w:rPr>
        <w:t xml:space="preserve"> </w:t>
      </w:r>
      <w:r w:rsidR="00C26696" w:rsidRPr="00534D23">
        <w:rPr>
          <w:rFonts w:eastAsia="Arial Unicode MS"/>
          <w:iCs/>
          <w:noProof/>
          <w:color w:val="000000" w:themeColor="text1"/>
        </w:rPr>
        <w:t>While judiciary in Member States is not in the scope of NIS2 proposal it is of essence that Member States will put in place national measures that would ensure a comparable level of cybersecurity.</w:t>
      </w:r>
    </w:p>
    <w:p w14:paraId="34012F34" w14:textId="77777777" w:rsidR="00B83475" w:rsidRDefault="00B83475" w:rsidP="00715ADE">
      <w:pPr>
        <w:pBdr>
          <w:top w:val="nil"/>
          <w:left w:val="nil"/>
          <w:bottom w:val="nil"/>
          <w:right w:val="nil"/>
          <w:between w:val="nil"/>
          <w:bar w:val="nil"/>
        </w:pBdr>
        <w:spacing w:before="0" w:after="240"/>
        <w:rPr>
          <w:rFonts w:eastAsia="Arial Unicode MS"/>
          <w:noProof/>
          <w:color w:val="000000" w:themeColor="text1"/>
        </w:rPr>
      </w:pPr>
    </w:p>
    <w:p w14:paraId="355FADD7" w14:textId="77777777" w:rsidR="00EB0A3C" w:rsidRPr="002B1990" w:rsidRDefault="00EB0A3C" w:rsidP="00715ADE">
      <w:pPr>
        <w:pStyle w:val="ManualHeading1"/>
        <w:rPr>
          <w:noProof/>
          <w:color w:val="000000" w:themeColor="text1"/>
        </w:rPr>
      </w:pPr>
      <w:bookmarkStart w:id="6" w:name="_Toc84517386"/>
      <w:bookmarkStart w:id="7" w:name="_Toc84517558"/>
      <w:r w:rsidRPr="002B1990">
        <w:rPr>
          <w:noProof/>
          <w:color w:val="000000" w:themeColor="text1"/>
        </w:rPr>
        <w:t>2.</w:t>
      </w:r>
      <w:r w:rsidRPr="002B1990">
        <w:rPr>
          <w:noProof/>
          <w:color w:val="000000" w:themeColor="text1"/>
        </w:rPr>
        <w:tab/>
        <w:t>LEGAL BASIS, SUBSIDIARITY AND PROPORTIONALITY</w:t>
      </w:r>
      <w:bookmarkEnd w:id="6"/>
      <w:bookmarkEnd w:id="7"/>
    </w:p>
    <w:p w14:paraId="329CDA63" w14:textId="77777777" w:rsidR="00EB0A3C" w:rsidRPr="002B1990" w:rsidRDefault="00EB0A3C" w:rsidP="00715ADE">
      <w:pPr>
        <w:pStyle w:val="ManualHeading2"/>
        <w:rPr>
          <w:rFonts w:eastAsia="Arial Unicode MS"/>
          <w:noProof/>
          <w:color w:val="000000" w:themeColor="text1"/>
          <w:bdr w:val="nil"/>
          <w:lang w:val="en-US" w:eastAsia="en-GB"/>
        </w:rPr>
      </w:pPr>
      <w:bookmarkStart w:id="8" w:name="_Toc84517387"/>
      <w:bookmarkStart w:id="9" w:name="_Toc84517559"/>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Legal basis</w:t>
      </w:r>
      <w:bookmarkEnd w:id="8"/>
      <w:bookmarkEnd w:id="9"/>
    </w:p>
    <w:p w14:paraId="5D615766" w14:textId="5158D6DE" w:rsidR="00DD3D1F" w:rsidRDefault="00EB0A3C" w:rsidP="160710AA">
      <w:pPr>
        <w:pBdr>
          <w:top w:val="nil"/>
          <w:left w:val="nil"/>
          <w:bottom w:val="nil"/>
          <w:right w:val="nil"/>
          <w:between w:val="nil"/>
          <w:bar w:val="nil"/>
        </w:pBdr>
        <w:spacing w:before="0" w:after="240"/>
        <w:rPr>
          <w:noProof/>
        </w:rPr>
      </w:pPr>
      <w:r w:rsidRPr="006D0ACA">
        <w:rPr>
          <w:noProof/>
        </w:rPr>
        <w:t xml:space="preserve">The legal basis for amending the Eurojust Regulation is Article 85 </w:t>
      </w:r>
      <w:r w:rsidR="00A3340E">
        <w:rPr>
          <w:noProof/>
        </w:rPr>
        <w:t>of the Treaty on the Functioning of the European Union (</w:t>
      </w:r>
      <w:r w:rsidRPr="006D0ACA">
        <w:rPr>
          <w:noProof/>
        </w:rPr>
        <w:t>TFEU</w:t>
      </w:r>
      <w:r w:rsidR="00A3340E">
        <w:rPr>
          <w:noProof/>
        </w:rPr>
        <w:t>)</w:t>
      </w:r>
      <w:r w:rsidRPr="006D0ACA">
        <w:rPr>
          <w:noProof/>
        </w:rPr>
        <w:t xml:space="preserve">. Under Article 85 TFEU, Eurojust’s structure, operation, field of action and tasks are to be determined by a regulation. This </w:t>
      </w:r>
      <w:r w:rsidR="0071208E" w:rsidRPr="006D0ACA">
        <w:rPr>
          <w:noProof/>
        </w:rPr>
        <w:t xml:space="preserve">also </w:t>
      </w:r>
      <w:r w:rsidRPr="006D0ACA">
        <w:rPr>
          <w:noProof/>
        </w:rPr>
        <w:t xml:space="preserve">includes the </w:t>
      </w:r>
      <w:r w:rsidR="0071208E">
        <w:rPr>
          <w:noProof/>
        </w:rPr>
        <w:t>establishment</w:t>
      </w:r>
      <w:r w:rsidRPr="006D0ACA">
        <w:rPr>
          <w:noProof/>
        </w:rPr>
        <w:t xml:space="preserve"> of secure communication channel</w:t>
      </w:r>
      <w:r w:rsidR="000F03C5" w:rsidRPr="7CC317AF">
        <w:rPr>
          <w:noProof/>
        </w:rPr>
        <w:t>(</w:t>
      </w:r>
      <w:r w:rsidRPr="006D0ACA">
        <w:rPr>
          <w:noProof/>
        </w:rPr>
        <w:t>s</w:t>
      </w:r>
      <w:r w:rsidR="000F03C5" w:rsidRPr="7CC317AF">
        <w:rPr>
          <w:noProof/>
        </w:rPr>
        <w:t>)</w:t>
      </w:r>
      <w:r w:rsidRPr="006D0ACA">
        <w:rPr>
          <w:noProof/>
        </w:rPr>
        <w:t xml:space="preserve"> between</w:t>
      </w:r>
      <w:r w:rsidR="007B2D5A" w:rsidRPr="006D0ACA">
        <w:rPr>
          <w:noProof/>
        </w:rPr>
        <w:t xml:space="preserve"> EU Member States and Eurojust as well as the cooperation </w:t>
      </w:r>
      <w:r w:rsidR="000F03C5" w:rsidRPr="006D0ACA">
        <w:rPr>
          <w:noProof/>
        </w:rPr>
        <w:t>of Eurojust with third country LPs seconded at Eurojust</w:t>
      </w:r>
      <w:r w:rsidR="007B2D5A" w:rsidRPr="7CC317AF">
        <w:rPr>
          <w:noProof/>
        </w:rPr>
        <w:t xml:space="preserve">. </w:t>
      </w:r>
    </w:p>
    <w:p w14:paraId="4672D42B" w14:textId="452F6BA0" w:rsidR="00EB0A3C" w:rsidRPr="006D0ACA" w:rsidRDefault="00DD3D1F" w:rsidP="00EB0A3C">
      <w:pPr>
        <w:pBdr>
          <w:top w:val="nil"/>
          <w:left w:val="nil"/>
          <w:bottom w:val="nil"/>
          <w:right w:val="nil"/>
          <w:between w:val="nil"/>
          <w:bar w:val="nil"/>
        </w:pBdr>
        <w:spacing w:before="0" w:after="240"/>
        <w:rPr>
          <w:noProof/>
        </w:rPr>
      </w:pPr>
      <w:r>
        <w:rPr>
          <w:noProof/>
        </w:rPr>
        <w:t xml:space="preserve">As regards the amendments of </w:t>
      </w:r>
      <w:r w:rsidR="00A3340E">
        <w:rPr>
          <w:noProof/>
        </w:rPr>
        <w:t xml:space="preserve">Council </w:t>
      </w:r>
      <w:r>
        <w:rPr>
          <w:noProof/>
        </w:rPr>
        <w:t>Decision 2005/671</w:t>
      </w:r>
      <w:r w:rsidR="00A3340E">
        <w:rPr>
          <w:noProof/>
        </w:rPr>
        <w:t>/JHA</w:t>
      </w:r>
      <w:r>
        <w:rPr>
          <w:noProof/>
        </w:rPr>
        <w:t xml:space="preserve"> concerning the carve-out of references to Eurojust, those amendments are of a purely consequential nature to the amendments regarding the Eurojust Regulation</w:t>
      </w:r>
      <w:r w:rsidRPr="18146542">
        <w:rPr>
          <w:noProof/>
        </w:rPr>
        <w:t xml:space="preserve">. </w:t>
      </w:r>
      <w:r>
        <w:rPr>
          <w:noProof/>
        </w:rPr>
        <w:t>Hence,</w:t>
      </w:r>
      <w:r w:rsidRPr="18146542">
        <w:rPr>
          <w:noProof/>
        </w:rPr>
        <w:t xml:space="preserve"> </w:t>
      </w:r>
      <w:r>
        <w:rPr>
          <w:noProof/>
        </w:rPr>
        <w:t>they can be also based on Article 85 TFEU.</w:t>
      </w:r>
    </w:p>
    <w:p w14:paraId="175F6CB9" w14:textId="77777777" w:rsidR="00EB0A3C" w:rsidRPr="002B1990" w:rsidRDefault="00EB0A3C" w:rsidP="00715ADE">
      <w:pPr>
        <w:pStyle w:val="ManualHeading2"/>
        <w:rPr>
          <w:rFonts w:eastAsia="Arial Unicode MS"/>
          <w:noProof/>
          <w:color w:val="000000" w:themeColor="text1"/>
          <w:bdr w:val="nil"/>
          <w:lang w:val="en-US" w:eastAsia="en-GB"/>
        </w:rPr>
      </w:pPr>
      <w:bookmarkStart w:id="10" w:name="_Toc84517388"/>
      <w:bookmarkStart w:id="11" w:name="_Toc84517560"/>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Subsidiarity (for non-exclusive competence)</w:t>
      </w:r>
      <w:bookmarkEnd w:id="10"/>
      <w:bookmarkEnd w:id="11"/>
      <w:r w:rsidRPr="002B1990">
        <w:rPr>
          <w:rFonts w:eastAsia="Arial Unicode MS"/>
          <w:noProof/>
          <w:color w:val="000000" w:themeColor="text1"/>
          <w:bdr w:val="nil"/>
          <w:lang w:val="en-US" w:eastAsia="en-GB"/>
        </w:rPr>
        <w:t xml:space="preserve"> </w:t>
      </w:r>
    </w:p>
    <w:p w14:paraId="42DAB7BE" w14:textId="69E50B0A" w:rsidR="00EB0A3C" w:rsidRPr="006D0ACA" w:rsidRDefault="00EB0A3C" w:rsidP="00EB0A3C">
      <w:pPr>
        <w:pBdr>
          <w:top w:val="nil"/>
          <w:left w:val="nil"/>
          <w:bottom w:val="nil"/>
          <w:right w:val="nil"/>
          <w:between w:val="nil"/>
          <w:bar w:val="nil"/>
        </w:pBdr>
        <w:spacing w:before="0" w:after="240"/>
        <w:rPr>
          <w:noProof/>
        </w:rPr>
      </w:pPr>
      <w:r w:rsidRPr="006D0ACA">
        <w:rPr>
          <w:noProof/>
        </w:rPr>
        <w:t xml:space="preserve">According to the principle of subsidiarity laid down in Article 5(3) of the Treaty </w:t>
      </w:r>
      <w:r w:rsidR="008E4B0E">
        <w:rPr>
          <w:noProof/>
        </w:rPr>
        <w:t>on</w:t>
      </w:r>
      <w:r w:rsidRPr="006D0ACA">
        <w:rPr>
          <w:noProof/>
        </w:rPr>
        <w:t xml:space="preserve"> European Union (TEU), action at EU level should only be taken when the aims cannot be </w:t>
      </w:r>
      <w:r w:rsidR="0071208E">
        <w:rPr>
          <w:noProof/>
        </w:rPr>
        <w:t xml:space="preserve">sufficiently </w:t>
      </w:r>
      <w:r w:rsidRPr="006D0ACA">
        <w:rPr>
          <w:noProof/>
        </w:rPr>
        <w:t>achieved by Member States alone and can therefore, by reason of the scale or effects of the proposed action, be better achieved at EU level. There is also a need to match the nature and intensity of a given measure to the identified problem.</w:t>
      </w:r>
    </w:p>
    <w:p w14:paraId="5BC7D940" w14:textId="055D7ABE" w:rsidR="00EB0A3C" w:rsidRPr="006D0ACA" w:rsidRDefault="00EB0A3C" w:rsidP="00EB0A3C">
      <w:pPr>
        <w:pBdr>
          <w:top w:val="nil"/>
          <w:left w:val="nil"/>
          <w:bottom w:val="nil"/>
          <w:right w:val="nil"/>
          <w:between w:val="nil"/>
          <w:bar w:val="nil"/>
        </w:pBdr>
        <w:spacing w:before="0" w:after="240"/>
        <w:rPr>
          <w:noProof/>
        </w:rPr>
      </w:pPr>
      <w:r w:rsidRPr="006D0ACA">
        <w:rPr>
          <w:noProof/>
        </w:rPr>
        <w:t xml:space="preserve">As terrorism </w:t>
      </w:r>
      <w:r w:rsidR="007B2D5A" w:rsidRPr="006D0ACA">
        <w:rPr>
          <w:noProof/>
        </w:rPr>
        <w:t>offences</w:t>
      </w:r>
      <w:r w:rsidRPr="006D0ACA">
        <w:rPr>
          <w:noProof/>
        </w:rPr>
        <w:t xml:space="preserve"> are often of a cross-border nature, action at national level alone cannot counter them effectively. That is why Member States choose to work together to tackle the threats posed by terrorism. They seek to coordinate their judicial response and cooperate to address shared challenges. As the EU agency for criminal justice cooperation, Eurojust is a strong expression of this endeavour by the Member States to keep their citizen</w:t>
      </w:r>
      <w:r w:rsidR="0041167C" w:rsidRPr="006D0ACA">
        <w:rPr>
          <w:noProof/>
        </w:rPr>
        <w:t>s</w:t>
      </w:r>
      <w:r w:rsidR="006C1CA7">
        <w:rPr>
          <w:noProof/>
        </w:rPr>
        <w:t xml:space="preserve"> safe by working together.</w:t>
      </w:r>
    </w:p>
    <w:p w14:paraId="1CE6554D" w14:textId="08F841B4" w:rsidR="00DB5AD2" w:rsidRPr="002B1990" w:rsidRDefault="00EB0A3C" w:rsidP="00EB0A3C">
      <w:pPr>
        <w:pBdr>
          <w:top w:val="nil"/>
          <w:left w:val="nil"/>
          <w:bottom w:val="nil"/>
          <w:right w:val="nil"/>
          <w:between w:val="nil"/>
          <w:bar w:val="nil"/>
        </w:pBdr>
        <w:spacing w:before="0" w:after="240"/>
        <w:rPr>
          <w:noProof/>
          <w:color w:val="000000" w:themeColor="text1"/>
        </w:rPr>
      </w:pPr>
      <w:r w:rsidRPr="006D0ACA">
        <w:rPr>
          <w:noProof/>
        </w:rPr>
        <w:t xml:space="preserve">There is a </w:t>
      </w:r>
      <w:r w:rsidR="007B2D5A" w:rsidRPr="006D0ACA">
        <w:rPr>
          <w:noProof/>
        </w:rPr>
        <w:t xml:space="preserve">specific </w:t>
      </w:r>
      <w:r w:rsidRPr="006D0ACA">
        <w:rPr>
          <w:noProof/>
        </w:rPr>
        <w:t xml:space="preserve">need for EU action because the measures envisaged have an </w:t>
      </w:r>
      <w:r w:rsidR="007B2D5A" w:rsidRPr="006D0ACA">
        <w:rPr>
          <w:noProof/>
        </w:rPr>
        <w:t>intrinsic EU dimension. They aim at improving</w:t>
      </w:r>
      <w:r w:rsidRPr="006D0ACA">
        <w:rPr>
          <w:noProof/>
        </w:rPr>
        <w:t xml:space="preserve"> the ability of Eurojust to act. It is Eurojust’s mission to support and strengthen coordination and cooperation between national judicial authorities in relation to serious crime including terrorism affecting two or more Member States or requiring a prosecution on common bases. This objective can only be achieved at the EU level, in line with the subsidiarity principle. Member States cannot create a more appropriate legal framework for the functioning of the CTR</w:t>
      </w:r>
      <w:r w:rsidR="00E56C74">
        <w:rPr>
          <w:noProof/>
        </w:rPr>
        <w:t xml:space="preserve"> and amending Decision 2005/671</w:t>
      </w:r>
      <w:r w:rsidRPr="006D0ACA">
        <w:rPr>
          <w:noProof/>
        </w:rPr>
        <w:t xml:space="preserve">/JHA alone. It is therefore up to the EU to establish the legally binding instruments to achieve these results in line with the </w:t>
      </w:r>
      <w:r w:rsidR="0071208E">
        <w:rPr>
          <w:noProof/>
        </w:rPr>
        <w:t>powers</w:t>
      </w:r>
      <w:r w:rsidR="0071208E" w:rsidRPr="7CC317AF">
        <w:rPr>
          <w:noProof/>
        </w:rPr>
        <w:t xml:space="preserve"> </w:t>
      </w:r>
      <w:r w:rsidRPr="006D0ACA">
        <w:rPr>
          <w:noProof/>
        </w:rPr>
        <w:t xml:space="preserve">conferred upon it by the EU </w:t>
      </w:r>
      <w:r w:rsidR="0071208E">
        <w:rPr>
          <w:noProof/>
        </w:rPr>
        <w:t>t</w:t>
      </w:r>
      <w:r w:rsidRPr="006D0ACA">
        <w:rPr>
          <w:noProof/>
        </w:rPr>
        <w:t>reaties.</w:t>
      </w:r>
    </w:p>
    <w:p w14:paraId="385F87BD" w14:textId="77777777" w:rsidR="00EB0A3C" w:rsidRPr="002B1990" w:rsidRDefault="00EB0A3C" w:rsidP="00715ADE">
      <w:pPr>
        <w:pStyle w:val="ManualHeading2"/>
        <w:rPr>
          <w:rFonts w:eastAsia="Arial Unicode MS"/>
          <w:noProof/>
          <w:color w:val="000000" w:themeColor="text1"/>
          <w:bdr w:val="nil"/>
          <w:lang w:val="en-US" w:eastAsia="en-GB"/>
        </w:rPr>
      </w:pPr>
      <w:bookmarkStart w:id="12" w:name="_Toc84517389"/>
      <w:bookmarkStart w:id="13" w:name="_Toc84517561"/>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Proportionality</w:t>
      </w:r>
      <w:bookmarkEnd w:id="12"/>
      <w:bookmarkEnd w:id="13"/>
    </w:p>
    <w:p w14:paraId="43E72B36" w14:textId="6A385E75" w:rsidR="00EB0A3C" w:rsidRPr="006D0ACA" w:rsidRDefault="00EB0A3C" w:rsidP="00EB0A3C">
      <w:pPr>
        <w:pBdr>
          <w:top w:val="nil"/>
          <w:left w:val="nil"/>
          <w:bottom w:val="nil"/>
          <w:right w:val="nil"/>
          <w:between w:val="nil"/>
          <w:bar w:val="nil"/>
        </w:pBdr>
        <w:spacing w:before="0" w:after="240"/>
        <w:rPr>
          <w:noProof/>
        </w:rPr>
      </w:pPr>
      <w:r w:rsidRPr="006D0ACA">
        <w:rPr>
          <w:noProof/>
        </w:rPr>
        <w:t xml:space="preserve">According to the principle of proportionality laid down in Article 5(4) TEU, there is a need to match the nature and intensity of a given measure to the identified problem. All problems addressed in this </w:t>
      </w:r>
      <w:r w:rsidR="0071208E">
        <w:rPr>
          <w:noProof/>
        </w:rPr>
        <w:t>proposal</w:t>
      </w:r>
      <w:r w:rsidR="0071208E" w:rsidRPr="7CC317AF">
        <w:rPr>
          <w:noProof/>
        </w:rPr>
        <w:t xml:space="preserve"> </w:t>
      </w:r>
      <w:r w:rsidRPr="006D0ACA">
        <w:rPr>
          <w:noProof/>
        </w:rPr>
        <w:t>call for EU-level support for Member States to tac</w:t>
      </w:r>
      <w:r w:rsidR="006C1CA7">
        <w:rPr>
          <w:noProof/>
        </w:rPr>
        <w:t>kle these problems effectively.</w:t>
      </w:r>
    </w:p>
    <w:p w14:paraId="16719062" w14:textId="5A222657" w:rsidR="00D745EF" w:rsidRPr="006D0ACA" w:rsidRDefault="0011642E" w:rsidP="00EB0A3C">
      <w:pPr>
        <w:pBdr>
          <w:top w:val="nil"/>
          <w:left w:val="nil"/>
          <w:bottom w:val="nil"/>
          <w:right w:val="nil"/>
          <w:between w:val="nil"/>
          <w:bar w:val="nil"/>
        </w:pBdr>
        <w:spacing w:before="0" w:after="240"/>
        <w:rPr>
          <w:noProof/>
        </w:rPr>
      </w:pPr>
      <w:r w:rsidRPr="006D0ACA">
        <w:rPr>
          <w:noProof/>
        </w:rPr>
        <w:t xml:space="preserve">Article 1 </w:t>
      </w:r>
      <w:r w:rsidR="00DD3D1F">
        <w:rPr>
          <w:noProof/>
        </w:rPr>
        <w:t xml:space="preserve">and Article 2 </w:t>
      </w:r>
      <w:r w:rsidR="008E4B0E">
        <w:rPr>
          <w:noProof/>
        </w:rPr>
        <w:t xml:space="preserve">of the proposal </w:t>
      </w:r>
      <w:r w:rsidRPr="006D0ACA">
        <w:rPr>
          <w:noProof/>
        </w:rPr>
        <w:t xml:space="preserve">aim at </w:t>
      </w:r>
      <w:r w:rsidR="0071208E">
        <w:rPr>
          <w:noProof/>
        </w:rPr>
        <w:t xml:space="preserve">better </w:t>
      </w:r>
      <w:r w:rsidRPr="006D0ACA">
        <w:rPr>
          <w:noProof/>
        </w:rPr>
        <w:t>integrating the CTR in Eurojust’s legal and technical framework</w:t>
      </w:r>
      <w:r w:rsidR="00D745EF" w:rsidRPr="006D0ACA">
        <w:rPr>
          <w:noProof/>
        </w:rPr>
        <w:t xml:space="preserve"> and improv</w:t>
      </w:r>
      <w:r w:rsidR="0071208E">
        <w:rPr>
          <w:noProof/>
        </w:rPr>
        <w:t>ing</w:t>
      </w:r>
      <w:r w:rsidR="00D745EF" w:rsidRPr="006D0ACA">
        <w:rPr>
          <w:noProof/>
        </w:rPr>
        <w:t xml:space="preserve"> the cooperation with third country LPs</w:t>
      </w:r>
      <w:r w:rsidRPr="7CC317AF">
        <w:rPr>
          <w:noProof/>
        </w:rPr>
        <w:t xml:space="preserve">. </w:t>
      </w:r>
      <w:r w:rsidR="00D745EF" w:rsidRPr="006D0ACA">
        <w:rPr>
          <w:noProof/>
        </w:rPr>
        <w:t>Without these amendments</w:t>
      </w:r>
      <w:r w:rsidR="00EB0A3C" w:rsidRPr="006D0ACA">
        <w:rPr>
          <w:noProof/>
        </w:rPr>
        <w:t xml:space="preserve">, Eurojust is </w:t>
      </w:r>
      <w:r w:rsidR="0071208E">
        <w:rPr>
          <w:noProof/>
        </w:rPr>
        <w:t>un</w:t>
      </w:r>
      <w:r w:rsidR="00EB0A3C" w:rsidRPr="006D0ACA">
        <w:rPr>
          <w:noProof/>
        </w:rPr>
        <w:t>able to identify links between simultaneous investigations and prosecutions</w:t>
      </w:r>
      <w:r w:rsidR="00D745EF" w:rsidRPr="7CC317AF">
        <w:rPr>
          <w:noProof/>
        </w:rPr>
        <w:t>.</w:t>
      </w:r>
      <w:r w:rsidR="00EB0A3C" w:rsidRPr="7CC317AF">
        <w:rPr>
          <w:noProof/>
        </w:rPr>
        <w:t xml:space="preserve"> </w:t>
      </w:r>
      <w:r w:rsidR="00D745EF" w:rsidRPr="006D0ACA">
        <w:rPr>
          <w:noProof/>
        </w:rPr>
        <w:t>It</w:t>
      </w:r>
      <w:r w:rsidR="00EB0A3C" w:rsidRPr="006D0ACA">
        <w:rPr>
          <w:noProof/>
        </w:rPr>
        <w:t xml:space="preserve"> cannot fulfil its crucial role</w:t>
      </w:r>
      <w:r w:rsidR="0071208E">
        <w:rPr>
          <w:noProof/>
        </w:rPr>
        <w:t xml:space="preserve"> in</w:t>
      </w:r>
      <w:r w:rsidR="00EB0A3C" w:rsidRPr="006D0ACA">
        <w:rPr>
          <w:noProof/>
        </w:rPr>
        <w:t xml:space="preserve"> supporting and strengthening cooperation between Member States’ national authorities in the investigation and prosecution of serious forms of crime, especially terrorism. </w:t>
      </w:r>
      <w:r w:rsidR="00D745EF" w:rsidRPr="006D0ACA">
        <w:rPr>
          <w:noProof/>
        </w:rPr>
        <w:t xml:space="preserve">To enable Eurojust to </w:t>
      </w:r>
      <w:r w:rsidR="0071208E" w:rsidRPr="006D0ACA">
        <w:rPr>
          <w:noProof/>
        </w:rPr>
        <w:t xml:space="preserve">fully </w:t>
      </w:r>
      <w:r w:rsidR="00D745EF" w:rsidRPr="006D0ACA">
        <w:rPr>
          <w:noProof/>
        </w:rPr>
        <w:t>perform its crucial task</w:t>
      </w:r>
      <w:r w:rsidR="0071208E" w:rsidRPr="7CC317AF">
        <w:rPr>
          <w:noProof/>
        </w:rPr>
        <w:t>,</w:t>
      </w:r>
      <w:r w:rsidR="00D745EF" w:rsidRPr="7CC317AF">
        <w:rPr>
          <w:noProof/>
        </w:rPr>
        <w:t xml:space="preserve"> </w:t>
      </w:r>
      <w:r w:rsidR="0071208E">
        <w:rPr>
          <w:noProof/>
        </w:rPr>
        <w:t>it</w:t>
      </w:r>
      <w:r w:rsidR="008E4B0E">
        <w:rPr>
          <w:noProof/>
        </w:rPr>
        <w:t xml:space="preserve"> </w:t>
      </w:r>
      <w:r w:rsidR="00D745EF" w:rsidRPr="006D0ACA">
        <w:rPr>
          <w:noProof/>
        </w:rPr>
        <w:t xml:space="preserve">is necessary to ensure the </w:t>
      </w:r>
      <w:r w:rsidR="006C1CA7">
        <w:rPr>
          <w:noProof/>
        </w:rPr>
        <w:t>coordinated judicial follow-up.</w:t>
      </w:r>
    </w:p>
    <w:p w14:paraId="1DBCCA4F" w14:textId="1222E791" w:rsidR="00DB5AD2" w:rsidRPr="002B1990" w:rsidRDefault="00EB0A3C" w:rsidP="00DB5AD2">
      <w:pPr>
        <w:pBdr>
          <w:top w:val="nil"/>
          <w:left w:val="nil"/>
          <w:bottom w:val="nil"/>
          <w:right w:val="nil"/>
          <w:between w:val="nil"/>
          <w:bar w:val="nil"/>
        </w:pBdr>
        <w:spacing w:before="0" w:after="240"/>
        <w:rPr>
          <w:rFonts w:eastAsia="Arial Unicode MS"/>
          <w:noProof/>
          <w:color w:val="000000" w:themeColor="text1"/>
        </w:rPr>
      </w:pPr>
      <w:r w:rsidRPr="006D0ACA">
        <w:rPr>
          <w:noProof/>
        </w:rPr>
        <w:t xml:space="preserve">Due to the increasing cross-border </w:t>
      </w:r>
      <w:r w:rsidR="0071208E">
        <w:rPr>
          <w:noProof/>
        </w:rPr>
        <w:t>nature</w:t>
      </w:r>
      <w:r w:rsidRPr="006D0ACA">
        <w:rPr>
          <w:noProof/>
        </w:rPr>
        <w:t xml:space="preserve"> of organised crime and terrorist organisation</w:t>
      </w:r>
      <w:r w:rsidR="00D745EF" w:rsidRPr="006D0ACA">
        <w:rPr>
          <w:noProof/>
        </w:rPr>
        <w:t>s</w:t>
      </w:r>
      <w:r w:rsidRPr="006D0ACA">
        <w:rPr>
          <w:noProof/>
        </w:rPr>
        <w:t>, facilitated by</w:t>
      </w:r>
      <w:r w:rsidR="00D745EF" w:rsidRPr="006D0ACA">
        <w:rPr>
          <w:noProof/>
        </w:rPr>
        <w:t xml:space="preserve"> the use of digital communication tools,</w:t>
      </w:r>
      <w:r w:rsidRPr="006D0ACA">
        <w:rPr>
          <w:noProof/>
        </w:rPr>
        <w:t xml:space="preserve"> a more coordinated approach is </w:t>
      </w:r>
      <w:r w:rsidR="00D745EF" w:rsidRPr="006D0ACA">
        <w:rPr>
          <w:noProof/>
        </w:rPr>
        <w:t xml:space="preserve">also </w:t>
      </w:r>
      <w:r w:rsidR="0071208E">
        <w:rPr>
          <w:noProof/>
        </w:rPr>
        <w:t>needed</w:t>
      </w:r>
      <w:r w:rsidR="0071208E" w:rsidRPr="58C9E2C4">
        <w:rPr>
          <w:noProof/>
        </w:rPr>
        <w:t xml:space="preserve"> </w:t>
      </w:r>
      <w:r w:rsidR="00D745EF" w:rsidRPr="006D0ACA">
        <w:rPr>
          <w:noProof/>
        </w:rPr>
        <w:t>regard</w:t>
      </w:r>
      <w:r w:rsidR="0071208E">
        <w:rPr>
          <w:noProof/>
        </w:rPr>
        <w:t>ing</w:t>
      </w:r>
      <w:r w:rsidR="00D745EF" w:rsidRPr="006D0ACA">
        <w:rPr>
          <w:noProof/>
        </w:rPr>
        <w:t xml:space="preserve"> third countries</w:t>
      </w:r>
      <w:r w:rsidRPr="58C9E2C4">
        <w:rPr>
          <w:noProof/>
        </w:rPr>
        <w:t xml:space="preserve">. </w:t>
      </w:r>
      <w:r w:rsidR="0071208E">
        <w:rPr>
          <w:noProof/>
        </w:rPr>
        <w:t>I</w:t>
      </w:r>
      <w:r w:rsidR="00D745EF" w:rsidRPr="006D0ACA">
        <w:rPr>
          <w:noProof/>
        </w:rPr>
        <w:t>nvestigations and prosecutions</w:t>
      </w:r>
      <w:r w:rsidRPr="006D0ACA">
        <w:rPr>
          <w:noProof/>
        </w:rPr>
        <w:t xml:space="preserve"> often involve</w:t>
      </w:r>
      <w:r w:rsidR="00D745EF" w:rsidRPr="58C9E2C4">
        <w:rPr>
          <w:noProof/>
        </w:rPr>
        <w:t xml:space="preserve"> </w:t>
      </w:r>
      <w:r w:rsidRPr="006D0ACA">
        <w:rPr>
          <w:noProof/>
        </w:rPr>
        <w:t>author</w:t>
      </w:r>
      <w:r w:rsidR="007B2D5A" w:rsidRPr="006D0ACA">
        <w:rPr>
          <w:noProof/>
        </w:rPr>
        <w:t xml:space="preserve">ities </w:t>
      </w:r>
      <w:r w:rsidR="0071208E">
        <w:rPr>
          <w:noProof/>
        </w:rPr>
        <w:t xml:space="preserve">from </w:t>
      </w:r>
      <w:r w:rsidR="007B2D5A" w:rsidRPr="006D0ACA">
        <w:rPr>
          <w:noProof/>
        </w:rPr>
        <w:t>outside the EU. Therefore</w:t>
      </w:r>
      <w:r w:rsidR="0071208E" w:rsidRPr="58C9E2C4">
        <w:rPr>
          <w:noProof/>
        </w:rPr>
        <w:t>,</w:t>
      </w:r>
      <w:r w:rsidR="00A3340E">
        <w:rPr>
          <w:noProof/>
        </w:rPr>
        <w:t xml:space="preserve"> </w:t>
      </w:r>
      <w:r w:rsidRPr="006D0ACA">
        <w:rPr>
          <w:noProof/>
        </w:rPr>
        <w:t>in line with the principle of proportionality, th</w:t>
      </w:r>
      <w:r w:rsidR="0071208E">
        <w:rPr>
          <w:noProof/>
        </w:rPr>
        <w:t>e</w:t>
      </w:r>
      <w:r w:rsidRPr="006D0ACA">
        <w:rPr>
          <w:noProof/>
        </w:rPr>
        <w:t xml:space="preserve"> proposal does not go beyond what is necessary to achieve this objective</w:t>
      </w:r>
      <w:r w:rsidR="00DB5AD2" w:rsidRPr="58C9E2C4">
        <w:rPr>
          <w:noProof/>
        </w:rPr>
        <w:t>.</w:t>
      </w:r>
    </w:p>
    <w:p w14:paraId="086325B0" w14:textId="77777777" w:rsidR="00EB0A3C" w:rsidRPr="002B1990" w:rsidRDefault="00EB0A3C" w:rsidP="00715ADE">
      <w:pPr>
        <w:pStyle w:val="ManualHeading2"/>
        <w:rPr>
          <w:rFonts w:eastAsia="Arial Unicode MS"/>
          <w:noProof/>
          <w:color w:val="000000" w:themeColor="text1"/>
          <w:bdr w:val="nil"/>
          <w:lang w:val="en-US" w:eastAsia="en-GB"/>
        </w:rPr>
      </w:pPr>
      <w:bookmarkStart w:id="14" w:name="_Toc84517390"/>
      <w:bookmarkStart w:id="15" w:name="_Toc84517562"/>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Choice of the instrument</w:t>
      </w:r>
      <w:bookmarkEnd w:id="14"/>
      <w:bookmarkEnd w:id="15"/>
    </w:p>
    <w:p w14:paraId="5EA979EC" w14:textId="68707636" w:rsidR="00EB0A3C" w:rsidRPr="006D0ACA" w:rsidRDefault="006136DC" w:rsidP="00A72E78">
      <w:pPr>
        <w:pBdr>
          <w:top w:val="nil"/>
          <w:left w:val="nil"/>
          <w:bottom w:val="nil"/>
          <w:right w:val="nil"/>
          <w:between w:val="nil"/>
          <w:bar w:val="nil"/>
        </w:pBdr>
        <w:spacing w:before="0" w:after="240"/>
        <w:rPr>
          <w:noProof/>
        </w:rPr>
      </w:pPr>
      <w:r w:rsidRPr="006D0ACA">
        <w:rPr>
          <w:noProof/>
        </w:rPr>
        <w:t>Article 1 of th</w:t>
      </w:r>
      <w:r w:rsidR="0071208E">
        <w:rPr>
          <w:noProof/>
        </w:rPr>
        <w:t>e</w:t>
      </w:r>
      <w:r w:rsidRPr="006D0ACA">
        <w:rPr>
          <w:noProof/>
        </w:rPr>
        <w:t xml:space="preserve"> proposal amends the Eurojust Regulation. </w:t>
      </w:r>
      <w:r w:rsidR="00A72E78" w:rsidRPr="006D0ACA">
        <w:rPr>
          <w:noProof/>
        </w:rPr>
        <w:t xml:space="preserve">Article 85 TFEU provides the legal basis for </w:t>
      </w:r>
      <w:r w:rsidRPr="006D0ACA">
        <w:rPr>
          <w:noProof/>
        </w:rPr>
        <w:t xml:space="preserve">the Eurojust Regulation. </w:t>
      </w:r>
      <w:r w:rsidRPr="002B1990">
        <w:rPr>
          <w:rFonts w:eastAsia="Arial Unicode MS"/>
          <w:noProof/>
          <w:color w:val="000000" w:themeColor="text1"/>
        </w:rPr>
        <w:t>It provides fo</w:t>
      </w:r>
      <w:r w:rsidR="000F03C5">
        <w:rPr>
          <w:rFonts w:eastAsia="Arial Unicode MS"/>
          <w:noProof/>
          <w:color w:val="000000" w:themeColor="text1"/>
        </w:rPr>
        <w:t>r Eurojust to be governed by a r</w:t>
      </w:r>
      <w:r w:rsidRPr="002B1990">
        <w:rPr>
          <w:rFonts w:eastAsia="Arial Unicode MS"/>
          <w:noProof/>
          <w:color w:val="000000" w:themeColor="text1"/>
        </w:rPr>
        <w:t xml:space="preserve">egulation to be adopted in </w:t>
      </w:r>
      <w:r w:rsidR="00242369">
        <w:rPr>
          <w:rFonts w:eastAsia="Arial Unicode MS"/>
          <w:noProof/>
          <w:color w:val="000000" w:themeColor="text1"/>
        </w:rPr>
        <w:t>line</w:t>
      </w:r>
      <w:r w:rsidR="00242369" w:rsidRPr="002B1990">
        <w:rPr>
          <w:rFonts w:eastAsia="Arial Unicode MS"/>
          <w:noProof/>
          <w:color w:val="000000" w:themeColor="text1"/>
        </w:rPr>
        <w:t xml:space="preserve"> </w:t>
      </w:r>
      <w:r w:rsidRPr="002B1990">
        <w:rPr>
          <w:rFonts w:eastAsia="Arial Unicode MS"/>
          <w:noProof/>
          <w:color w:val="000000" w:themeColor="text1"/>
        </w:rPr>
        <w:t>with the ordinary legislative procedure</w:t>
      </w:r>
      <w:r w:rsidR="00242369">
        <w:rPr>
          <w:rFonts w:eastAsia="Arial Unicode MS"/>
          <w:noProof/>
          <w:color w:val="000000" w:themeColor="text1"/>
        </w:rPr>
        <w:t>.</w:t>
      </w:r>
    </w:p>
    <w:p w14:paraId="26B73A4A" w14:textId="38AC28FC" w:rsidR="000449CC" w:rsidRPr="002B1990" w:rsidRDefault="006136DC" w:rsidP="00A72E78">
      <w:pPr>
        <w:pBdr>
          <w:top w:val="nil"/>
          <w:left w:val="nil"/>
          <w:bottom w:val="nil"/>
          <w:right w:val="nil"/>
          <w:between w:val="nil"/>
          <w:bar w:val="nil"/>
        </w:pBdr>
        <w:spacing w:before="0" w:after="240"/>
        <w:rPr>
          <w:rFonts w:eastAsia="Arial Unicode MS"/>
          <w:noProof/>
          <w:color w:val="000000" w:themeColor="text1"/>
        </w:rPr>
      </w:pPr>
      <w:r w:rsidRPr="002B1990">
        <w:rPr>
          <w:rFonts w:eastAsia="Arial Unicode MS"/>
          <w:noProof/>
          <w:color w:val="000000" w:themeColor="text1"/>
        </w:rPr>
        <w:t>Article 2 of th</w:t>
      </w:r>
      <w:r w:rsidR="0048528A">
        <w:rPr>
          <w:rFonts w:eastAsia="Arial Unicode MS"/>
          <w:noProof/>
          <w:color w:val="000000" w:themeColor="text1"/>
        </w:rPr>
        <w:t>e</w:t>
      </w:r>
      <w:r w:rsidRPr="002B1990">
        <w:rPr>
          <w:rFonts w:eastAsia="Arial Unicode MS"/>
          <w:noProof/>
          <w:color w:val="000000" w:themeColor="text1"/>
        </w:rPr>
        <w:t xml:space="preserve"> proposal aims at amending </w:t>
      </w:r>
      <w:r w:rsidR="000F03C5">
        <w:rPr>
          <w:rFonts w:eastAsia="Arial Unicode MS"/>
          <w:noProof/>
          <w:color w:val="000000" w:themeColor="text1"/>
        </w:rPr>
        <w:t xml:space="preserve">a </w:t>
      </w:r>
      <w:r w:rsidRPr="002B1990">
        <w:rPr>
          <w:rFonts w:eastAsia="Arial Unicode MS"/>
          <w:noProof/>
          <w:color w:val="000000" w:themeColor="text1"/>
        </w:rPr>
        <w:t>Council Decision</w:t>
      </w:r>
      <w:r w:rsidR="000F03C5">
        <w:rPr>
          <w:rFonts w:eastAsia="Arial Unicode MS"/>
          <w:noProof/>
          <w:color w:val="000000" w:themeColor="text1"/>
        </w:rPr>
        <w:t>,</w:t>
      </w:r>
      <w:r w:rsidRPr="002B1990">
        <w:rPr>
          <w:rFonts w:eastAsia="Arial Unicode MS"/>
          <w:noProof/>
          <w:color w:val="000000" w:themeColor="text1"/>
        </w:rPr>
        <w:t xml:space="preserve"> which was adopted </w:t>
      </w:r>
      <w:r w:rsidR="0048528A">
        <w:rPr>
          <w:rFonts w:eastAsia="Arial Unicode MS"/>
          <w:noProof/>
          <w:color w:val="000000" w:themeColor="text1"/>
        </w:rPr>
        <w:t>before</w:t>
      </w:r>
      <w:r w:rsidRPr="002B1990">
        <w:rPr>
          <w:rFonts w:eastAsia="Arial Unicode MS"/>
          <w:noProof/>
          <w:color w:val="000000" w:themeColor="text1"/>
        </w:rPr>
        <w:t xml:space="preserve"> the entry into force of the Treaty of Lisbon in 2009.</w:t>
      </w:r>
      <w:r w:rsidR="00DD3D1F">
        <w:rPr>
          <w:rFonts w:eastAsia="Arial Unicode MS"/>
          <w:noProof/>
          <w:color w:val="000000" w:themeColor="text1"/>
        </w:rPr>
        <w:t xml:space="preserve"> As these amendments are of purely consequential nature to the amendments of the Eurojust Regulation, they can be </w:t>
      </w:r>
      <w:r w:rsidR="00DD3D1F">
        <w:rPr>
          <w:noProof/>
        </w:rPr>
        <w:t xml:space="preserve">included as an ancillary matter in the </w:t>
      </w:r>
      <w:r w:rsidR="00A3340E">
        <w:rPr>
          <w:noProof/>
        </w:rPr>
        <w:t>r</w:t>
      </w:r>
      <w:r w:rsidR="00DD3D1F">
        <w:rPr>
          <w:noProof/>
        </w:rPr>
        <w:t>egulation amending the Eurojust Regulation</w:t>
      </w:r>
      <w:r w:rsidR="00DD3D1F" w:rsidRPr="7CC317AF">
        <w:rPr>
          <w:noProof/>
        </w:rPr>
        <w:t>.</w:t>
      </w:r>
    </w:p>
    <w:p w14:paraId="5E43DD68" w14:textId="77777777" w:rsidR="00EB0A3C" w:rsidRPr="002B1990" w:rsidRDefault="00EB0A3C" w:rsidP="005B63A2">
      <w:pPr>
        <w:pStyle w:val="ManualHeading1"/>
        <w:rPr>
          <w:noProof/>
          <w:color w:val="000000" w:themeColor="text1"/>
        </w:rPr>
      </w:pPr>
      <w:bookmarkStart w:id="16" w:name="_Toc84517391"/>
      <w:bookmarkStart w:id="17" w:name="_Toc84517563"/>
      <w:r w:rsidRPr="002B1990">
        <w:rPr>
          <w:noProof/>
          <w:color w:val="000000" w:themeColor="text1"/>
        </w:rPr>
        <w:t>3.</w:t>
      </w:r>
      <w:r w:rsidRPr="002B1990">
        <w:rPr>
          <w:noProof/>
          <w:color w:val="000000" w:themeColor="text1"/>
        </w:rPr>
        <w:tab/>
        <w:t>RESULTS OF EX-POST EVALUATIONS, STAKEHOLDER CONSULTATIONS AND IMPACT ASSESSMENTS</w:t>
      </w:r>
      <w:bookmarkEnd w:id="16"/>
      <w:bookmarkEnd w:id="17"/>
    </w:p>
    <w:p w14:paraId="6C91C548" w14:textId="77777777" w:rsidR="00EB0A3C" w:rsidRPr="002B1990" w:rsidRDefault="00EB0A3C" w:rsidP="00715ADE">
      <w:pPr>
        <w:pStyle w:val="ManualHeading2"/>
        <w:rPr>
          <w:rFonts w:eastAsia="Arial Unicode MS"/>
          <w:noProof/>
          <w:color w:val="000000" w:themeColor="text1"/>
          <w:bdr w:val="nil"/>
          <w:lang w:val="en-US" w:eastAsia="en-GB"/>
        </w:rPr>
      </w:pPr>
      <w:bookmarkStart w:id="18" w:name="_Toc84517392"/>
      <w:bookmarkStart w:id="19" w:name="_Toc84517564"/>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Stakeholder consultations</w:t>
      </w:r>
      <w:bookmarkEnd w:id="18"/>
      <w:bookmarkEnd w:id="19"/>
    </w:p>
    <w:p w14:paraId="2F4A4794" w14:textId="52D4EDD4" w:rsidR="00991849" w:rsidRPr="006D0ACA" w:rsidRDefault="00991849" w:rsidP="00715ADE">
      <w:pPr>
        <w:pBdr>
          <w:top w:val="nil"/>
          <w:left w:val="nil"/>
          <w:bottom w:val="nil"/>
          <w:right w:val="nil"/>
          <w:between w:val="nil"/>
          <w:bar w:val="nil"/>
        </w:pBdr>
        <w:spacing w:before="0" w:after="240"/>
        <w:rPr>
          <w:noProof/>
        </w:rPr>
      </w:pPr>
      <w:r w:rsidRPr="006D0ACA">
        <w:rPr>
          <w:noProof/>
        </w:rPr>
        <w:t xml:space="preserve">An extensive targeted consultation was </w:t>
      </w:r>
      <w:r w:rsidR="0048528A">
        <w:rPr>
          <w:noProof/>
        </w:rPr>
        <w:t>carried out</w:t>
      </w:r>
      <w:r w:rsidR="0048528A" w:rsidRPr="7CC317AF">
        <w:rPr>
          <w:noProof/>
        </w:rPr>
        <w:t xml:space="preserve"> </w:t>
      </w:r>
      <w:r w:rsidRPr="006D0ACA">
        <w:rPr>
          <w:noProof/>
        </w:rPr>
        <w:t xml:space="preserve">to ensure </w:t>
      </w:r>
      <w:r w:rsidR="0048528A">
        <w:rPr>
          <w:noProof/>
        </w:rPr>
        <w:t>the broad</w:t>
      </w:r>
      <w:r w:rsidRPr="006D0ACA">
        <w:rPr>
          <w:noProof/>
        </w:rPr>
        <w:t xml:space="preserve"> participation of relevant stakeholders </w:t>
      </w:r>
      <w:r w:rsidR="0048528A">
        <w:rPr>
          <w:noProof/>
        </w:rPr>
        <w:t xml:space="preserve">in </w:t>
      </w:r>
      <w:r w:rsidRPr="006D0ACA">
        <w:rPr>
          <w:noProof/>
        </w:rPr>
        <w:t>the preparation of the proposal. Consultations included bilateral contacts, stakeholder and expert meeting</w:t>
      </w:r>
      <w:r w:rsidR="000F03C5" w:rsidRPr="006D0ACA">
        <w:rPr>
          <w:noProof/>
        </w:rPr>
        <w:t>s</w:t>
      </w:r>
      <w:r w:rsidRPr="006D0ACA">
        <w:rPr>
          <w:noProof/>
        </w:rPr>
        <w:t>, written contribution and a survey of practitioners.</w:t>
      </w:r>
    </w:p>
    <w:p w14:paraId="4FA8CC4F" w14:textId="2B93407D" w:rsidR="00991849" w:rsidRPr="002B1990" w:rsidRDefault="00991849" w:rsidP="00991849">
      <w:pPr>
        <w:pBdr>
          <w:top w:val="nil"/>
          <w:left w:val="nil"/>
          <w:bottom w:val="nil"/>
          <w:right w:val="nil"/>
          <w:between w:val="nil"/>
          <w:bar w:val="nil"/>
        </w:pBdr>
        <w:spacing w:before="0" w:after="240"/>
        <w:rPr>
          <w:noProof/>
          <w:color w:val="000000" w:themeColor="text1"/>
        </w:rPr>
      </w:pPr>
      <w:r w:rsidRPr="006D0ACA">
        <w:rPr>
          <w:noProof/>
        </w:rPr>
        <w:t>The Commission gathered a broad and balanced range of views on this issue by giving the opportunity to all relevant parties to express their opinions. In particular, Member States, national authorities such as the national correspondents for terrorism matters, prosecutors and judges, Eurojust, its national desks and administration, the European Counter-Terrorism Coordinator, Europol, academics, fundamental rights and data protection stakeholders</w:t>
      </w:r>
      <w:r w:rsidR="007B2D5A" w:rsidRPr="006D0ACA">
        <w:rPr>
          <w:noProof/>
        </w:rPr>
        <w:t xml:space="preserve"> were</w:t>
      </w:r>
      <w:r w:rsidRPr="006D0ACA">
        <w:rPr>
          <w:noProof/>
        </w:rPr>
        <w:t xml:space="preserve"> included in the consultation process.</w:t>
      </w:r>
    </w:p>
    <w:p w14:paraId="19B2E0D9" w14:textId="35469029" w:rsidR="00991849" w:rsidRPr="006D0ACA" w:rsidRDefault="00991849" w:rsidP="00991849">
      <w:pPr>
        <w:pBdr>
          <w:top w:val="nil"/>
          <w:left w:val="nil"/>
          <w:bottom w:val="nil"/>
          <w:right w:val="nil"/>
          <w:between w:val="nil"/>
          <w:bar w:val="nil"/>
        </w:pBdr>
        <w:spacing w:before="0" w:after="240"/>
        <w:rPr>
          <w:noProof/>
        </w:rPr>
      </w:pPr>
      <w:r w:rsidRPr="006D0ACA">
        <w:rPr>
          <w:noProof/>
        </w:rPr>
        <w:t>In addition, the issue was discussed, on 17</w:t>
      </w:r>
      <w:r w:rsidR="0048528A" w:rsidRPr="7CC317AF">
        <w:rPr>
          <w:noProof/>
        </w:rPr>
        <w:t> </w:t>
      </w:r>
      <w:r w:rsidRPr="006D0ACA">
        <w:rPr>
          <w:noProof/>
        </w:rPr>
        <w:t>June</w:t>
      </w:r>
      <w:r w:rsidR="0048528A" w:rsidRPr="7CC317AF">
        <w:rPr>
          <w:noProof/>
        </w:rPr>
        <w:t> </w:t>
      </w:r>
      <w:r w:rsidRPr="006D0ACA">
        <w:rPr>
          <w:noProof/>
        </w:rPr>
        <w:t>2021, in the Commission's Expert Group on EU Criminal policy, consisting of academics and practitioners in EU criminal law, and, on 24</w:t>
      </w:r>
      <w:r w:rsidR="0048528A" w:rsidRPr="7CC317AF">
        <w:rPr>
          <w:noProof/>
        </w:rPr>
        <w:t> </w:t>
      </w:r>
      <w:r w:rsidRPr="006D0ACA">
        <w:rPr>
          <w:noProof/>
        </w:rPr>
        <w:t>June</w:t>
      </w:r>
      <w:r w:rsidR="0048528A" w:rsidRPr="7CC317AF">
        <w:rPr>
          <w:noProof/>
        </w:rPr>
        <w:t> </w:t>
      </w:r>
      <w:r w:rsidRPr="006D0ACA">
        <w:rPr>
          <w:noProof/>
        </w:rPr>
        <w:t xml:space="preserve">2021, the Commission’s Digital Criminal Justice Expert Group, consisting of </w:t>
      </w:r>
      <w:r w:rsidR="0048528A" w:rsidRPr="006D0ACA">
        <w:rPr>
          <w:noProof/>
        </w:rPr>
        <w:t xml:space="preserve">Member States </w:t>
      </w:r>
      <w:r w:rsidRPr="006D0ACA">
        <w:rPr>
          <w:noProof/>
        </w:rPr>
        <w:t>experts</w:t>
      </w:r>
      <w:r w:rsidRPr="7CC317AF">
        <w:rPr>
          <w:noProof/>
        </w:rPr>
        <w:t>.</w:t>
      </w:r>
    </w:p>
    <w:p w14:paraId="7E6898C1" w14:textId="6F1533AF" w:rsidR="00991849" w:rsidRPr="002B1990" w:rsidRDefault="00991849" w:rsidP="00991849">
      <w:pPr>
        <w:pBdr>
          <w:top w:val="nil"/>
          <w:left w:val="nil"/>
          <w:bottom w:val="nil"/>
          <w:right w:val="nil"/>
          <w:between w:val="nil"/>
          <w:bar w:val="nil"/>
        </w:pBdr>
        <w:spacing w:before="0" w:after="240"/>
        <w:rPr>
          <w:noProof/>
          <w:color w:val="000000" w:themeColor="text1"/>
        </w:rPr>
      </w:pPr>
      <w:r w:rsidRPr="006D0ACA">
        <w:rPr>
          <w:noProof/>
        </w:rPr>
        <w:t xml:space="preserve">All stakeholders broadly welcomed the initiative and agreed with the problem areas identified. The stakeholders were quite clear about the information to be shared with Eurojust: it should be the data necessary to identify subjects of investigations. Overall, the respondents were satisfied with the extent of data collected </w:t>
      </w:r>
      <w:r w:rsidR="0048528A">
        <w:rPr>
          <w:noProof/>
        </w:rPr>
        <w:t>through</w:t>
      </w:r>
      <w:r w:rsidR="0048528A" w:rsidRPr="7CC317AF">
        <w:rPr>
          <w:noProof/>
        </w:rPr>
        <w:t xml:space="preserve"> </w:t>
      </w:r>
      <w:r w:rsidRPr="006D0ACA">
        <w:rPr>
          <w:noProof/>
        </w:rPr>
        <w:t>the current Eurojust</w:t>
      </w:r>
      <w:r w:rsidRPr="7CC317AF">
        <w:rPr>
          <w:noProof/>
        </w:rPr>
        <w:t xml:space="preserve"> </w:t>
      </w:r>
      <w:r w:rsidR="004D2520">
        <w:rPr>
          <w:noProof/>
        </w:rPr>
        <w:t>CTR</w:t>
      </w:r>
      <w:r w:rsidR="004D2520" w:rsidRPr="7CC317AF">
        <w:rPr>
          <w:noProof/>
        </w:rPr>
        <w:t xml:space="preserve"> </w:t>
      </w:r>
      <w:r w:rsidRPr="006D0ACA">
        <w:rPr>
          <w:noProof/>
        </w:rPr>
        <w:t>template.</w:t>
      </w:r>
      <w:r w:rsidRPr="002B1990">
        <w:rPr>
          <w:noProof/>
          <w:color w:val="000000" w:themeColor="text1"/>
        </w:rPr>
        <w:t xml:space="preserve"> </w:t>
      </w:r>
    </w:p>
    <w:p w14:paraId="0DB91F99" w14:textId="008D0E79" w:rsidR="00991849" w:rsidRPr="006D0ACA" w:rsidRDefault="00991849" w:rsidP="00991849">
      <w:pPr>
        <w:pBdr>
          <w:top w:val="nil"/>
          <w:left w:val="nil"/>
          <w:bottom w:val="nil"/>
          <w:right w:val="nil"/>
          <w:between w:val="nil"/>
          <w:bar w:val="nil"/>
        </w:pBdr>
        <w:spacing w:before="0" w:after="240"/>
        <w:rPr>
          <w:noProof/>
        </w:rPr>
      </w:pPr>
      <w:r w:rsidRPr="006D0ACA">
        <w:rPr>
          <w:noProof/>
        </w:rPr>
        <w:t xml:space="preserve">There was </w:t>
      </w:r>
      <w:r w:rsidR="00E56C74">
        <w:rPr>
          <w:noProof/>
        </w:rPr>
        <w:t xml:space="preserve">a </w:t>
      </w:r>
      <w:r w:rsidRPr="006D0ACA">
        <w:rPr>
          <w:noProof/>
        </w:rPr>
        <w:t>strong support to introduce secure communication channels between the Member States and Eurojust. Eurojust would prefer secure communication channels for all operational personal data sent to Eurojust.</w:t>
      </w:r>
      <w:r w:rsidRPr="002B1990">
        <w:rPr>
          <w:noProof/>
          <w:color w:val="000000" w:themeColor="text1"/>
        </w:rPr>
        <w:t xml:space="preserve"> </w:t>
      </w:r>
      <w:r w:rsidRPr="006D0ACA">
        <w:rPr>
          <w:noProof/>
        </w:rPr>
        <w:t xml:space="preserve">Many stakeholders underlined that the current CMS would not be able to fulfil the tasks envisaged for the CTR. </w:t>
      </w:r>
    </w:p>
    <w:p w14:paraId="11FDF140" w14:textId="2CADCDB5" w:rsidR="00991849" w:rsidRPr="002B1990" w:rsidRDefault="00991849" w:rsidP="00715ADE">
      <w:pPr>
        <w:pBdr>
          <w:top w:val="nil"/>
          <w:left w:val="nil"/>
          <w:bottom w:val="nil"/>
          <w:right w:val="nil"/>
          <w:between w:val="nil"/>
          <w:bar w:val="nil"/>
        </w:pBdr>
        <w:spacing w:before="0" w:after="240"/>
        <w:rPr>
          <w:rFonts w:eastAsia="Arial Unicode MS"/>
          <w:noProof/>
          <w:color w:val="000000" w:themeColor="text1"/>
        </w:rPr>
      </w:pPr>
      <w:r w:rsidRPr="006D0ACA">
        <w:rPr>
          <w:noProof/>
        </w:rPr>
        <w:t xml:space="preserve">There </w:t>
      </w:r>
      <w:r w:rsidR="000F03C5" w:rsidRPr="006D0ACA">
        <w:rPr>
          <w:noProof/>
        </w:rPr>
        <w:t>was</w:t>
      </w:r>
      <w:r w:rsidR="00E56C74">
        <w:rPr>
          <w:noProof/>
        </w:rPr>
        <w:t xml:space="preserve"> a</w:t>
      </w:r>
      <w:r w:rsidR="000F03C5" w:rsidRPr="006D0ACA">
        <w:rPr>
          <w:noProof/>
        </w:rPr>
        <w:t xml:space="preserve"> </w:t>
      </w:r>
      <w:r w:rsidRPr="006D0ACA">
        <w:rPr>
          <w:noProof/>
        </w:rPr>
        <w:t xml:space="preserve">general agreement that LPs should have operational access to the CMS. Member States and Eurojust practitioners pointed out that third countries, which have concluded a cooperation agreement and are therefore able to post a LP to Eurojust, should be able to open and close cases independently. </w:t>
      </w:r>
    </w:p>
    <w:p w14:paraId="561CCE5C" w14:textId="77777777" w:rsidR="00EB0A3C" w:rsidRPr="002B1990" w:rsidRDefault="00EB0A3C" w:rsidP="00715ADE">
      <w:pPr>
        <w:pStyle w:val="ManualHeading2"/>
        <w:rPr>
          <w:rFonts w:eastAsia="Arial Unicode MS"/>
          <w:noProof/>
          <w:color w:val="000000" w:themeColor="text1"/>
          <w:bdr w:val="nil"/>
          <w:lang w:val="en-US" w:eastAsia="en-GB"/>
        </w:rPr>
      </w:pPr>
      <w:bookmarkStart w:id="20" w:name="_Toc84517393"/>
      <w:bookmarkStart w:id="21" w:name="_Toc84517565"/>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Collection and use of expertise</w:t>
      </w:r>
      <w:bookmarkEnd w:id="20"/>
      <w:bookmarkEnd w:id="21"/>
    </w:p>
    <w:p w14:paraId="2A257C69" w14:textId="7347107E" w:rsidR="00991849" w:rsidRPr="006D0ACA" w:rsidRDefault="00991849" w:rsidP="00715ADE">
      <w:pPr>
        <w:pBdr>
          <w:top w:val="nil"/>
          <w:left w:val="nil"/>
          <w:bottom w:val="nil"/>
          <w:right w:val="nil"/>
          <w:between w:val="nil"/>
          <w:bar w:val="nil"/>
        </w:pBdr>
        <w:spacing w:before="0" w:after="240"/>
        <w:rPr>
          <w:noProof/>
        </w:rPr>
      </w:pPr>
      <w:r w:rsidRPr="006D0ACA">
        <w:rPr>
          <w:noProof/>
        </w:rPr>
        <w:t xml:space="preserve">The </w:t>
      </w:r>
      <w:r w:rsidR="0048528A">
        <w:rPr>
          <w:noProof/>
        </w:rPr>
        <w:t>proposal</w:t>
      </w:r>
      <w:r w:rsidR="0048528A" w:rsidRPr="58C9E2C4">
        <w:rPr>
          <w:noProof/>
        </w:rPr>
        <w:t xml:space="preserve"> </w:t>
      </w:r>
      <w:r w:rsidRPr="006D0ACA">
        <w:rPr>
          <w:noProof/>
        </w:rPr>
        <w:t>is based on the findings of the</w:t>
      </w:r>
      <w:r w:rsidR="00013007" w:rsidRPr="006D0ACA">
        <w:rPr>
          <w:noProof/>
        </w:rPr>
        <w:t xml:space="preserve"> Digital Criminal Justice study</w:t>
      </w:r>
      <w:r w:rsidR="00013007" w:rsidRPr="00101907">
        <w:rPr>
          <w:rStyle w:val="FootnoteReference"/>
          <w:rFonts w:eastAsia="Arial Unicode MS"/>
          <w:noProof/>
        </w:rPr>
        <w:footnoteReference w:id="25"/>
      </w:r>
      <w:r w:rsidRPr="58C9E2C4">
        <w:rPr>
          <w:noProof/>
        </w:rPr>
        <w:t>.</w:t>
      </w:r>
      <w:r w:rsidRPr="006D0ACA">
        <w:rPr>
          <w:noProof/>
        </w:rPr>
        <w:t xml:space="preserve"> The study reviewed the needs and options </w:t>
      </w:r>
      <w:r w:rsidR="0048528A">
        <w:rPr>
          <w:noProof/>
        </w:rPr>
        <w:t>to</w:t>
      </w:r>
      <w:r w:rsidRPr="58C9E2C4">
        <w:rPr>
          <w:noProof/>
        </w:rPr>
        <w:t xml:space="preserve"> </w:t>
      </w:r>
      <w:r w:rsidR="0048528A" w:rsidRPr="006D0ACA">
        <w:rPr>
          <w:noProof/>
        </w:rPr>
        <w:t>creat</w:t>
      </w:r>
      <w:r w:rsidR="0048528A">
        <w:rPr>
          <w:noProof/>
        </w:rPr>
        <w:t>e</w:t>
      </w:r>
      <w:r w:rsidR="00A3340E">
        <w:rPr>
          <w:noProof/>
        </w:rPr>
        <w:t xml:space="preserve"> </w:t>
      </w:r>
      <w:r w:rsidRPr="006D0ACA">
        <w:rPr>
          <w:noProof/>
        </w:rPr>
        <w:t>a ‘Cross-Border Digital Criminal Justice’</w:t>
      </w:r>
      <w:r w:rsidR="00A4095B">
        <w:rPr>
          <w:noProof/>
        </w:rPr>
        <w:t>,</w:t>
      </w:r>
      <w:r w:rsidRPr="006D0ACA">
        <w:rPr>
          <w:noProof/>
        </w:rPr>
        <w:t xml:space="preserve"> a fast, reliable and secure IT infrastructure to enable national prosecution authorities in Member States to interact with their national counterparts, Justice and Home Affairs (JHA) agencies and EU bodies in the JHA area. </w:t>
      </w:r>
    </w:p>
    <w:p w14:paraId="7B228B94" w14:textId="77777777" w:rsidR="00EB0A3C" w:rsidRPr="002B1990" w:rsidRDefault="00EB0A3C" w:rsidP="00715ADE">
      <w:pPr>
        <w:pStyle w:val="ManualHeading2"/>
        <w:rPr>
          <w:rFonts w:eastAsia="Arial Unicode MS"/>
          <w:noProof/>
          <w:color w:val="000000" w:themeColor="text1"/>
          <w:bdr w:val="nil"/>
          <w:lang w:val="en-US" w:eastAsia="en-GB"/>
        </w:rPr>
      </w:pPr>
      <w:bookmarkStart w:id="22" w:name="_Toc84517394"/>
      <w:bookmarkStart w:id="23" w:name="_Toc84517566"/>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Impact assessment</w:t>
      </w:r>
      <w:bookmarkEnd w:id="22"/>
      <w:bookmarkEnd w:id="23"/>
    </w:p>
    <w:p w14:paraId="775198E2" w14:textId="3DD59838" w:rsidR="000835D7" w:rsidRPr="006D0ACA" w:rsidRDefault="00FA65E7" w:rsidP="00A72E78">
      <w:pPr>
        <w:pBdr>
          <w:top w:val="nil"/>
          <w:left w:val="nil"/>
          <w:bottom w:val="nil"/>
          <w:right w:val="nil"/>
          <w:between w:val="nil"/>
          <w:bar w:val="nil"/>
        </w:pBdr>
        <w:spacing w:before="0" w:after="240"/>
        <w:rPr>
          <w:noProof/>
        </w:rPr>
      </w:pPr>
      <w:r>
        <w:rPr>
          <w:noProof/>
        </w:rPr>
        <w:t>No</w:t>
      </w:r>
      <w:r w:rsidR="00A72E78" w:rsidRPr="006D0ACA">
        <w:rPr>
          <w:noProof/>
        </w:rPr>
        <w:t xml:space="preserve"> impact assessment </w:t>
      </w:r>
      <w:r>
        <w:rPr>
          <w:noProof/>
        </w:rPr>
        <w:t>was conducted</w:t>
      </w:r>
      <w:r w:rsidR="00A72E78" w:rsidRPr="006D0ACA">
        <w:rPr>
          <w:noProof/>
        </w:rPr>
        <w:t>, as the proposal mainly aims at establishing an up</w:t>
      </w:r>
      <w:r w:rsidR="0048528A" w:rsidRPr="58C9E2C4">
        <w:rPr>
          <w:noProof/>
        </w:rPr>
        <w:t xml:space="preserve"> </w:t>
      </w:r>
      <w:r w:rsidR="00A72E78" w:rsidRPr="006D0ACA">
        <w:rPr>
          <w:noProof/>
        </w:rPr>
        <w:t>to</w:t>
      </w:r>
      <w:r w:rsidR="0048528A" w:rsidRPr="58C9E2C4">
        <w:rPr>
          <w:noProof/>
        </w:rPr>
        <w:t xml:space="preserve"> </w:t>
      </w:r>
      <w:r w:rsidR="00A72E78" w:rsidRPr="006D0ACA">
        <w:rPr>
          <w:noProof/>
        </w:rPr>
        <w:t>date technical solution for supporting</w:t>
      </w:r>
      <w:r w:rsidR="00A3340E">
        <w:rPr>
          <w:noProof/>
        </w:rPr>
        <w:t xml:space="preserve"> </w:t>
      </w:r>
      <w:r w:rsidR="0048528A" w:rsidRPr="006D0ACA">
        <w:rPr>
          <w:noProof/>
        </w:rPr>
        <w:t>Member</w:t>
      </w:r>
      <w:r w:rsidR="0048528A" w:rsidRPr="58C9E2C4">
        <w:rPr>
          <w:noProof/>
        </w:rPr>
        <w:t xml:space="preserve"> </w:t>
      </w:r>
      <w:r w:rsidR="0048528A" w:rsidRPr="006D0ACA">
        <w:rPr>
          <w:noProof/>
        </w:rPr>
        <w:t>States</w:t>
      </w:r>
      <w:r w:rsidR="0048528A" w:rsidRPr="58C9E2C4">
        <w:rPr>
          <w:noProof/>
        </w:rPr>
        <w:t xml:space="preserve">’ </w:t>
      </w:r>
      <w:r w:rsidR="00A72E78" w:rsidRPr="006D0ACA">
        <w:rPr>
          <w:noProof/>
        </w:rPr>
        <w:t>authorities and Eurojust, without changing the main principles</w:t>
      </w:r>
      <w:r w:rsidR="005F6A7E">
        <w:rPr>
          <w:noProof/>
        </w:rPr>
        <w:t>,</w:t>
      </w:r>
      <w:r w:rsidR="00A72E78" w:rsidRPr="006D0ACA">
        <w:rPr>
          <w:noProof/>
        </w:rPr>
        <w:t xml:space="preserve"> which underpin the existing legal cooperation framework.</w:t>
      </w:r>
    </w:p>
    <w:p w14:paraId="3E7A4D35" w14:textId="5D4A3F46" w:rsidR="00BB72D8" w:rsidRDefault="00FA65E7" w:rsidP="160710AA">
      <w:pPr>
        <w:pBdr>
          <w:top w:val="nil"/>
          <w:left w:val="nil"/>
          <w:bottom w:val="nil"/>
          <w:right w:val="nil"/>
          <w:between w:val="nil"/>
          <w:bar w:val="nil"/>
        </w:pBdr>
        <w:spacing w:before="0" w:after="240"/>
        <w:rPr>
          <w:noProof/>
        </w:rPr>
      </w:pPr>
      <w:r>
        <w:rPr>
          <w:noProof/>
        </w:rPr>
        <w:t>However, the Commission services prepared an analytical supporting document in the form of</w:t>
      </w:r>
      <w:r w:rsidR="00A72E78" w:rsidRPr="006D0ACA">
        <w:rPr>
          <w:noProof/>
        </w:rPr>
        <w:t xml:space="preserve"> a staff working document</w:t>
      </w:r>
      <w:r>
        <w:rPr>
          <w:rStyle w:val="FootnoteReference"/>
          <w:noProof/>
        </w:rPr>
        <w:footnoteReference w:id="26"/>
      </w:r>
      <w:r>
        <w:rPr>
          <w:noProof/>
        </w:rPr>
        <w:t>, which</w:t>
      </w:r>
      <w:r w:rsidR="00A72E78" w:rsidRPr="1FF0445A">
        <w:rPr>
          <w:noProof/>
        </w:rPr>
        <w:t xml:space="preserve"> </w:t>
      </w:r>
      <w:r w:rsidR="00A72E78" w:rsidRPr="006D0ACA">
        <w:rPr>
          <w:noProof/>
        </w:rPr>
        <w:t>accompan</w:t>
      </w:r>
      <w:r w:rsidR="00E63DDF">
        <w:rPr>
          <w:noProof/>
        </w:rPr>
        <w:t>ies</w:t>
      </w:r>
      <w:r w:rsidR="00A72E78" w:rsidRPr="006D0ACA">
        <w:rPr>
          <w:noProof/>
        </w:rPr>
        <w:t xml:space="preserve"> the proposal. </w:t>
      </w:r>
      <w:r w:rsidR="000835D7" w:rsidRPr="006D0ACA">
        <w:rPr>
          <w:noProof/>
        </w:rPr>
        <w:t>The staff working document contains a detailed problem description</w:t>
      </w:r>
      <w:r w:rsidR="005B1D3F">
        <w:rPr>
          <w:noProof/>
        </w:rPr>
        <w:t>, looks at the underlying drivers</w:t>
      </w:r>
      <w:r w:rsidR="000835D7" w:rsidRPr="006D0ACA">
        <w:rPr>
          <w:noProof/>
        </w:rPr>
        <w:t xml:space="preserve"> and sets out the objectives of the proposal.</w:t>
      </w:r>
      <w:r w:rsidR="005B1D3F" w:rsidRPr="1FF0445A">
        <w:rPr>
          <w:noProof/>
        </w:rPr>
        <w:t xml:space="preserve"> </w:t>
      </w:r>
      <w:r w:rsidR="000835D7" w:rsidRPr="006D0ACA">
        <w:rPr>
          <w:noProof/>
        </w:rPr>
        <w:t>It analyses the proposed solution in the light of efficacy, but also potential impacts on fundamental rights.</w:t>
      </w:r>
      <w:r w:rsidR="005B1D3F" w:rsidRPr="1FF0445A">
        <w:rPr>
          <w:noProof/>
        </w:rPr>
        <w:t xml:space="preserve"> </w:t>
      </w:r>
    </w:p>
    <w:p w14:paraId="14E72849" w14:textId="77777777" w:rsidR="00CE7EB7" w:rsidRDefault="00BB72D8" w:rsidP="00CE7EB7">
      <w:pPr>
        <w:rPr>
          <w:noProof/>
        </w:rPr>
      </w:pPr>
      <w:r>
        <w:rPr>
          <w:noProof/>
        </w:rPr>
        <w:t>In the analytical supporting document, the main problems identified were that Eurojust does not receive comprehensive information on cases from the competent national authorities, that the Eurojust CMS does not support the automated identification of links and that cooperation with third country liaison prosecutors is not efficient. As solution it is suggested to clarify and reinforce the obligation to share information on terrorism</w:t>
      </w:r>
      <w:r w:rsidRPr="1FF0445A">
        <w:rPr>
          <w:noProof/>
        </w:rPr>
        <w:t xml:space="preserve"> </w:t>
      </w:r>
      <w:r>
        <w:rPr>
          <w:noProof/>
        </w:rPr>
        <w:t>cases with Eurojust</w:t>
      </w:r>
      <w:r w:rsidR="001A2AF9">
        <w:rPr>
          <w:noProof/>
        </w:rPr>
        <w:t xml:space="preserve">, to modernise the Eurojust CMS </w:t>
      </w:r>
      <w:r>
        <w:rPr>
          <w:noProof/>
        </w:rPr>
        <w:t>and to improve the legal basis for cooperation with third country LPs.</w:t>
      </w:r>
      <w:r w:rsidRPr="1FF0445A">
        <w:rPr>
          <w:noProof/>
        </w:rPr>
        <w:t xml:space="preserve"> </w:t>
      </w:r>
    </w:p>
    <w:p w14:paraId="0D963756" w14:textId="7B07F233" w:rsidR="00CE7EB7" w:rsidRDefault="00BB72D8" w:rsidP="00CE7EB7">
      <w:pPr>
        <w:rPr>
          <w:rFonts w:eastAsia="Arial Unicode MS"/>
          <w:noProof/>
          <w:color w:val="000000" w:themeColor="text1"/>
          <w:u w:color="000000"/>
          <w:bdr w:val="nil"/>
          <w:lang w:val="en-US" w:eastAsia="en-GB"/>
        </w:rPr>
      </w:pPr>
      <w:r>
        <w:rPr>
          <w:noProof/>
        </w:rPr>
        <w:t>The improved efficiency of data-exchange between national authorities and Eurojust, including the use of secure communication channel(s) is expected to improve Eurojust’s abilities to identify links between ongoing and concluded proceedings significantly. The modernisation of Eurojust’s data processing environment has the same objective. The identification of such links</w:t>
      </w:r>
      <w:r w:rsidR="001A2AF9">
        <w:rPr>
          <w:noProof/>
        </w:rPr>
        <w:t xml:space="preserve"> is expected to</w:t>
      </w:r>
      <w:r>
        <w:rPr>
          <w:noProof/>
        </w:rPr>
        <w:t xml:space="preserve"> help the judicial authorities at different stages </w:t>
      </w:r>
      <w:r w:rsidR="001A2AF9">
        <w:rPr>
          <w:noProof/>
        </w:rPr>
        <w:t xml:space="preserve">of national proceedings </w:t>
      </w:r>
      <w:r>
        <w:rPr>
          <w:noProof/>
        </w:rPr>
        <w:t xml:space="preserve">to identify and prosecute successfully suspects of terrorist offences or </w:t>
      </w:r>
      <w:r w:rsidR="001A2AF9">
        <w:rPr>
          <w:noProof/>
        </w:rPr>
        <w:t xml:space="preserve">those </w:t>
      </w:r>
      <w:r>
        <w:rPr>
          <w:noProof/>
        </w:rPr>
        <w:t xml:space="preserve">involved in other serious crimes </w:t>
      </w:r>
      <w:r w:rsidR="001A2AF9">
        <w:rPr>
          <w:noProof/>
        </w:rPr>
        <w:t xml:space="preserve">and </w:t>
      </w:r>
      <w:r>
        <w:rPr>
          <w:noProof/>
        </w:rPr>
        <w:t xml:space="preserve">with connection to such suspects. Enabling Eurojust </w:t>
      </w:r>
      <w:r w:rsidR="00DF59E7">
        <w:rPr>
          <w:noProof/>
        </w:rPr>
        <w:t xml:space="preserve">to support the Member States with its full potential should </w:t>
      </w:r>
      <w:r w:rsidR="001A2AF9">
        <w:rPr>
          <w:noProof/>
        </w:rPr>
        <w:t>strengthen significantly</w:t>
      </w:r>
      <w:r w:rsidR="00DF59E7">
        <w:rPr>
          <w:noProof/>
        </w:rPr>
        <w:t xml:space="preserve"> the judicial response in the fight against </w:t>
      </w:r>
      <w:r w:rsidR="00AA7ACB">
        <w:rPr>
          <w:noProof/>
        </w:rPr>
        <w:t>terrorism</w:t>
      </w:r>
      <w:r w:rsidR="00DF59E7">
        <w:rPr>
          <w:noProof/>
        </w:rPr>
        <w:t xml:space="preserve"> and other forms of serious crime.</w:t>
      </w:r>
      <w:bookmarkStart w:id="24" w:name="_Toc84517395"/>
      <w:bookmarkStart w:id="25" w:name="_Toc84517567"/>
    </w:p>
    <w:bookmarkEnd w:id="24"/>
    <w:bookmarkEnd w:id="25"/>
    <w:p w14:paraId="3F694A19" w14:textId="698689BE" w:rsidR="00CE7EB7" w:rsidRPr="002B1990" w:rsidRDefault="00CE7EB7" w:rsidP="00CE7EB7">
      <w:pPr>
        <w:pStyle w:val="ManualHeading2"/>
        <w:rPr>
          <w:rFonts w:eastAsia="Arial Unicode MS"/>
          <w:noProof/>
          <w:color w:val="000000" w:themeColor="text1"/>
          <w:bdr w:val="nil"/>
          <w:lang w:val="en-US" w:eastAsia="en-GB"/>
        </w:rPr>
      </w:pPr>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Pr>
          <w:rFonts w:eastAsia="Arial Unicode MS"/>
          <w:noProof/>
          <w:color w:val="000000" w:themeColor="text1"/>
          <w:bdr w:val="nil"/>
          <w:lang w:val="en-US" w:eastAsia="en-GB"/>
        </w:rPr>
        <w:t>Fundamental rights</w:t>
      </w:r>
    </w:p>
    <w:p w14:paraId="24B4AFDE" w14:textId="124C589F" w:rsidR="006C72D3" w:rsidRPr="002B1990" w:rsidRDefault="006C72D3" w:rsidP="00715ADE">
      <w:pPr>
        <w:pBdr>
          <w:top w:val="nil"/>
          <w:left w:val="nil"/>
          <w:bottom w:val="nil"/>
          <w:right w:val="nil"/>
          <w:between w:val="nil"/>
          <w:bar w:val="nil"/>
        </w:pBdr>
        <w:spacing w:before="0" w:after="240"/>
        <w:rPr>
          <w:rFonts w:eastAsia="Arial Unicode MS"/>
          <w:noProof/>
          <w:color w:val="000000" w:themeColor="text1"/>
          <w:lang w:val="en-US"/>
        </w:rPr>
      </w:pPr>
      <w:r w:rsidRPr="002B1990">
        <w:rPr>
          <w:rFonts w:eastAsia="Arial Unicode MS"/>
          <w:noProof/>
          <w:color w:val="000000" w:themeColor="text1"/>
        </w:rPr>
        <w:t xml:space="preserve">Given the importance of processing personal data for law enforcement </w:t>
      </w:r>
      <w:r w:rsidR="00AF2230">
        <w:rPr>
          <w:rFonts w:eastAsia="Arial Unicode MS"/>
          <w:noProof/>
          <w:color w:val="000000" w:themeColor="text1"/>
        </w:rPr>
        <w:t xml:space="preserve">purposes </w:t>
      </w:r>
      <w:r w:rsidRPr="002B1990">
        <w:rPr>
          <w:rFonts w:eastAsia="Arial Unicode MS"/>
          <w:noProof/>
          <w:color w:val="000000" w:themeColor="text1"/>
        </w:rPr>
        <w:t xml:space="preserve">and </w:t>
      </w:r>
      <w:r w:rsidR="00AF2230">
        <w:rPr>
          <w:rFonts w:eastAsia="Arial Unicode MS"/>
          <w:noProof/>
          <w:color w:val="000000" w:themeColor="text1"/>
        </w:rPr>
        <w:t xml:space="preserve">Eurojust’s </w:t>
      </w:r>
      <w:r w:rsidRPr="002B1990">
        <w:rPr>
          <w:rFonts w:eastAsia="Arial Unicode MS"/>
          <w:noProof/>
          <w:color w:val="000000" w:themeColor="text1"/>
        </w:rPr>
        <w:t xml:space="preserve">support </w:t>
      </w:r>
      <w:r w:rsidR="0041167C">
        <w:rPr>
          <w:rFonts w:eastAsia="Arial Unicode MS"/>
          <w:noProof/>
          <w:color w:val="000000" w:themeColor="text1"/>
        </w:rPr>
        <w:t>activities</w:t>
      </w:r>
      <w:r w:rsidRPr="002B1990">
        <w:rPr>
          <w:rFonts w:eastAsia="Arial Unicode MS"/>
          <w:noProof/>
          <w:color w:val="000000" w:themeColor="text1"/>
        </w:rPr>
        <w:t xml:space="preserve">, </w:t>
      </w:r>
      <w:r w:rsidR="00AF2230">
        <w:rPr>
          <w:rFonts w:eastAsia="Arial Unicode MS"/>
          <w:noProof/>
          <w:color w:val="000000" w:themeColor="text1"/>
        </w:rPr>
        <w:t xml:space="preserve">the proposal </w:t>
      </w:r>
      <w:r w:rsidR="005A045B">
        <w:rPr>
          <w:rFonts w:eastAsia="Arial Unicode MS"/>
          <w:noProof/>
          <w:color w:val="000000" w:themeColor="text1"/>
        </w:rPr>
        <w:t>sheds light</w:t>
      </w:r>
      <w:r w:rsidRPr="002B1990">
        <w:rPr>
          <w:rFonts w:eastAsia="Arial Unicode MS"/>
          <w:noProof/>
          <w:color w:val="000000" w:themeColor="text1"/>
        </w:rPr>
        <w:t xml:space="preserve"> on the need to ensure full compliance with fundamental rights as enshrined in the Charter of Fundamental Rights</w:t>
      </w:r>
      <w:r w:rsidR="00AF2230">
        <w:rPr>
          <w:rFonts w:eastAsia="Arial Unicode MS"/>
          <w:noProof/>
          <w:color w:val="000000" w:themeColor="text1"/>
        </w:rPr>
        <w:t>.</w:t>
      </w:r>
      <w:r w:rsidRPr="002B1990">
        <w:rPr>
          <w:rFonts w:eastAsia="Arial Unicode MS"/>
          <w:noProof/>
          <w:color w:val="000000" w:themeColor="text1"/>
        </w:rPr>
        <w:t xml:space="preserve"> </w:t>
      </w:r>
      <w:r w:rsidR="00AF2230">
        <w:rPr>
          <w:rFonts w:eastAsia="Arial Unicode MS"/>
          <w:noProof/>
          <w:color w:val="000000" w:themeColor="text1"/>
        </w:rPr>
        <w:t>These include</w:t>
      </w:r>
      <w:r w:rsidR="00AF2230" w:rsidRPr="002B1990">
        <w:rPr>
          <w:rFonts w:eastAsia="Arial Unicode MS"/>
          <w:noProof/>
          <w:color w:val="000000" w:themeColor="text1"/>
        </w:rPr>
        <w:t xml:space="preserve"> </w:t>
      </w:r>
      <w:r w:rsidRPr="002B1990">
        <w:rPr>
          <w:rFonts w:eastAsia="Arial Unicode MS"/>
          <w:noProof/>
          <w:color w:val="000000" w:themeColor="text1"/>
        </w:rPr>
        <w:t>the right to the protection of personal data</w:t>
      </w:r>
      <w:r w:rsidR="00715ADE" w:rsidRPr="002B1990">
        <w:rPr>
          <w:rStyle w:val="FootnoteReference"/>
          <w:rFonts w:eastAsia="Arial Unicode MS"/>
          <w:noProof/>
          <w:color w:val="000000" w:themeColor="text1"/>
        </w:rPr>
        <w:footnoteReference w:id="27"/>
      </w:r>
      <w:r w:rsidRPr="002B1990">
        <w:rPr>
          <w:rFonts w:eastAsia="Arial Unicode MS"/>
          <w:noProof/>
          <w:color w:val="000000" w:themeColor="text1"/>
        </w:rPr>
        <w:t xml:space="preserve"> and</w:t>
      </w:r>
      <w:r w:rsidR="00AF2230">
        <w:rPr>
          <w:rFonts w:eastAsia="Arial Unicode MS"/>
          <w:noProof/>
          <w:color w:val="000000" w:themeColor="text1"/>
        </w:rPr>
        <w:t xml:space="preserve"> the right</w:t>
      </w:r>
      <w:r w:rsidRPr="002B1990">
        <w:rPr>
          <w:rFonts w:eastAsia="Arial Unicode MS"/>
          <w:noProof/>
          <w:color w:val="000000" w:themeColor="text1"/>
        </w:rPr>
        <w:t xml:space="preserve"> to respect for private life</w:t>
      </w:r>
      <w:r w:rsidR="00715ADE" w:rsidRPr="002B1990">
        <w:rPr>
          <w:rStyle w:val="FootnoteReference"/>
          <w:rFonts w:eastAsia="Arial Unicode MS"/>
          <w:noProof/>
          <w:color w:val="000000" w:themeColor="text1"/>
        </w:rPr>
        <w:footnoteReference w:id="28"/>
      </w:r>
      <w:r w:rsidR="00AF2230">
        <w:rPr>
          <w:rFonts w:eastAsia="Arial Unicode MS"/>
          <w:noProof/>
          <w:color w:val="000000" w:themeColor="text1"/>
        </w:rPr>
        <w:t>.</w:t>
      </w:r>
      <w:r w:rsidR="00A76285" w:rsidRPr="002B1990">
        <w:rPr>
          <w:rFonts w:eastAsia="Arial Unicode MS"/>
          <w:noProof/>
          <w:color w:val="000000" w:themeColor="text1"/>
        </w:rPr>
        <w:t xml:space="preserve"> </w:t>
      </w:r>
      <w:r w:rsidR="00AF2230">
        <w:rPr>
          <w:rFonts w:eastAsia="Arial Unicode MS"/>
          <w:noProof/>
          <w:color w:val="000000" w:themeColor="text1"/>
        </w:rPr>
        <w:t>This is of particular importance since</w:t>
      </w:r>
      <w:r w:rsidR="00AF2230" w:rsidRPr="002B1990">
        <w:rPr>
          <w:rFonts w:eastAsia="Arial Unicode MS"/>
          <w:noProof/>
          <w:color w:val="000000" w:themeColor="text1"/>
        </w:rPr>
        <w:t xml:space="preserve"> </w:t>
      </w:r>
      <w:r w:rsidR="00A76285" w:rsidRPr="002B1990">
        <w:rPr>
          <w:rFonts w:eastAsia="Arial Unicode MS"/>
          <w:noProof/>
          <w:color w:val="000000" w:themeColor="text1"/>
        </w:rPr>
        <w:t>t</w:t>
      </w:r>
      <w:r w:rsidRPr="002B1990">
        <w:rPr>
          <w:rFonts w:eastAsia="Arial Unicode MS"/>
          <w:noProof/>
          <w:color w:val="000000" w:themeColor="text1"/>
        </w:rPr>
        <w:t>he proposal involves the processing of sensitive personal data relating to criminal investigations and convictions</w:t>
      </w:r>
      <w:r w:rsidR="00B84B5F">
        <w:rPr>
          <w:rFonts w:eastAsia="Arial Unicode MS"/>
          <w:noProof/>
          <w:color w:val="000000" w:themeColor="text1"/>
        </w:rPr>
        <w:t xml:space="preserve"> as well as biometric data</w:t>
      </w:r>
      <w:r w:rsidRPr="002B1990">
        <w:rPr>
          <w:rFonts w:eastAsia="Arial Unicode MS"/>
          <w:noProof/>
          <w:color w:val="000000" w:themeColor="text1"/>
        </w:rPr>
        <w:t xml:space="preserve">. </w:t>
      </w:r>
      <w:r w:rsidR="00A76285" w:rsidRPr="002B1990">
        <w:rPr>
          <w:rFonts w:eastAsia="Arial Unicode MS"/>
          <w:noProof/>
          <w:color w:val="000000" w:themeColor="text1"/>
        </w:rPr>
        <w:t>Given</w:t>
      </w:r>
      <w:r w:rsidRPr="002B1990">
        <w:rPr>
          <w:rFonts w:eastAsia="Arial Unicode MS"/>
          <w:noProof/>
          <w:color w:val="000000" w:themeColor="text1"/>
        </w:rPr>
        <w:t xml:space="preserve"> that it is </w:t>
      </w:r>
      <w:r w:rsidR="00AA7ACB">
        <w:rPr>
          <w:rFonts w:eastAsia="Arial Unicode MS"/>
          <w:noProof/>
          <w:color w:val="000000" w:themeColor="text1"/>
        </w:rPr>
        <w:t xml:space="preserve">one </w:t>
      </w:r>
      <w:r w:rsidR="00B84B5F">
        <w:rPr>
          <w:rFonts w:eastAsia="Arial Unicode MS"/>
          <w:noProof/>
          <w:color w:val="000000" w:themeColor="text1"/>
        </w:rPr>
        <w:t>of the</w:t>
      </w:r>
      <w:r w:rsidR="00AF2230">
        <w:rPr>
          <w:rFonts w:eastAsia="Arial Unicode MS"/>
          <w:noProof/>
          <w:color w:val="000000" w:themeColor="text1"/>
        </w:rPr>
        <w:t xml:space="preserve"> </w:t>
      </w:r>
      <w:r w:rsidR="00AA7ACB">
        <w:rPr>
          <w:rFonts w:eastAsia="Arial Unicode MS"/>
          <w:noProof/>
          <w:color w:val="000000" w:themeColor="text1"/>
        </w:rPr>
        <w:t xml:space="preserve">main </w:t>
      </w:r>
      <w:r w:rsidRPr="002B1990">
        <w:rPr>
          <w:rFonts w:eastAsia="Arial Unicode MS"/>
          <w:noProof/>
          <w:color w:val="000000" w:themeColor="text1"/>
        </w:rPr>
        <w:t>objective</w:t>
      </w:r>
      <w:r w:rsidR="00B84B5F">
        <w:rPr>
          <w:rFonts w:eastAsia="Arial Unicode MS"/>
          <w:noProof/>
          <w:color w:val="000000" w:themeColor="text1"/>
        </w:rPr>
        <w:t>s of the proposal</w:t>
      </w:r>
      <w:r w:rsidRPr="002B1990">
        <w:rPr>
          <w:rFonts w:eastAsia="Arial Unicode MS"/>
          <w:noProof/>
          <w:color w:val="000000" w:themeColor="text1"/>
        </w:rPr>
        <w:t xml:space="preserve"> to enable Eurojust to establish links between terrorism investigations,</w:t>
      </w:r>
      <w:r w:rsidR="00B84B5F">
        <w:rPr>
          <w:rFonts w:eastAsia="Arial Unicode MS"/>
          <w:noProof/>
          <w:color w:val="000000" w:themeColor="text1"/>
        </w:rPr>
        <w:t xml:space="preserve"> and this is only possible when Eurojust receives sufficient information,</w:t>
      </w:r>
      <w:r w:rsidRPr="002B1990">
        <w:rPr>
          <w:rFonts w:eastAsia="Arial Unicode MS"/>
          <w:noProof/>
          <w:color w:val="000000" w:themeColor="text1"/>
        </w:rPr>
        <w:t xml:space="preserve"> </w:t>
      </w:r>
      <w:r w:rsidR="00AF2230">
        <w:rPr>
          <w:rFonts w:eastAsia="Arial Unicode MS"/>
          <w:noProof/>
          <w:color w:val="000000" w:themeColor="text1"/>
        </w:rPr>
        <w:t xml:space="preserve">there is a need </w:t>
      </w:r>
      <w:r w:rsidRPr="002B1990">
        <w:rPr>
          <w:rFonts w:eastAsia="Arial Unicode MS"/>
          <w:noProof/>
          <w:color w:val="000000" w:themeColor="text1"/>
        </w:rPr>
        <w:t xml:space="preserve">to increase the </w:t>
      </w:r>
      <w:r w:rsidR="00044802">
        <w:rPr>
          <w:rFonts w:eastAsia="Arial Unicode MS"/>
          <w:noProof/>
          <w:color w:val="000000" w:themeColor="text1"/>
        </w:rPr>
        <w:t xml:space="preserve">amount of </w:t>
      </w:r>
      <w:r w:rsidRPr="002B1990">
        <w:rPr>
          <w:rFonts w:eastAsia="Arial Unicode MS"/>
          <w:noProof/>
          <w:color w:val="000000" w:themeColor="text1"/>
        </w:rPr>
        <w:t>data sen</w:t>
      </w:r>
      <w:r w:rsidR="00044802">
        <w:rPr>
          <w:rFonts w:eastAsia="Arial Unicode MS"/>
          <w:noProof/>
          <w:color w:val="000000" w:themeColor="text1"/>
        </w:rPr>
        <w:t>t</w:t>
      </w:r>
      <w:r w:rsidRPr="002B1990">
        <w:rPr>
          <w:rFonts w:eastAsia="Arial Unicode MS"/>
          <w:noProof/>
          <w:color w:val="000000" w:themeColor="text1"/>
        </w:rPr>
        <w:t xml:space="preserve"> to Euojust. </w:t>
      </w:r>
      <w:r w:rsidR="00B84B5F">
        <w:rPr>
          <w:rFonts w:eastAsia="Arial Unicode MS"/>
          <w:noProof/>
          <w:color w:val="000000" w:themeColor="text1"/>
        </w:rPr>
        <w:t xml:space="preserve">For this data, sufficient safeguards need to </w:t>
      </w:r>
      <w:r w:rsidR="008E4B0E">
        <w:rPr>
          <w:rFonts w:eastAsia="Arial Unicode MS"/>
          <w:noProof/>
          <w:color w:val="000000" w:themeColor="text1"/>
        </w:rPr>
        <w:t xml:space="preserve">be </w:t>
      </w:r>
      <w:r w:rsidR="00B84B5F">
        <w:rPr>
          <w:rFonts w:eastAsia="Arial Unicode MS"/>
          <w:noProof/>
          <w:color w:val="000000" w:themeColor="text1"/>
        </w:rPr>
        <w:t xml:space="preserve">put in place. This includes a strict purpose limitation, especially when it </w:t>
      </w:r>
      <w:r w:rsidR="005A045B">
        <w:rPr>
          <w:rFonts w:eastAsia="Arial Unicode MS"/>
          <w:noProof/>
          <w:color w:val="000000" w:themeColor="text1"/>
        </w:rPr>
        <w:t>concerns</w:t>
      </w:r>
      <w:r w:rsidR="00B84B5F">
        <w:rPr>
          <w:rFonts w:eastAsia="Arial Unicode MS"/>
          <w:noProof/>
          <w:color w:val="000000" w:themeColor="text1"/>
        </w:rPr>
        <w:t xml:space="preserve"> biometric data. T</w:t>
      </w:r>
      <w:r w:rsidR="00044802">
        <w:rPr>
          <w:rFonts w:eastAsia="Arial Unicode MS"/>
          <w:noProof/>
          <w:color w:val="000000" w:themeColor="text1"/>
        </w:rPr>
        <w:t xml:space="preserve">he use of secure communication channel(s) and the new </w:t>
      </w:r>
      <w:r w:rsidR="00B84B5F">
        <w:rPr>
          <w:rFonts w:eastAsia="Arial Unicode MS"/>
          <w:noProof/>
          <w:color w:val="000000" w:themeColor="text1"/>
        </w:rPr>
        <w:t>modernised CMS will contribute to better protection of the data processed by Eurojust. In the design of the CMS, a focus will be put on d</w:t>
      </w:r>
      <w:r w:rsidR="00044802">
        <w:rPr>
          <w:rFonts w:eastAsia="Arial Unicode MS"/>
          <w:noProof/>
          <w:color w:val="000000" w:themeColor="text1"/>
        </w:rPr>
        <w:t>ata protecti</w:t>
      </w:r>
      <w:r w:rsidR="00B84B5F">
        <w:rPr>
          <w:rFonts w:eastAsia="Arial Unicode MS"/>
          <w:noProof/>
          <w:color w:val="000000" w:themeColor="text1"/>
        </w:rPr>
        <w:t>on by default and design</w:t>
      </w:r>
      <w:r w:rsidR="00044802">
        <w:rPr>
          <w:rFonts w:eastAsia="Arial Unicode MS"/>
          <w:noProof/>
          <w:color w:val="000000" w:themeColor="text1"/>
        </w:rPr>
        <w:t xml:space="preserve">. In addition, the underlying principle of data control by national members and national competent authorities will not be altered. </w:t>
      </w:r>
      <w:r w:rsidR="00A76285" w:rsidRPr="002B1990">
        <w:rPr>
          <w:rFonts w:eastAsia="Arial Unicode MS"/>
          <w:noProof/>
          <w:color w:val="000000" w:themeColor="text1"/>
        </w:rPr>
        <w:t xml:space="preserve">The accompanying staff </w:t>
      </w:r>
      <w:r w:rsidR="00AF2230">
        <w:rPr>
          <w:rFonts w:eastAsia="Arial Unicode MS"/>
          <w:noProof/>
          <w:color w:val="000000" w:themeColor="text1"/>
        </w:rPr>
        <w:t xml:space="preserve">working </w:t>
      </w:r>
      <w:r w:rsidR="00A76285" w:rsidRPr="002B1990">
        <w:rPr>
          <w:rFonts w:eastAsia="Arial Unicode MS"/>
          <w:noProof/>
          <w:color w:val="000000" w:themeColor="text1"/>
        </w:rPr>
        <w:t xml:space="preserve">document </w:t>
      </w:r>
      <w:r w:rsidR="00AF2230">
        <w:rPr>
          <w:rFonts w:eastAsia="Arial Unicode MS"/>
          <w:noProof/>
          <w:color w:val="000000" w:themeColor="text1"/>
        </w:rPr>
        <w:t>assesses</w:t>
      </w:r>
      <w:r w:rsidR="00A76285" w:rsidRPr="002B1990">
        <w:rPr>
          <w:rFonts w:eastAsia="Arial Unicode MS"/>
          <w:noProof/>
          <w:color w:val="000000" w:themeColor="text1"/>
        </w:rPr>
        <w:t xml:space="preserve"> the impact of the proposal on fundamental rights</w:t>
      </w:r>
      <w:r w:rsidR="00044802">
        <w:rPr>
          <w:rFonts w:eastAsia="Arial Unicode MS"/>
          <w:noProof/>
          <w:color w:val="000000" w:themeColor="text1"/>
        </w:rPr>
        <w:t xml:space="preserve"> and safeguards in more detail</w:t>
      </w:r>
      <w:r w:rsidR="00A76285" w:rsidRPr="002B1990">
        <w:rPr>
          <w:rFonts w:eastAsia="Arial Unicode MS"/>
          <w:noProof/>
          <w:color w:val="000000" w:themeColor="text1"/>
        </w:rPr>
        <w:t xml:space="preserve">. </w:t>
      </w:r>
    </w:p>
    <w:p w14:paraId="42CB905F" w14:textId="77777777" w:rsidR="00EB0A3C" w:rsidRPr="002B1990" w:rsidRDefault="00EB0A3C" w:rsidP="00715ADE">
      <w:pPr>
        <w:pStyle w:val="ManualHeading1"/>
        <w:rPr>
          <w:noProof/>
          <w:color w:val="000000" w:themeColor="text1"/>
        </w:rPr>
      </w:pPr>
      <w:bookmarkStart w:id="26" w:name="_Toc84517396"/>
      <w:bookmarkStart w:id="27" w:name="_Toc84517568"/>
      <w:r w:rsidRPr="002B1990">
        <w:rPr>
          <w:noProof/>
          <w:color w:val="000000" w:themeColor="text1"/>
        </w:rPr>
        <w:t>4.</w:t>
      </w:r>
      <w:r w:rsidRPr="002B1990">
        <w:rPr>
          <w:noProof/>
          <w:color w:val="000000" w:themeColor="text1"/>
        </w:rPr>
        <w:tab/>
        <w:t>BUDGETARY IMPLICATIONS</w:t>
      </w:r>
      <w:bookmarkEnd w:id="26"/>
      <w:bookmarkEnd w:id="27"/>
    </w:p>
    <w:p w14:paraId="166E533F" w14:textId="3BC927E4" w:rsidR="000F03C5" w:rsidRPr="00CF260E" w:rsidRDefault="00DF432B" w:rsidP="00715ADE">
      <w:pPr>
        <w:pBdr>
          <w:top w:val="nil"/>
          <w:left w:val="nil"/>
          <w:bottom w:val="nil"/>
          <w:right w:val="nil"/>
          <w:between w:val="nil"/>
          <w:bar w:val="nil"/>
        </w:pBdr>
        <w:spacing w:before="0" w:after="240"/>
        <w:rPr>
          <w:rFonts w:eastAsia="Arial Unicode MS"/>
          <w:noProof/>
          <w:color w:val="000000" w:themeColor="text1"/>
        </w:rPr>
      </w:pPr>
      <w:r w:rsidRPr="002B1990">
        <w:rPr>
          <w:rFonts w:eastAsia="Arial Unicode MS"/>
          <w:noProof/>
          <w:color w:val="000000" w:themeColor="text1"/>
        </w:rPr>
        <w:t xml:space="preserve">This </w:t>
      </w:r>
      <w:r w:rsidR="00AF2230">
        <w:rPr>
          <w:rFonts w:eastAsia="Arial Unicode MS"/>
          <w:noProof/>
          <w:color w:val="000000" w:themeColor="text1"/>
        </w:rPr>
        <w:t>proposal</w:t>
      </w:r>
      <w:r w:rsidRPr="002B1990">
        <w:rPr>
          <w:rFonts w:eastAsia="Arial Unicode MS"/>
          <w:noProof/>
          <w:color w:val="000000" w:themeColor="text1"/>
        </w:rPr>
        <w:t xml:space="preserve"> </w:t>
      </w:r>
      <w:r w:rsidR="000F03C5">
        <w:rPr>
          <w:rFonts w:eastAsia="Arial Unicode MS"/>
          <w:noProof/>
          <w:color w:val="000000" w:themeColor="text1"/>
        </w:rPr>
        <w:t>would have</w:t>
      </w:r>
      <w:r w:rsidRPr="002B1990">
        <w:rPr>
          <w:rFonts w:eastAsia="Arial Unicode MS"/>
          <w:noProof/>
          <w:color w:val="000000" w:themeColor="text1"/>
        </w:rPr>
        <w:t xml:space="preserve"> an impact on </w:t>
      </w:r>
      <w:r w:rsidR="00AF2230">
        <w:rPr>
          <w:rFonts w:eastAsia="Arial Unicode MS"/>
          <w:noProof/>
          <w:color w:val="000000" w:themeColor="text1"/>
        </w:rPr>
        <w:t>Eurojust’s</w:t>
      </w:r>
      <w:r w:rsidRPr="002B1990">
        <w:rPr>
          <w:rFonts w:eastAsia="Arial Unicode MS"/>
          <w:noProof/>
          <w:color w:val="000000" w:themeColor="text1"/>
        </w:rPr>
        <w:t xml:space="preserve"> b</w:t>
      </w:r>
      <w:r w:rsidR="000F03C5">
        <w:rPr>
          <w:rFonts w:eastAsia="Arial Unicode MS"/>
          <w:noProof/>
          <w:color w:val="000000" w:themeColor="text1"/>
        </w:rPr>
        <w:t xml:space="preserve">udget and </w:t>
      </w:r>
      <w:r w:rsidR="00AF2230">
        <w:rPr>
          <w:rFonts w:eastAsia="Arial Unicode MS"/>
          <w:noProof/>
          <w:color w:val="000000" w:themeColor="text1"/>
        </w:rPr>
        <w:t xml:space="preserve">its </w:t>
      </w:r>
      <w:r w:rsidR="000F03C5">
        <w:rPr>
          <w:rFonts w:eastAsia="Arial Unicode MS"/>
          <w:noProof/>
          <w:color w:val="000000" w:themeColor="text1"/>
        </w:rPr>
        <w:t>staff needs</w:t>
      </w:r>
      <w:r w:rsidRPr="002B1990">
        <w:rPr>
          <w:rFonts w:eastAsia="Arial Unicode MS"/>
          <w:noProof/>
          <w:color w:val="000000" w:themeColor="text1"/>
        </w:rPr>
        <w:t xml:space="preserve">. It is estimated that </w:t>
      </w:r>
      <w:r w:rsidR="00AF2230">
        <w:rPr>
          <w:rFonts w:eastAsia="Arial Unicode MS"/>
          <w:noProof/>
          <w:color w:val="000000" w:themeColor="text1"/>
        </w:rPr>
        <w:t xml:space="preserve">a </w:t>
      </w:r>
      <w:r w:rsidR="00AF2230" w:rsidRPr="00CF260E">
        <w:rPr>
          <w:rFonts w:eastAsia="Arial Unicode MS"/>
          <w:noProof/>
          <w:color w:val="000000" w:themeColor="text1"/>
        </w:rPr>
        <w:t>further</w:t>
      </w:r>
      <w:r w:rsidRPr="00CF260E">
        <w:rPr>
          <w:rFonts w:eastAsia="Arial Unicode MS"/>
          <w:noProof/>
          <w:color w:val="000000" w:themeColor="text1"/>
        </w:rPr>
        <w:t xml:space="preserve"> EUR </w:t>
      </w:r>
      <w:r w:rsidR="00604E05" w:rsidRPr="00CF260E">
        <w:rPr>
          <w:rFonts w:eastAsia="Arial Unicode MS"/>
          <w:noProof/>
          <w:color w:val="000000" w:themeColor="text1"/>
        </w:rPr>
        <w:t>33</w:t>
      </w:r>
      <w:r w:rsidR="00805B56" w:rsidRPr="00CF260E">
        <w:rPr>
          <w:rFonts w:eastAsia="Arial Unicode MS"/>
          <w:noProof/>
          <w:color w:val="000000" w:themeColor="text1"/>
        </w:rPr>
        <w:t xml:space="preserve"> </w:t>
      </w:r>
      <w:r w:rsidRPr="00CF260E">
        <w:rPr>
          <w:rFonts w:eastAsia="Arial Unicode MS"/>
          <w:noProof/>
          <w:color w:val="000000" w:themeColor="text1"/>
        </w:rPr>
        <w:t xml:space="preserve">million </w:t>
      </w:r>
      <w:r w:rsidR="00F53CC5" w:rsidRPr="00CF260E">
        <w:rPr>
          <w:rFonts w:eastAsia="Arial Unicode MS"/>
          <w:noProof/>
          <w:color w:val="000000" w:themeColor="text1"/>
        </w:rPr>
        <w:t xml:space="preserve">would be </w:t>
      </w:r>
      <w:r w:rsidR="00AF2230" w:rsidRPr="00CF260E">
        <w:rPr>
          <w:rFonts w:eastAsia="Arial Unicode MS"/>
          <w:noProof/>
          <w:color w:val="000000" w:themeColor="text1"/>
        </w:rPr>
        <w:t xml:space="preserve">needed </w:t>
      </w:r>
      <w:r w:rsidR="00F53CC5" w:rsidRPr="00CF260E">
        <w:rPr>
          <w:rFonts w:eastAsia="Arial Unicode MS"/>
          <w:noProof/>
          <w:color w:val="000000" w:themeColor="text1"/>
        </w:rPr>
        <w:t xml:space="preserve">under the legislative financial statement accompanying the proposal. </w:t>
      </w:r>
    </w:p>
    <w:p w14:paraId="217C5D59" w14:textId="6C0CF06C" w:rsidR="003D3BE3" w:rsidRDefault="000F03C5" w:rsidP="00715ADE">
      <w:pPr>
        <w:pBdr>
          <w:top w:val="nil"/>
          <w:left w:val="nil"/>
          <w:bottom w:val="nil"/>
          <w:right w:val="nil"/>
          <w:between w:val="nil"/>
          <w:bar w:val="nil"/>
        </w:pBdr>
        <w:spacing w:before="0" w:after="240"/>
        <w:rPr>
          <w:rFonts w:eastAsia="Arial Unicode MS"/>
          <w:noProof/>
          <w:color w:val="000000" w:themeColor="text1"/>
        </w:rPr>
      </w:pPr>
      <w:r w:rsidRPr="00CF260E">
        <w:rPr>
          <w:rFonts w:eastAsia="Arial Unicode MS"/>
          <w:noProof/>
          <w:color w:val="000000" w:themeColor="text1"/>
        </w:rPr>
        <w:t>Based on the analysis of the Digital Criminal Justice study,</w:t>
      </w:r>
      <w:r w:rsidR="003D3BE3" w:rsidRPr="00CF260E">
        <w:rPr>
          <w:rStyle w:val="FootnoteReference"/>
          <w:rFonts w:eastAsia="Arial Unicode MS"/>
          <w:noProof/>
          <w:color w:val="000000" w:themeColor="text1"/>
        </w:rPr>
        <w:footnoteReference w:id="29"/>
      </w:r>
      <w:r w:rsidR="003D3BE3" w:rsidRPr="00CF260E">
        <w:rPr>
          <w:rFonts w:eastAsia="Arial Unicode MS"/>
          <w:noProof/>
          <w:color w:val="000000" w:themeColor="text1"/>
        </w:rPr>
        <w:t xml:space="preserve"> the costs for a new redesigned CMS are estimated at </w:t>
      </w:r>
      <w:r w:rsidR="00AF2230" w:rsidRPr="00CF260E">
        <w:rPr>
          <w:rFonts w:eastAsia="Arial Unicode MS"/>
          <w:noProof/>
          <w:color w:val="000000" w:themeColor="text1"/>
        </w:rPr>
        <w:t xml:space="preserve">EUR </w:t>
      </w:r>
      <w:r w:rsidR="006D3B69" w:rsidRPr="00CF260E">
        <w:rPr>
          <w:rFonts w:eastAsia="Arial Unicode MS"/>
          <w:noProof/>
          <w:color w:val="000000" w:themeColor="text1"/>
        </w:rPr>
        <w:t xml:space="preserve">31 </w:t>
      </w:r>
      <w:r w:rsidR="003D3BE3" w:rsidRPr="00CF260E">
        <w:rPr>
          <w:rFonts w:eastAsia="Arial Unicode MS"/>
          <w:noProof/>
          <w:color w:val="000000" w:themeColor="text1"/>
        </w:rPr>
        <w:t>million including build</w:t>
      </w:r>
      <w:r w:rsidR="00AF2230" w:rsidRPr="00CF260E">
        <w:rPr>
          <w:rFonts w:eastAsia="Arial Unicode MS"/>
          <w:noProof/>
          <w:color w:val="000000" w:themeColor="text1"/>
        </w:rPr>
        <w:t>,</w:t>
      </w:r>
      <w:r w:rsidR="003D3BE3" w:rsidRPr="00CF260E">
        <w:rPr>
          <w:rFonts w:eastAsia="Arial Unicode MS"/>
          <w:noProof/>
          <w:color w:val="000000" w:themeColor="text1"/>
        </w:rPr>
        <w:t xml:space="preserve"> operations and mai</w:t>
      </w:r>
      <w:r w:rsidR="00E56C74" w:rsidRPr="00CF260E">
        <w:rPr>
          <w:rFonts w:eastAsia="Arial Unicode MS"/>
          <w:noProof/>
          <w:color w:val="000000" w:themeColor="text1"/>
        </w:rPr>
        <w:t xml:space="preserve">ntenance costs for </w:t>
      </w:r>
      <w:r w:rsidR="006D3B69" w:rsidRPr="00CF260E">
        <w:rPr>
          <w:rFonts w:eastAsia="Arial Unicode MS"/>
          <w:noProof/>
          <w:color w:val="000000" w:themeColor="text1"/>
        </w:rPr>
        <w:t>two</w:t>
      </w:r>
      <w:r w:rsidR="00A3340E" w:rsidRPr="00CF260E">
        <w:rPr>
          <w:rFonts w:eastAsia="Arial Unicode MS"/>
          <w:noProof/>
          <w:color w:val="000000" w:themeColor="text1"/>
        </w:rPr>
        <w:t xml:space="preserve"> </w:t>
      </w:r>
      <w:r w:rsidR="00E56C74" w:rsidRPr="00CF260E">
        <w:rPr>
          <w:rFonts w:eastAsia="Arial Unicode MS"/>
          <w:noProof/>
          <w:color w:val="000000" w:themeColor="text1"/>
        </w:rPr>
        <w:t>years.</w:t>
      </w:r>
      <w:r w:rsidR="006D3B69" w:rsidRPr="00CF260E">
        <w:rPr>
          <w:rStyle w:val="FootnoteReference"/>
          <w:rFonts w:eastAsia="Arial Unicode MS"/>
          <w:noProof/>
          <w:color w:val="000000" w:themeColor="text1"/>
        </w:rPr>
        <w:footnoteReference w:id="30"/>
      </w:r>
      <w:r w:rsidR="00805B56" w:rsidRPr="00CF260E">
        <w:rPr>
          <w:rFonts w:eastAsia="Arial Unicode MS"/>
          <w:noProof/>
          <w:color w:val="000000" w:themeColor="text1"/>
        </w:rPr>
        <w:t xml:space="preserve">. </w:t>
      </w:r>
      <w:r w:rsidR="003D3BE3" w:rsidRPr="00CF260E">
        <w:rPr>
          <w:rFonts w:eastAsia="Arial Unicode MS"/>
          <w:noProof/>
          <w:color w:val="000000" w:themeColor="text1"/>
        </w:rPr>
        <w:t xml:space="preserve">Eurojust has already received </w:t>
      </w:r>
      <w:r w:rsidR="00AF2230" w:rsidRPr="00CF260E">
        <w:rPr>
          <w:rFonts w:eastAsia="Arial Unicode MS"/>
          <w:noProof/>
          <w:color w:val="000000" w:themeColor="text1"/>
        </w:rPr>
        <w:t xml:space="preserve">EUR </w:t>
      </w:r>
      <w:r w:rsidR="00604E05" w:rsidRPr="00CF260E">
        <w:rPr>
          <w:rFonts w:eastAsia="Arial Unicode MS"/>
          <w:noProof/>
          <w:color w:val="000000" w:themeColor="text1"/>
        </w:rPr>
        <w:t>9,5</w:t>
      </w:r>
      <w:r w:rsidR="003D3BE3" w:rsidRPr="00CF260E">
        <w:rPr>
          <w:rFonts w:eastAsia="Arial Unicode MS"/>
          <w:noProof/>
          <w:color w:val="000000" w:themeColor="text1"/>
        </w:rPr>
        <w:t xml:space="preserve"> million</w:t>
      </w:r>
      <w:r w:rsidR="00A3340E" w:rsidRPr="00CF260E">
        <w:rPr>
          <w:rFonts w:eastAsia="Arial Unicode MS"/>
          <w:noProof/>
          <w:color w:val="000000" w:themeColor="text1"/>
        </w:rPr>
        <w:t xml:space="preserve"> </w:t>
      </w:r>
      <w:r w:rsidR="003D3BE3" w:rsidRPr="00CF260E">
        <w:rPr>
          <w:rFonts w:eastAsia="Arial Unicode MS"/>
          <w:noProof/>
          <w:color w:val="000000" w:themeColor="text1"/>
        </w:rPr>
        <w:t>through</w:t>
      </w:r>
      <w:r w:rsidR="00A3340E" w:rsidRPr="00CF260E">
        <w:rPr>
          <w:rFonts w:eastAsia="Arial Unicode MS"/>
          <w:noProof/>
          <w:color w:val="000000" w:themeColor="text1"/>
        </w:rPr>
        <w:t xml:space="preserve"> budget</w:t>
      </w:r>
      <w:r w:rsidR="003D3BE3" w:rsidRPr="00CF260E">
        <w:rPr>
          <w:rFonts w:eastAsia="Arial Unicode MS"/>
          <w:noProof/>
          <w:color w:val="000000" w:themeColor="text1"/>
        </w:rPr>
        <w:t xml:space="preserve"> transfer from </w:t>
      </w:r>
      <w:r w:rsidR="00A3340E" w:rsidRPr="00CF260E">
        <w:rPr>
          <w:rFonts w:eastAsia="Arial Unicode MS"/>
          <w:noProof/>
          <w:color w:val="000000" w:themeColor="text1"/>
        </w:rPr>
        <w:t>the European Public Prosecutors Office (EPPO)</w:t>
      </w:r>
      <w:r w:rsidR="00E56C74" w:rsidRPr="00CF260E">
        <w:rPr>
          <w:rFonts w:eastAsia="Arial Unicode MS"/>
          <w:noProof/>
          <w:color w:val="000000" w:themeColor="text1"/>
        </w:rPr>
        <w:t xml:space="preserve"> in October 2021</w:t>
      </w:r>
      <w:r w:rsidR="003D3BE3" w:rsidRPr="00CF260E">
        <w:rPr>
          <w:rFonts w:eastAsia="Arial Unicode MS"/>
          <w:noProof/>
          <w:color w:val="000000" w:themeColor="text1"/>
        </w:rPr>
        <w:t xml:space="preserve">, which is why the </w:t>
      </w:r>
      <w:r w:rsidR="00AF2230" w:rsidRPr="00CF260E">
        <w:rPr>
          <w:rFonts w:eastAsia="Arial Unicode MS"/>
          <w:noProof/>
          <w:color w:val="000000" w:themeColor="text1"/>
        </w:rPr>
        <w:t xml:space="preserve">outstanding </w:t>
      </w:r>
      <w:r w:rsidR="003D3BE3" w:rsidRPr="00CF260E">
        <w:rPr>
          <w:rFonts w:eastAsia="Arial Unicode MS"/>
          <w:noProof/>
          <w:color w:val="000000" w:themeColor="text1"/>
        </w:rPr>
        <w:t xml:space="preserve">costs for the CMS are estimated </w:t>
      </w:r>
      <w:r w:rsidR="00AF2230" w:rsidRPr="00CF260E">
        <w:rPr>
          <w:rFonts w:eastAsia="Arial Unicode MS"/>
          <w:noProof/>
          <w:color w:val="000000" w:themeColor="text1"/>
        </w:rPr>
        <w:t xml:space="preserve">at EUR </w:t>
      </w:r>
      <w:r w:rsidR="006D3B69" w:rsidRPr="00CF260E">
        <w:rPr>
          <w:rFonts w:eastAsia="Arial Unicode MS"/>
          <w:noProof/>
          <w:color w:val="000000" w:themeColor="text1"/>
        </w:rPr>
        <w:t>2</w:t>
      </w:r>
      <w:r w:rsidR="00604E05" w:rsidRPr="00CF260E">
        <w:rPr>
          <w:rFonts w:eastAsia="Arial Unicode MS"/>
          <w:noProof/>
          <w:color w:val="000000" w:themeColor="text1"/>
        </w:rPr>
        <w:t>1,5</w:t>
      </w:r>
      <w:r w:rsidR="006D3B69" w:rsidRPr="00CF260E">
        <w:rPr>
          <w:rFonts w:eastAsia="Arial Unicode MS"/>
          <w:noProof/>
          <w:color w:val="000000" w:themeColor="text1"/>
        </w:rPr>
        <w:t xml:space="preserve"> </w:t>
      </w:r>
      <w:r w:rsidR="003D3BE3" w:rsidRPr="00CF260E">
        <w:rPr>
          <w:rFonts w:eastAsia="Arial Unicode MS"/>
          <w:noProof/>
          <w:color w:val="000000" w:themeColor="text1"/>
        </w:rPr>
        <w:t xml:space="preserve">million. In addition, </w:t>
      </w:r>
      <w:r w:rsidR="00AF2230" w:rsidRPr="00CF260E">
        <w:rPr>
          <w:rFonts w:eastAsia="Arial Unicode MS"/>
          <w:noProof/>
          <w:color w:val="000000" w:themeColor="text1"/>
        </w:rPr>
        <w:t xml:space="preserve">around EUR </w:t>
      </w:r>
      <w:r w:rsidR="006D3B69" w:rsidRPr="00CF260E">
        <w:rPr>
          <w:rFonts w:eastAsia="Arial Unicode MS"/>
          <w:noProof/>
          <w:color w:val="000000" w:themeColor="text1"/>
        </w:rPr>
        <w:t>11</w:t>
      </w:r>
      <w:r w:rsidR="00900A33">
        <w:rPr>
          <w:rFonts w:eastAsia="Arial Unicode MS"/>
          <w:noProof/>
          <w:color w:val="000000" w:themeColor="text1"/>
        </w:rPr>
        <w:t>,5</w:t>
      </w:r>
      <w:r w:rsidR="00CF260E" w:rsidRPr="00CF260E">
        <w:rPr>
          <w:rFonts w:eastAsia="Arial Unicode MS"/>
          <w:noProof/>
          <w:color w:val="000000" w:themeColor="text1"/>
        </w:rPr>
        <w:t xml:space="preserve"> </w:t>
      </w:r>
      <w:r w:rsidR="003D3BE3" w:rsidRPr="00CF260E">
        <w:rPr>
          <w:rFonts w:eastAsia="Arial Unicode MS"/>
          <w:noProof/>
          <w:color w:val="000000" w:themeColor="text1"/>
        </w:rPr>
        <w:t xml:space="preserve">million will be </w:t>
      </w:r>
      <w:r w:rsidR="00AF2230" w:rsidRPr="00CF260E">
        <w:rPr>
          <w:rFonts w:eastAsia="Arial Unicode MS"/>
          <w:noProof/>
          <w:color w:val="000000" w:themeColor="text1"/>
        </w:rPr>
        <w:t xml:space="preserve">needed </w:t>
      </w:r>
      <w:r w:rsidR="003D3BE3" w:rsidRPr="00CF260E">
        <w:rPr>
          <w:rFonts w:eastAsia="Arial Unicode MS"/>
          <w:noProof/>
          <w:color w:val="000000" w:themeColor="text1"/>
        </w:rPr>
        <w:t xml:space="preserve">to cover </w:t>
      </w:r>
      <w:r w:rsidR="00F53CC5" w:rsidRPr="00CF260E">
        <w:rPr>
          <w:rFonts w:eastAsia="Arial Unicode MS"/>
          <w:noProof/>
          <w:color w:val="000000" w:themeColor="text1"/>
        </w:rPr>
        <w:t>additional staff</w:t>
      </w:r>
      <w:r w:rsidR="00AF2230" w:rsidRPr="00CF260E">
        <w:rPr>
          <w:rFonts w:eastAsia="Arial Unicode MS"/>
          <w:noProof/>
          <w:color w:val="000000" w:themeColor="text1"/>
        </w:rPr>
        <w:t>ing</w:t>
      </w:r>
      <w:r w:rsidR="00F53CC5" w:rsidRPr="00CF260E">
        <w:rPr>
          <w:rFonts w:eastAsia="Arial Unicode MS"/>
          <w:noProof/>
          <w:color w:val="000000" w:themeColor="text1"/>
        </w:rPr>
        <w:t xml:space="preserve"> needs </w:t>
      </w:r>
      <w:r w:rsidR="00A3340E" w:rsidRPr="00CF260E">
        <w:rPr>
          <w:rFonts w:eastAsia="Arial Unicode MS"/>
          <w:noProof/>
          <w:color w:val="000000" w:themeColor="text1"/>
        </w:rPr>
        <w:t>for</w:t>
      </w:r>
      <w:r w:rsidR="00F53CC5" w:rsidRPr="00CF260E">
        <w:rPr>
          <w:rFonts w:eastAsia="Arial Unicode MS"/>
          <w:noProof/>
          <w:color w:val="000000" w:themeColor="text1"/>
        </w:rPr>
        <w:t xml:space="preserve"> the </w:t>
      </w:r>
      <w:r w:rsidR="003D3BE3" w:rsidRPr="00CF260E">
        <w:rPr>
          <w:rFonts w:eastAsia="Arial Unicode MS"/>
          <w:noProof/>
          <w:color w:val="000000" w:themeColor="text1"/>
        </w:rPr>
        <w:t xml:space="preserve">building and operation </w:t>
      </w:r>
      <w:r w:rsidR="00F53CC5" w:rsidRPr="00CF260E">
        <w:rPr>
          <w:rFonts w:eastAsia="Arial Unicode MS"/>
          <w:noProof/>
          <w:color w:val="000000" w:themeColor="text1"/>
        </w:rPr>
        <w:t xml:space="preserve">period of </w:t>
      </w:r>
      <w:r w:rsidR="006D3B69" w:rsidRPr="00CF260E">
        <w:rPr>
          <w:rFonts w:eastAsia="Arial Unicode MS"/>
          <w:noProof/>
          <w:color w:val="000000" w:themeColor="text1"/>
        </w:rPr>
        <w:t xml:space="preserve">four </w:t>
      </w:r>
      <w:r w:rsidR="00F53CC5" w:rsidRPr="00CF260E">
        <w:rPr>
          <w:rFonts w:eastAsia="Arial Unicode MS"/>
          <w:noProof/>
          <w:color w:val="000000" w:themeColor="text1"/>
        </w:rPr>
        <w:t xml:space="preserve">years. These </w:t>
      </w:r>
      <w:r w:rsidR="00DF432B" w:rsidRPr="00CF260E">
        <w:rPr>
          <w:rFonts w:eastAsia="Arial Unicode MS"/>
          <w:noProof/>
          <w:color w:val="000000" w:themeColor="text1"/>
        </w:rPr>
        <w:t>2</w:t>
      </w:r>
      <w:r w:rsidR="008101E0" w:rsidRPr="00CF260E">
        <w:rPr>
          <w:rFonts w:eastAsia="Arial Unicode MS"/>
          <w:noProof/>
          <w:color w:val="000000" w:themeColor="text1"/>
        </w:rPr>
        <w:t>5</w:t>
      </w:r>
      <w:r w:rsidR="00DF432B" w:rsidRPr="00CF260E">
        <w:rPr>
          <w:rFonts w:eastAsia="Arial Unicode MS"/>
          <w:noProof/>
          <w:color w:val="000000" w:themeColor="text1"/>
        </w:rPr>
        <w:t xml:space="preserve"> additional posts would be </w:t>
      </w:r>
      <w:r w:rsidR="003D3BE3" w:rsidRPr="00CF260E">
        <w:rPr>
          <w:rFonts w:eastAsia="Arial Unicode MS"/>
          <w:noProof/>
          <w:color w:val="000000" w:themeColor="text1"/>
        </w:rPr>
        <w:t xml:space="preserve">permanent </w:t>
      </w:r>
      <w:r w:rsidR="00AF2230" w:rsidRPr="00CF260E">
        <w:rPr>
          <w:rFonts w:eastAsia="Arial Unicode MS"/>
          <w:noProof/>
          <w:color w:val="000000" w:themeColor="text1"/>
        </w:rPr>
        <w:t>posts</w:t>
      </w:r>
      <w:r w:rsidR="00DF432B" w:rsidRPr="00CF260E">
        <w:rPr>
          <w:rFonts w:eastAsia="Arial Unicode MS"/>
          <w:noProof/>
          <w:color w:val="000000" w:themeColor="text1"/>
        </w:rPr>
        <w:t xml:space="preserve"> to ensure that Eurojust has the resources to implement its tasks.</w:t>
      </w:r>
      <w:r w:rsidR="00DF432B" w:rsidRPr="002B1990">
        <w:rPr>
          <w:rFonts w:eastAsia="Arial Unicode MS"/>
          <w:noProof/>
          <w:color w:val="000000" w:themeColor="text1"/>
        </w:rPr>
        <w:t xml:space="preserve"> </w:t>
      </w:r>
    </w:p>
    <w:p w14:paraId="3B15E16B" w14:textId="5D63789C" w:rsidR="00EB0A3C" w:rsidRPr="002B1990" w:rsidRDefault="00DF432B" w:rsidP="00715ADE">
      <w:pPr>
        <w:pBdr>
          <w:top w:val="nil"/>
          <w:left w:val="nil"/>
          <w:bottom w:val="nil"/>
          <w:right w:val="nil"/>
          <w:between w:val="nil"/>
          <w:bar w:val="nil"/>
        </w:pBdr>
        <w:spacing w:before="0" w:after="240"/>
        <w:rPr>
          <w:rFonts w:eastAsia="Arial Unicode MS"/>
          <w:noProof/>
          <w:color w:val="000000" w:themeColor="text1"/>
        </w:rPr>
      </w:pPr>
      <w:r w:rsidRPr="007074A5">
        <w:rPr>
          <w:rFonts w:eastAsia="Arial Unicode MS"/>
          <w:noProof/>
          <w:color w:val="000000" w:themeColor="text1"/>
        </w:rPr>
        <w:t xml:space="preserve">The </w:t>
      </w:r>
      <w:r w:rsidR="003D3BE3" w:rsidRPr="007074A5">
        <w:rPr>
          <w:rFonts w:eastAsia="Arial Unicode MS"/>
          <w:noProof/>
          <w:color w:val="000000" w:themeColor="text1"/>
        </w:rPr>
        <w:t xml:space="preserve">reinforced </w:t>
      </w:r>
      <w:r w:rsidRPr="007074A5">
        <w:rPr>
          <w:rFonts w:eastAsia="Arial Unicode MS"/>
          <w:noProof/>
          <w:color w:val="000000" w:themeColor="text1"/>
        </w:rPr>
        <w:t xml:space="preserve">tasks for Eurojust </w:t>
      </w:r>
      <w:r w:rsidR="00F84D35" w:rsidRPr="007074A5">
        <w:rPr>
          <w:rFonts w:eastAsia="Arial Unicode MS"/>
          <w:noProof/>
          <w:color w:val="000000" w:themeColor="text1"/>
        </w:rPr>
        <w:t>under this proposal</w:t>
      </w:r>
      <w:r w:rsidRPr="007074A5">
        <w:rPr>
          <w:rFonts w:eastAsia="Arial Unicode MS"/>
          <w:noProof/>
          <w:color w:val="000000" w:themeColor="text1"/>
        </w:rPr>
        <w:t xml:space="preserve"> would therefore require </w:t>
      </w:r>
      <w:r w:rsidR="00F84D35" w:rsidRPr="007074A5">
        <w:rPr>
          <w:rFonts w:eastAsia="Arial Unicode MS"/>
          <w:noProof/>
          <w:color w:val="000000" w:themeColor="text1"/>
        </w:rPr>
        <w:t xml:space="preserve">more </w:t>
      </w:r>
      <w:r w:rsidRPr="007074A5">
        <w:rPr>
          <w:rFonts w:eastAsia="Arial Unicode MS"/>
          <w:noProof/>
          <w:color w:val="000000" w:themeColor="text1"/>
        </w:rPr>
        <w:t xml:space="preserve">financial and human </w:t>
      </w:r>
      <w:r w:rsidR="00F84D35" w:rsidRPr="007074A5">
        <w:rPr>
          <w:rFonts w:eastAsia="Arial Unicode MS"/>
          <w:noProof/>
          <w:color w:val="000000" w:themeColor="text1"/>
        </w:rPr>
        <w:t xml:space="preserve">resources than </w:t>
      </w:r>
      <w:r w:rsidRPr="007074A5">
        <w:rPr>
          <w:rFonts w:eastAsia="Arial Unicode MS"/>
          <w:noProof/>
          <w:color w:val="000000" w:themeColor="text1"/>
        </w:rPr>
        <w:t>compared to the resources earmarked in the 2021-2027</w:t>
      </w:r>
      <w:r w:rsidR="00F84D35" w:rsidRPr="007074A5">
        <w:rPr>
          <w:rFonts w:eastAsia="Arial Unicode MS"/>
          <w:noProof/>
          <w:color w:val="000000" w:themeColor="text1"/>
        </w:rPr>
        <w:t xml:space="preserve"> EU budget (</w:t>
      </w:r>
      <w:r w:rsidR="00D504F7" w:rsidRPr="007074A5">
        <w:rPr>
          <w:rFonts w:eastAsia="Arial Unicode MS"/>
          <w:noProof/>
          <w:color w:val="000000" w:themeColor="text1"/>
        </w:rPr>
        <w:t>MFF</w:t>
      </w:r>
      <w:r w:rsidR="00A3340E" w:rsidRPr="007074A5">
        <w:rPr>
          <w:rFonts w:eastAsia="Arial Unicode MS"/>
          <w:noProof/>
          <w:color w:val="000000" w:themeColor="text1"/>
        </w:rPr>
        <w:t>).</w:t>
      </w:r>
    </w:p>
    <w:p w14:paraId="5175A7A7" w14:textId="77777777" w:rsidR="00EB0A3C" w:rsidRPr="002B1990" w:rsidRDefault="00EB0A3C" w:rsidP="00715ADE">
      <w:pPr>
        <w:pStyle w:val="ManualHeading1"/>
        <w:rPr>
          <w:noProof/>
          <w:color w:val="000000" w:themeColor="text1"/>
        </w:rPr>
      </w:pPr>
      <w:bookmarkStart w:id="28" w:name="_Toc84517397"/>
      <w:bookmarkStart w:id="29" w:name="_Toc84517569"/>
      <w:r w:rsidRPr="002B1990">
        <w:rPr>
          <w:noProof/>
          <w:color w:val="000000" w:themeColor="text1"/>
        </w:rPr>
        <w:t>5.</w:t>
      </w:r>
      <w:r w:rsidRPr="002B1990">
        <w:rPr>
          <w:noProof/>
          <w:color w:val="000000" w:themeColor="text1"/>
        </w:rPr>
        <w:tab/>
        <w:t>OTHER ELEMENTS</w:t>
      </w:r>
      <w:bookmarkEnd w:id="28"/>
      <w:bookmarkEnd w:id="29"/>
    </w:p>
    <w:p w14:paraId="29AD8D15" w14:textId="77777777" w:rsidR="00EB0A3C" w:rsidRPr="002B1990" w:rsidRDefault="00EB0A3C" w:rsidP="00715ADE">
      <w:pPr>
        <w:pStyle w:val="ManualHeading2"/>
        <w:rPr>
          <w:rFonts w:eastAsia="Arial Unicode MS"/>
          <w:noProof/>
          <w:color w:val="000000" w:themeColor="text1"/>
          <w:bdr w:val="nil"/>
          <w:lang w:val="en-US" w:eastAsia="en-GB"/>
        </w:rPr>
      </w:pPr>
      <w:bookmarkStart w:id="30" w:name="_Toc84517398"/>
      <w:bookmarkStart w:id="31" w:name="_Toc84517570"/>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Implementation plans and monitoring, evaluation and reporting arrangements</w:t>
      </w:r>
      <w:bookmarkEnd w:id="30"/>
      <w:bookmarkEnd w:id="31"/>
    </w:p>
    <w:p w14:paraId="020A2930" w14:textId="5711842C" w:rsidR="000835D7" w:rsidRPr="006D0ACA" w:rsidRDefault="000835D7" w:rsidP="00715ADE">
      <w:pPr>
        <w:pBdr>
          <w:top w:val="nil"/>
          <w:left w:val="nil"/>
          <w:bottom w:val="nil"/>
          <w:right w:val="nil"/>
          <w:between w:val="nil"/>
          <w:bar w:val="nil"/>
        </w:pBdr>
        <w:spacing w:before="0" w:after="240"/>
        <w:rPr>
          <w:noProof/>
        </w:rPr>
      </w:pPr>
      <w:r w:rsidRPr="006D0ACA">
        <w:rPr>
          <w:noProof/>
        </w:rPr>
        <w:t xml:space="preserve">The timeline </w:t>
      </w:r>
      <w:r w:rsidR="004E7BC1">
        <w:rPr>
          <w:noProof/>
        </w:rPr>
        <w:t xml:space="preserve">to implement </w:t>
      </w:r>
      <w:r w:rsidR="001B1106" w:rsidRPr="006D0ACA">
        <w:rPr>
          <w:noProof/>
        </w:rPr>
        <w:t xml:space="preserve">a new Eurojust </w:t>
      </w:r>
      <w:r w:rsidR="00F53CC5" w:rsidRPr="006D0ACA">
        <w:rPr>
          <w:noProof/>
        </w:rPr>
        <w:t>CMS</w:t>
      </w:r>
      <w:r w:rsidR="001B1106" w:rsidRPr="006D0ACA">
        <w:rPr>
          <w:noProof/>
        </w:rPr>
        <w:t xml:space="preserve">, secure communication channels </w:t>
      </w:r>
      <w:r w:rsidR="004E7BC1">
        <w:rPr>
          <w:noProof/>
        </w:rPr>
        <w:t>and</w:t>
      </w:r>
      <w:r w:rsidR="001B1106" w:rsidRPr="006D0ACA">
        <w:rPr>
          <w:noProof/>
        </w:rPr>
        <w:t xml:space="preserve"> a communication tool </w:t>
      </w:r>
      <w:r w:rsidR="004E7BC1">
        <w:rPr>
          <w:noProof/>
        </w:rPr>
        <w:t>to</w:t>
      </w:r>
      <w:r w:rsidR="001B1106" w:rsidRPr="006D0ACA">
        <w:rPr>
          <w:noProof/>
        </w:rPr>
        <w:t xml:space="preserve"> exchange data</w:t>
      </w:r>
      <w:r w:rsidRPr="7CC317AF">
        <w:rPr>
          <w:noProof/>
        </w:rPr>
        <w:t xml:space="preserve"> </w:t>
      </w:r>
      <w:r w:rsidR="004E7BC1">
        <w:rPr>
          <w:noProof/>
        </w:rPr>
        <w:t>in a structured manner are</w:t>
      </w:r>
      <w:r w:rsidRPr="006D0ACA">
        <w:rPr>
          <w:noProof/>
        </w:rPr>
        <w:t xml:space="preserve"> based on the </w:t>
      </w:r>
      <w:r w:rsidR="00013007" w:rsidRPr="006D0ACA">
        <w:rPr>
          <w:noProof/>
        </w:rPr>
        <w:t xml:space="preserve">analysis in the </w:t>
      </w:r>
      <w:r w:rsidRPr="006D0ACA">
        <w:rPr>
          <w:noProof/>
        </w:rPr>
        <w:t>Digital Criminal Justice study</w:t>
      </w:r>
      <w:r w:rsidR="00F743B9" w:rsidRPr="00101907">
        <w:rPr>
          <w:rStyle w:val="FootnoteReference"/>
          <w:rFonts w:eastAsia="Arial Unicode MS"/>
          <w:noProof/>
        </w:rPr>
        <w:footnoteReference w:id="31"/>
      </w:r>
      <w:r w:rsidRPr="7CC317AF">
        <w:rPr>
          <w:noProof/>
        </w:rPr>
        <w:t xml:space="preserve">. </w:t>
      </w:r>
      <w:r w:rsidR="00AA7ACB">
        <w:rPr>
          <w:noProof/>
        </w:rPr>
        <w:t>For the CTR, a</w:t>
      </w:r>
      <w:r w:rsidR="001B1106" w:rsidRPr="006D0ACA">
        <w:rPr>
          <w:noProof/>
        </w:rPr>
        <w:t xml:space="preserve">fter a preparatory phase of six months, </w:t>
      </w:r>
      <w:r w:rsidR="004E7BC1">
        <w:rPr>
          <w:noProof/>
        </w:rPr>
        <w:t xml:space="preserve">the </w:t>
      </w:r>
      <w:r w:rsidR="001B1106" w:rsidRPr="006D0ACA">
        <w:rPr>
          <w:noProof/>
        </w:rPr>
        <w:t xml:space="preserve">procurement and implementation </w:t>
      </w:r>
      <w:r w:rsidR="004E7BC1">
        <w:rPr>
          <w:noProof/>
        </w:rPr>
        <w:t xml:space="preserve">phase </w:t>
      </w:r>
      <w:r w:rsidR="001B1106" w:rsidRPr="006D0ACA">
        <w:rPr>
          <w:noProof/>
        </w:rPr>
        <w:t xml:space="preserve">would </w:t>
      </w:r>
      <w:r w:rsidR="00F743B9" w:rsidRPr="006D0ACA">
        <w:rPr>
          <w:noProof/>
        </w:rPr>
        <w:t xml:space="preserve">require about </w:t>
      </w:r>
      <w:r w:rsidR="004E7BC1">
        <w:rPr>
          <w:noProof/>
        </w:rPr>
        <w:t>20</w:t>
      </w:r>
      <w:r w:rsidR="00F743B9" w:rsidRPr="006D0ACA">
        <w:rPr>
          <w:noProof/>
        </w:rPr>
        <w:t xml:space="preserve"> months. Therefore, the new technical solution should be operational in about two years after adoption of the proposal.</w:t>
      </w:r>
      <w:r w:rsidR="002678BD">
        <w:rPr>
          <w:noProof/>
        </w:rPr>
        <w:t xml:space="preserve"> </w:t>
      </w:r>
      <w:r w:rsidR="00AA7ACB">
        <w:rPr>
          <w:noProof/>
        </w:rPr>
        <w:t xml:space="preserve">For the establishment of the secure communication channels, an implementing act is needed. </w:t>
      </w:r>
    </w:p>
    <w:p w14:paraId="5ADABFA6" w14:textId="656C3A3E" w:rsidR="000835D7" w:rsidRPr="006D0ACA" w:rsidRDefault="000835D7" w:rsidP="00715ADE">
      <w:pPr>
        <w:pBdr>
          <w:top w:val="nil"/>
          <w:left w:val="nil"/>
          <w:bottom w:val="nil"/>
          <w:right w:val="nil"/>
          <w:between w:val="nil"/>
          <w:bar w:val="nil"/>
        </w:pBdr>
        <w:spacing w:before="0" w:after="240"/>
        <w:rPr>
          <w:noProof/>
        </w:rPr>
      </w:pPr>
      <w:r w:rsidRPr="006D0ACA">
        <w:rPr>
          <w:noProof/>
        </w:rPr>
        <w:t xml:space="preserve">Monitoring and evaluating the </w:t>
      </w:r>
      <w:r w:rsidR="004E7BC1">
        <w:rPr>
          <w:noProof/>
        </w:rPr>
        <w:t xml:space="preserve">digitalisation </w:t>
      </w:r>
      <w:r w:rsidR="009048AA">
        <w:rPr>
          <w:noProof/>
        </w:rPr>
        <w:t xml:space="preserve">of </w:t>
      </w:r>
      <w:r w:rsidR="004E7BC1">
        <w:rPr>
          <w:noProof/>
        </w:rPr>
        <w:t>Eurojust’s</w:t>
      </w:r>
      <w:r w:rsidR="004E7BC1" w:rsidRPr="58C9E2C4">
        <w:rPr>
          <w:noProof/>
        </w:rPr>
        <w:t xml:space="preserve"> </w:t>
      </w:r>
      <w:r w:rsidRPr="006D0ACA">
        <w:rPr>
          <w:noProof/>
        </w:rPr>
        <w:t xml:space="preserve">data </w:t>
      </w:r>
      <w:r w:rsidR="004E7BC1">
        <w:rPr>
          <w:noProof/>
        </w:rPr>
        <w:t>processing</w:t>
      </w:r>
      <w:r w:rsidR="00A3340E">
        <w:rPr>
          <w:noProof/>
        </w:rPr>
        <w:t xml:space="preserve"> </w:t>
      </w:r>
      <w:r w:rsidRPr="006D0ACA">
        <w:rPr>
          <w:noProof/>
        </w:rPr>
        <w:t xml:space="preserve">will be important to ensure </w:t>
      </w:r>
      <w:r w:rsidR="004E7BC1">
        <w:rPr>
          <w:noProof/>
        </w:rPr>
        <w:t>its</w:t>
      </w:r>
      <w:r w:rsidR="004E7BC1" w:rsidRPr="58C9E2C4">
        <w:rPr>
          <w:noProof/>
        </w:rPr>
        <w:t xml:space="preserve"> </w:t>
      </w:r>
      <w:r w:rsidRPr="006D0ACA">
        <w:rPr>
          <w:noProof/>
        </w:rPr>
        <w:t xml:space="preserve">effectiveness </w:t>
      </w:r>
      <w:r w:rsidR="004E7BC1">
        <w:rPr>
          <w:noProof/>
        </w:rPr>
        <w:t>and its</w:t>
      </w:r>
      <w:r w:rsidRPr="006D0ACA">
        <w:rPr>
          <w:noProof/>
        </w:rPr>
        <w:t xml:space="preserve"> compliance with fundamental rights. The monitoring and evaluation </w:t>
      </w:r>
      <w:r w:rsidR="004E7BC1" w:rsidRPr="006D0ACA">
        <w:rPr>
          <w:noProof/>
        </w:rPr>
        <w:t>w</w:t>
      </w:r>
      <w:r w:rsidR="004E7BC1">
        <w:rPr>
          <w:noProof/>
        </w:rPr>
        <w:t>ill</w:t>
      </w:r>
      <w:r w:rsidR="004E7BC1" w:rsidRPr="58C9E2C4">
        <w:rPr>
          <w:noProof/>
        </w:rPr>
        <w:t xml:space="preserve"> </w:t>
      </w:r>
      <w:r w:rsidRPr="006D0ACA">
        <w:rPr>
          <w:noProof/>
        </w:rPr>
        <w:t>largely be performed under the Eurojust Regulation</w:t>
      </w:r>
      <w:r w:rsidR="004E7BC1">
        <w:rPr>
          <w:noProof/>
        </w:rPr>
        <w:t xml:space="preserve"> in force</w:t>
      </w:r>
      <w:r w:rsidRPr="006D0ACA">
        <w:rPr>
          <w:noProof/>
        </w:rPr>
        <w:t xml:space="preserve">. The Commission will </w:t>
      </w:r>
      <w:r w:rsidR="001E388E" w:rsidRPr="006D0ACA">
        <w:rPr>
          <w:noProof/>
        </w:rPr>
        <w:t>c</w:t>
      </w:r>
      <w:r w:rsidR="001E388E">
        <w:rPr>
          <w:noProof/>
        </w:rPr>
        <w:t>arry out</w:t>
      </w:r>
      <w:r w:rsidR="001E388E" w:rsidRPr="006D0ACA">
        <w:rPr>
          <w:noProof/>
        </w:rPr>
        <w:t xml:space="preserve"> </w:t>
      </w:r>
      <w:r w:rsidRPr="006D0ACA">
        <w:rPr>
          <w:noProof/>
        </w:rPr>
        <w:t>an independent evaluation on the implementation of the</w:t>
      </w:r>
      <w:r w:rsidR="00A3340E">
        <w:rPr>
          <w:noProof/>
        </w:rPr>
        <w:t xml:space="preserve"> Eurojust</w:t>
      </w:r>
      <w:r w:rsidRPr="006D0ACA">
        <w:rPr>
          <w:noProof/>
        </w:rPr>
        <w:t xml:space="preserve"> Regulation and Eurojust’s activities by 13</w:t>
      </w:r>
      <w:r w:rsidR="004E7BC1" w:rsidRPr="58C9E2C4">
        <w:rPr>
          <w:noProof/>
        </w:rPr>
        <w:t> </w:t>
      </w:r>
      <w:r w:rsidRPr="006D0ACA">
        <w:rPr>
          <w:noProof/>
        </w:rPr>
        <w:t>December</w:t>
      </w:r>
      <w:r w:rsidR="004E7BC1" w:rsidRPr="58C9E2C4">
        <w:rPr>
          <w:noProof/>
        </w:rPr>
        <w:t> </w:t>
      </w:r>
      <w:r w:rsidRPr="006D0ACA">
        <w:rPr>
          <w:noProof/>
        </w:rPr>
        <w:t>2024. The evaluation will be carried out every five years to assess the implementation and impact of the Regulation and the effectiveness and efficiency of Eurojust in line with Article 69(1) of the Eurojust Regulation.</w:t>
      </w:r>
    </w:p>
    <w:p w14:paraId="14F71967" w14:textId="77777777" w:rsidR="00EB0A3C" w:rsidRPr="002B1990" w:rsidRDefault="00EB0A3C" w:rsidP="00715ADE">
      <w:pPr>
        <w:pStyle w:val="ManualHeading2"/>
        <w:rPr>
          <w:rFonts w:eastAsia="Arial Unicode MS"/>
          <w:noProof/>
          <w:color w:val="000000" w:themeColor="text1"/>
          <w:bdr w:val="nil"/>
          <w:lang w:val="en-US" w:eastAsia="en-GB"/>
        </w:rPr>
      </w:pPr>
      <w:bookmarkStart w:id="32" w:name="_Toc84517399"/>
      <w:bookmarkStart w:id="33" w:name="_Toc84517571"/>
      <w:r w:rsidRPr="002B1990">
        <w:rPr>
          <w:rFonts w:eastAsia="Arial Unicode MS"/>
          <w:noProof/>
          <w:color w:val="000000" w:themeColor="text1"/>
          <w:bdr w:val="nil"/>
          <w:lang w:val="en-US" w:eastAsia="en-GB"/>
        </w:rPr>
        <w:t>•</w:t>
      </w:r>
      <w:r w:rsidRPr="002B1990">
        <w:rPr>
          <w:rFonts w:eastAsia="Arial Unicode MS"/>
          <w:noProof/>
          <w:color w:val="000000" w:themeColor="text1"/>
          <w:u w:color="000000"/>
          <w:bdr w:val="nil"/>
          <w:lang w:val="en-US" w:eastAsia="en-GB"/>
        </w:rPr>
        <w:tab/>
      </w:r>
      <w:r w:rsidRPr="002B1990">
        <w:rPr>
          <w:rFonts w:eastAsia="Arial Unicode MS"/>
          <w:noProof/>
          <w:color w:val="000000" w:themeColor="text1"/>
          <w:bdr w:val="nil"/>
          <w:lang w:val="en-US" w:eastAsia="en-GB"/>
        </w:rPr>
        <w:t>Detailed explanation of the specific provisions of the proposal</w:t>
      </w:r>
      <w:bookmarkEnd w:id="32"/>
      <w:bookmarkEnd w:id="33"/>
    </w:p>
    <w:p w14:paraId="66964395" w14:textId="569E150C" w:rsidR="00C73165" w:rsidRPr="006D0ACA" w:rsidRDefault="00584C80" w:rsidP="00195FE5">
      <w:pPr>
        <w:pBdr>
          <w:top w:val="nil"/>
          <w:left w:val="nil"/>
          <w:bottom w:val="nil"/>
          <w:right w:val="nil"/>
          <w:between w:val="nil"/>
          <w:bar w:val="nil"/>
        </w:pBdr>
        <w:spacing w:before="0" w:after="240"/>
        <w:rPr>
          <w:noProof/>
        </w:rPr>
      </w:pPr>
      <w:r w:rsidRPr="006D0ACA">
        <w:rPr>
          <w:noProof/>
        </w:rPr>
        <w:t xml:space="preserve">The </w:t>
      </w:r>
      <w:r w:rsidR="00F12550">
        <w:rPr>
          <w:noProof/>
        </w:rPr>
        <w:t>proposal states</w:t>
      </w:r>
      <w:r w:rsidRPr="006D0ACA">
        <w:rPr>
          <w:noProof/>
        </w:rPr>
        <w:t xml:space="preserve"> that </w:t>
      </w:r>
      <w:r w:rsidR="00F12550">
        <w:rPr>
          <w:noProof/>
        </w:rPr>
        <w:t xml:space="preserve">the </w:t>
      </w:r>
      <w:r w:rsidRPr="002B1990">
        <w:rPr>
          <w:rFonts w:eastAsia="Arial Unicode MS"/>
          <w:noProof/>
          <w:color w:val="000000" w:themeColor="text1"/>
        </w:rPr>
        <w:t>Eurojust Regulation and Council Decision 2005/671/JHA should be amended to clarify and</w:t>
      </w:r>
      <w:r w:rsidR="009D7C9E" w:rsidRPr="002B1990">
        <w:rPr>
          <w:rFonts w:eastAsia="Arial Unicode MS"/>
          <w:noProof/>
          <w:color w:val="000000" w:themeColor="text1"/>
        </w:rPr>
        <w:t xml:space="preserve"> </w:t>
      </w:r>
      <w:r w:rsidR="00F12550">
        <w:rPr>
          <w:rFonts w:eastAsia="Arial Unicode MS"/>
          <w:noProof/>
          <w:color w:val="000000" w:themeColor="text1"/>
        </w:rPr>
        <w:t>strengthen</w:t>
      </w:r>
      <w:r w:rsidR="00F12550" w:rsidRPr="002B1990">
        <w:rPr>
          <w:rFonts w:eastAsia="Arial Unicode MS"/>
          <w:noProof/>
          <w:color w:val="000000" w:themeColor="text1"/>
        </w:rPr>
        <w:t xml:space="preserve"> </w:t>
      </w:r>
      <w:r w:rsidRPr="002B1990">
        <w:rPr>
          <w:rFonts w:eastAsia="Arial Unicode MS"/>
          <w:noProof/>
          <w:color w:val="000000" w:themeColor="text1"/>
        </w:rPr>
        <w:t>Member States</w:t>
      </w:r>
      <w:r w:rsidR="00F12550">
        <w:rPr>
          <w:rFonts w:eastAsia="Arial Unicode MS"/>
          <w:noProof/>
          <w:color w:val="000000" w:themeColor="text1"/>
        </w:rPr>
        <w:t>’</w:t>
      </w:r>
      <w:r w:rsidRPr="002B1990">
        <w:rPr>
          <w:rFonts w:eastAsia="Arial Unicode MS"/>
          <w:noProof/>
          <w:color w:val="000000" w:themeColor="text1"/>
        </w:rPr>
        <w:t xml:space="preserve"> legal obligation to share data </w:t>
      </w:r>
      <w:r w:rsidR="00F12550">
        <w:rPr>
          <w:rFonts w:eastAsia="Arial Unicode MS"/>
          <w:noProof/>
          <w:color w:val="000000" w:themeColor="text1"/>
        </w:rPr>
        <w:t>on</w:t>
      </w:r>
      <w:r w:rsidR="00F12550" w:rsidRPr="002B1990">
        <w:rPr>
          <w:rFonts w:eastAsia="Arial Unicode MS"/>
          <w:noProof/>
          <w:color w:val="000000" w:themeColor="text1"/>
        </w:rPr>
        <w:t xml:space="preserve"> </w:t>
      </w:r>
      <w:r w:rsidRPr="002B1990">
        <w:rPr>
          <w:rFonts w:eastAsia="Arial Unicode MS"/>
          <w:noProof/>
          <w:color w:val="000000" w:themeColor="text1"/>
        </w:rPr>
        <w:t xml:space="preserve">terrorist offences with Eurojust. </w:t>
      </w:r>
      <w:r w:rsidR="000D2F65" w:rsidRPr="002B1990">
        <w:rPr>
          <w:rFonts w:eastAsia="Arial Unicode MS"/>
          <w:noProof/>
          <w:color w:val="000000" w:themeColor="text1"/>
        </w:rPr>
        <w:t>The</w:t>
      </w:r>
      <w:r w:rsidRPr="002B1990">
        <w:rPr>
          <w:rFonts w:eastAsia="Arial Unicode MS"/>
          <w:noProof/>
          <w:color w:val="000000" w:themeColor="text1"/>
        </w:rPr>
        <w:t xml:space="preserve"> conditions under which third country </w:t>
      </w:r>
      <w:r w:rsidR="00F12550">
        <w:rPr>
          <w:rFonts w:eastAsia="Arial Unicode MS"/>
          <w:noProof/>
          <w:color w:val="000000" w:themeColor="text1"/>
        </w:rPr>
        <w:t>LPs</w:t>
      </w:r>
      <w:r w:rsidRPr="002B1990">
        <w:rPr>
          <w:rFonts w:eastAsia="Arial Unicode MS"/>
          <w:noProof/>
          <w:color w:val="000000" w:themeColor="text1"/>
        </w:rPr>
        <w:t xml:space="preserve"> </w:t>
      </w:r>
      <w:r w:rsidR="000D2F65" w:rsidRPr="002B1990">
        <w:rPr>
          <w:rFonts w:eastAsia="Arial Unicode MS"/>
          <w:noProof/>
          <w:color w:val="000000" w:themeColor="text1"/>
        </w:rPr>
        <w:t xml:space="preserve">seconded </w:t>
      </w:r>
      <w:r w:rsidR="00F12550">
        <w:rPr>
          <w:rFonts w:eastAsia="Arial Unicode MS"/>
          <w:noProof/>
          <w:color w:val="000000" w:themeColor="text1"/>
        </w:rPr>
        <w:t>to</w:t>
      </w:r>
      <w:r w:rsidRPr="002B1990">
        <w:rPr>
          <w:rFonts w:eastAsia="Arial Unicode MS"/>
          <w:noProof/>
          <w:color w:val="000000" w:themeColor="text1"/>
        </w:rPr>
        <w:t xml:space="preserve"> Eurojust can get access </w:t>
      </w:r>
      <w:r w:rsidR="000D2F65" w:rsidRPr="002B1990">
        <w:rPr>
          <w:rFonts w:eastAsia="Arial Unicode MS"/>
          <w:noProof/>
          <w:color w:val="000000" w:themeColor="text1"/>
        </w:rPr>
        <w:t>to</w:t>
      </w:r>
      <w:r w:rsidRPr="002B1990">
        <w:rPr>
          <w:rFonts w:eastAsia="Arial Unicode MS"/>
          <w:noProof/>
          <w:color w:val="000000" w:themeColor="text1"/>
        </w:rPr>
        <w:t xml:space="preserve"> the </w:t>
      </w:r>
      <w:r w:rsidR="00585048">
        <w:rPr>
          <w:rFonts w:eastAsia="Arial Unicode MS"/>
          <w:noProof/>
          <w:color w:val="000000" w:themeColor="text1"/>
        </w:rPr>
        <w:t>CMS</w:t>
      </w:r>
      <w:r w:rsidRPr="002B1990">
        <w:rPr>
          <w:rFonts w:eastAsia="Arial Unicode MS"/>
          <w:noProof/>
          <w:color w:val="000000" w:themeColor="text1"/>
        </w:rPr>
        <w:t xml:space="preserve"> in line with the applicable data protection rules should also be clarified. Secure communication channels and a more flexible data processing environment should also be put in place.</w:t>
      </w:r>
    </w:p>
    <w:p w14:paraId="2DAB89B1" w14:textId="77777777" w:rsidR="00195FE5" w:rsidRPr="006D0ACA" w:rsidRDefault="00584C80" w:rsidP="00195FE5">
      <w:pPr>
        <w:pBdr>
          <w:top w:val="nil"/>
          <w:left w:val="nil"/>
          <w:bottom w:val="nil"/>
          <w:right w:val="nil"/>
          <w:between w:val="nil"/>
          <w:bar w:val="nil"/>
        </w:pBdr>
        <w:spacing w:before="0" w:after="240"/>
        <w:rPr>
          <w:noProof/>
        </w:rPr>
      </w:pPr>
      <w:r w:rsidRPr="006D0ACA">
        <w:rPr>
          <w:noProof/>
        </w:rPr>
        <w:t xml:space="preserve">Article 1 </w:t>
      </w:r>
      <w:r w:rsidR="00C73165" w:rsidRPr="006D0ACA">
        <w:rPr>
          <w:noProof/>
        </w:rPr>
        <w:t xml:space="preserve">of the Regulation </w:t>
      </w:r>
      <w:r w:rsidR="00D96747" w:rsidRPr="006D0ACA">
        <w:rPr>
          <w:noProof/>
        </w:rPr>
        <w:t>amends</w:t>
      </w:r>
      <w:r w:rsidR="00195FE5" w:rsidRPr="006D0ACA">
        <w:rPr>
          <w:noProof/>
        </w:rPr>
        <w:t xml:space="preserve"> the Eurojust Regulation:</w:t>
      </w:r>
    </w:p>
    <w:p w14:paraId="28CE079F" w14:textId="58748B72" w:rsidR="00AD6074" w:rsidRPr="006D0ACA" w:rsidRDefault="00C32262" w:rsidP="00AD6074">
      <w:pPr>
        <w:rPr>
          <w:noProof/>
        </w:rPr>
      </w:pPr>
      <w:r>
        <w:rPr>
          <w:rFonts w:eastAsia="Arial Unicode MS"/>
          <w:noProof/>
          <w:color w:val="000000" w:themeColor="text1"/>
        </w:rPr>
        <w:t>T</w:t>
      </w:r>
      <w:r w:rsidR="00AD6074" w:rsidRPr="002B1990">
        <w:rPr>
          <w:rFonts w:eastAsia="Arial Unicode MS"/>
          <w:noProof/>
          <w:color w:val="000000" w:themeColor="text1"/>
        </w:rPr>
        <w:t xml:space="preserve">o ensure </w:t>
      </w:r>
      <w:r>
        <w:rPr>
          <w:rFonts w:eastAsia="Arial Unicode MS"/>
          <w:noProof/>
          <w:color w:val="000000" w:themeColor="text1"/>
        </w:rPr>
        <w:t xml:space="preserve">that </w:t>
      </w:r>
      <w:r w:rsidR="00AD6074" w:rsidRPr="002B1990">
        <w:rPr>
          <w:rFonts w:eastAsia="Arial Unicode MS"/>
          <w:noProof/>
          <w:color w:val="000000" w:themeColor="text1"/>
        </w:rPr>
        <w:t>Eurojust can fulfil i</w:t>
      </w:r>
      <w:r w:rsidR="00F53CC5">
        <w:rPr>
          <w:rFonts w:eastAsia="Arial Unicode MS"/>
          <w:noProof/>
          <w:color w:val="000000" w:themeColor="text1"/>
        </w:rPr>
        <w:t>t</w:t>
      </w:r>
      <w:r w:rsidR="00AD6074" w:rsidRPr="002B1990">
        <w:rPr>
          <w:rFonts w:eastAsia="Arial Unicode MS"/>
          <w:noProof/>
          <w:color w:val="000000" w:themeColor="text1"/>
        </w:rPr>
        <w:t xml:space="preserve">s role in the cooperation </w:t>
      </w:r>
      <w:r w:rsidR="00F53CC5">
        <w:rPr>
          <w:rFonts w:eastAsia="Arial Unicode MS"/>
          <w:noProof/>
          <w:color w:val="000000" w:themeColor="text1"/>
        </w:rPr>
        <w:t>with third countries, Article 1</w:t>
      </w:r>
      <w:r w:rsidR="00AD6074" w:rsidRPr="002B1990">
        <w:rPr>
          <w:rFonts w:eastAsia="Arial Unicode MS"/>
          <w:noProof/>
          <w:color w:val="000000" w:themeColor="text1"/>
        </w:rPr>
        <w:t>(1) of the propos</w:t>
      </w:r>
      <w:r>
        <w:rPr>
          <w:rFonts w:eastAsia="Arial Unicode MS"/>
          <w:noProof/>
          <w:color w:val="000000" w:themeColor="text1"/>
        </w:rPr>
        <w:t xml:space="preserve">al </w:t>
      </w:r>
      <w:r w:rsidR="00AD6074" w:rsidRPr="002B1990">
        <w:rPr>
          <w:rFonts w:eastAsia="Arial Unicode MS"/>
          <w:noProof/>
          <w:color w:val="000000" w:themeColor="text1"/>
        </w:rPr>
        <w:t xml:space="preserve">clarifies in Article 3(5) </w:t>
      </w:r>
      <w:r>
        <w:rPr>
          <w:rFonts w:eastAsia="Arial Unicode MS"/>
          <w:noProof/>
          <w:color w:val="000000" w:themeColor="text1"/>
        </w:rPr>
        <w:t xml:space="preserve">of the </w:t>
      </w:r>
      <w:r w:rsidR="00AD6074" w:rsidRPr="002B1990">
        <w:rPr>
          <w:rFonts w:eastAsia="Arial Unicode MS"/>
          <w:noProof/>
          <w:color w:val="000000" w:themeColor="text1"/>
        </w:rPr>
        <w:t>Eurojust Regulation that Eurojust can also support cases between one Member State and a third coun</w:t>
      </w:r>
      <w:r w:rsidR="00585048">
        <w:rPr>
          <w:rFonts w:eastAsia="Arial Unicode MS"/>
          <w:noProof/>
          <w:color w:val="000000" w:themeColor="text1"/>
        </w:rPr>
        <w:t>try or one Member State and an international o</w:t>
      </w:r>
      <w:r w:rsidR="00AD6074" w:rsidRPr="002B1990">
        <w:rPr>
          <w:rFonts w:eastAsia="Arial Unicode MS"/>
          <w:noProof/>
          <w:color w:val="000000" w:themeColor="text1"/>
        </w:rPr>
        <w:t xml:space="preserve">rganisation. The latter would be </w:t>
      </w:r>
      <w:r>
        <w:rPr>
          <w:rFonts w:eastAsia="Arial Unicode MS"/>
          <w:noProof/>
          <w:color w:val="000000" w:themeColor="text1"/>
        </w:rPr>
        <w:t>of</w:t>
      </w:r>
      <w:r w:rsidR="00AD6074" w:rsidRPr="002B1990">
        <w:rPr>
          <w:rFonts w:eastAsia="Arial Unicode MS"/>
          <w:noProof/>
          <w:color w:val="000000" w:themeColor="text1"/>
        </w:rPr>
        <w:t xml:space="preserve"> particular relevan</w:t>
      </w:r>
      <w:r>
        <w:rPr>
          <w:rFonts w:eastAsia="Arial Unicode MS"/>
          <w:noProof/>
          <w:color w:val="000000" w:themeColor="text1"/>
        </w:rPr>
        <w:t>ce</w:t>
      </w:r>
      <w:r w:rsidR="00AD6074" w:rsidRPr="002B1990">
        <w:rPr>
          <w:rFonts w:eastAsia="Arial Unicode MS"/>
          <w:noProof/>
          <w:color w:val="000000" w:themeColor="text1"/>
        </w:rPr>
        <w:t xml:space="preserve"> for the potential cooperation with Interpol </w:t>
      </w:r>
      <w:r w:rsidR="00825B7A" w:rsidRPr="002B1990">
        <w:rPr>
          <w:rFonts w:eastAsia="Arial Unicode MS"/>
          <w:noProof/>
          <w:color w:val="000000" w:themeColor="text1"/>
        </w:rPr>
        <w:t xml:space="preserve">or </w:t>
      </w:r>
      <w:r>
        <w:rPr>
          <w:rFonts w:eastAsia="Arial Unicode MS"/>
          <w:noProof/>
          <w:color w:val="000000" w:themeColor="text1"/>
        </w:rPr>
        <w:t xml:space="preserve">the </w:t>
      </w:r>
      <w:r w:rsidR="00825B7A" w:rsidRPr="002B1990">
        <w:rPr>
          <w:rFonts w:eastAsia="Arial Unicode MS"/>
          <w:noProof/>
          <w:color w:val="000000" w:themeColor="text1"/>
        </w:rPr>
        <w:t>International Criminal Court, e.g. when it comes to battlefield evidence.</w:t>
      </w:r>
    </w:p>
    <w:p w14:paraId="03071AB5" w14:textId="61B9E307" w:rsidR="00AD6074" w:rsidRPr="006D0ACA" w:rsidRDefault="00AD6074" w:rsidP="00AD6074">
      <w:pPr>
        <w:rPr>
          <w:noProof/>
        </w:rPr>
      </w:pPr>
      <w:r w:rsidRPr="006D0ACA">
        <w:rPr>
          <w:noProof/>
        </w:rPr>
        <w:t>Article 1(2) of the propos</w:t>
      </w:r>
      <w:r w:rsidR="00C32262">
        <w:rPr>
          <w:noProof/>
        </w:rPr>
        <w:t>al</w:t>
      </w:r>
      <w:r w:rsidR="00A3340E">
        <w:rPr>
          <w:noProof/>
        </w:rPr>
        <w:t xml:space="preserve"> </w:t>
      </w:r>
      <w:r w:rsidRPr="006D0ACA">
        <w:rPr>
          <w:noProof/>
        </w:rPr>
        <w:t>introduces</w:t>
      </w:r>
      <w:r w:rsidRPr="58C9E2C4">
        <w:rPr>
          <w:noProof/>
        </w:rPr>
        <w:t xml:space="preserve"> </w:t>
      </w:r>
      <w:r w:rsidR="00C32262">
        <w:rPr>
          <w:noProof/>
        </w:rPr>
        <w:t>an</w:t>
      </w:r>
      <w:r w:rsidR="00C32262" w:rsidRPr="58C9E2C4">
        <w:rPr>
          <w:noProof/>
        </w:rPr>
        <w:t xml:space="preserve"> </w:t>
      </w:r>
      <w:r w:rsidR="00585048" w:rsidRPr="006D0ACA">
        <w:rPr>
          <w:noProof/>
        </w:rPr>
        <w:t>obligation of the Member States</w:t>
      </w:r>
      <w:r w:rsidRPr="006D0ACA">
        <w:rPr>
          <w:noProof/>
        </w:rPr>
        <w:t xml:space="preserve"> to designate one or more national terrorism correspondents and to provide them with sufficient powers</w:t>
      </w:r>
      <w:r w:rsidR="00CF1C80" w:rsidRPr="58C9E2C4">
        <w:rPr>
          <w:noProof/>
        </w:rPr>
        <w:t xml:space="preserve">, </w:t>
      </w:r>
      <w:r w:rsidRPr="006D0ACA">
        <w:rPr>
          <w:noProof/>
        </w:rPr>
        <w:t>previously based on Article 2(2) of Council Decision 2005/671</w:t>
      </w:r>
      <w:r w:rsidR="009048AA">
        <w:rPr>
          <w:noProof/>
        </w:rPr>
        <w:t>/</w:t>
      </w:r>
      <w:r w:rsidRPr="006D0ACA">
        <w:rPr>
          <w:noProof/>
        </w:rPr>
        <w:t>JHA</w:t>
      </w:r>
      <w:r w:rsidR="00CF1C80" w:rsidRPr="006D0ACA">
        <w:rPr>
          <w:noProof/>
        </w:rPr>
        <w:t xml:space="preserve">, </w:t>
      </w:r>
      <w:r w:rsidR="001E388E">
        <w:rPr>
          <w:noProof/>
        </w:rPr>
        <w:t>in</w:t>
      </w:r>
      <w:r w:rsidR="00CF1C80" w:rsidRPr="006D0ACA">
        <w:rPr>
          <w:noProof/>
        </w:rPr>
        <w:t xml:space="preserve"> the Eurojust Regulation, </w:t>
      </w:r>
      <w:r w:rsidR="001E388E">
        <w:rPr>
          <w:noProof/>
        </w:rPr>
        <w:t>adding</w:t>
      </w:r>
      <w:r w:rsidR="00A3340E">
        <w:rPr>
          <w:noProof/>
        </w:rPr>
        <w:t xml:space="preserve"> a new paragraph 2a </w:t>
      </w:r>
      <w:r w:rsidR="00A3340E" w:rsidDel="00274581">
        <w:rPr>
          <w:noProof/>
        </w:rPr>
        <w:t>to</w:t>
      </w:r>
      <w:r w:rsidR="00CF1C80" w:rsidRPr="006D0ACA">
        <w:rPr>
          <w:noProof/>
        </w:rPr>
        <w:t xml:space="preserve"> </w:t>
      </w:r>
      <w:r w:rsidR="00A8552E" w:rsidRPr="006D0ACA">
        <w:rPr>
          <w:noProof/>
        </w:rPr>
        <w:t>Article 20</w:t>
      </w:r>
      <w:r w:rsidR="00274581">
        <w:rPr>
          <w:noProof/>
        </w:rPr>
        <w:t xml:space="preserve"> of the</w:t>
      </w:r>
      <w:r w:rsidR="00A3340E">
        <w:rPr>
          <w:noProof/>
        </w:rPr>
        <w:t xml:space="preserve"> Eurojust Regulation</w:t>
      </w:r>
      <w:r w:rsidRPr="58C9E2C4">
        <w:rPr>
          <w:noProof/>
        </w:rPr>
        <w:t xml:space="preserve">. </w:t>
      </w:r>
      <w:r w:rsidRPr="006D0ACA">
        <w:rPr>
          <w:noProof/>
        </w:rPr>
        <w:t>Article 1(3) is a consequential amendment, following the inclusion of the obligation to provide information in terrorism cases</w:t>
      </w:r>
      <w:r w:rsidR="00CF1C80" w:rsidRPr="006D0ACA">
        <w:rPr>
          <w:noProof/>
        </w:rPr>
        <w:t xml:space="preserve"> in the Eurojust Regulation and to provide for a more general obligation to provide data in a structured manner to Eurojust in a new Article 22a.</w:t>
      </w:r>
      <w:r w:rsidRPr="58C9E2C4">
        <w:rPr>
          <w:noProof/>
        </w:rPr>
        <w:t xml:space="preserve"> </w:t>
      </w:r>
    </w:p>
    <w:p w14:paraId="42985138" w14:textId="28814CC0" w:rsidR="00FC00B8" w:rsidRPr="002B1990" w:rsidRDefault="00230731" w:rsidP="00FC00B8">
      <w:pPr>
        <w:rPr>
          <w:rFonts w:eastAsia="Arial Unicode MS"/>
          <w:noProof/>
          <w:color w:val="000000" w:themeColor="text1"/>
        </w:rPr>
      </w:pPr>
      <w:r w:rsidRPr="006D0ACA">
        <w:rPr>
          <w:noProof/>
        </w:rPr>
        <w:t>Article 1(4) of the propos</w:t>
      </w:r>
      <w:r w:rsidR="00C32262">
        <w:rPr>
          <w:noProof/>
        </w:rPr>
        <w:t>al</w:t>
      </w:r>
      <w:r w:rsidR="00A3340E">
        <w:rPr>
          <w:noProof/>
        </w:rPr>
        <w:t xml:space="preserve"> </w:t>
      </w:r>
      <w:r w:rsidRPr="006D0ACA">
        <w:rPr>
          <w:noProof/>
        </w:rPr>
        <w:t>introduces a new Article</w:t>
      </w:r>
      <w:r w:rsidR="00CF1C80" w:rsidRPr="006D0ACA">
        <w:rPr>
          <w:noProof/>
        </w:rPr>
        <w:t xml:space="preserve"> 21a to the Eurojust Regulation. Article 21a</w:t>
      </w:r>
      <w:r w:rsidRPr="58C9E2C4">
        <w:rPr>
          <w:noProof/>
        </w:rPr>
        <w:t xml:space="preserve"> </w:t>
      </w:r>
      <w:r w:rsidR="00CF1C80" w:rsidRPr="006D0ACA">
        <w:rPr>
          <w:noProof/>
        </w:rPr>
        <w:t>clarifies</w:t>
      </w:r>
      <w:r w:rsidRPr="006D0ACA">
        <w:rPr>
          <w:noProof/>
        </w:rPr>
        <w:t xml:space="preserve"> and </w:t>
      </w:r>
      <w:r w:rsidR="00C32262">
        <w:rPr>
          <w:noProof/>
        </w:rPr>
        <w:t>strengthens</w:t>
      </w:r>
      <w:r w:rsidR="00C32262" w:rsidRPr="58C9E2C4">
        <w:rPr>
          <w:noProof/>
        </w:rPr>
        <w:t xml:space="preserve"> </w:t>
      </w:r>
      <w:r w:rsidRPr="006D0ACA">
        <w:rPr>
          <w:noProof/>
        </w:rPr>
        <w:t>t</w:t>
      </w:r>
      <w:r w:rsidR="00D96747" w:rsidRPr="006D0ACA">
        <w:rPr>
          <w:noProof/>
        </w:rPr>
        <w:t xml:space="preserve">he obligation to provide information on terrorism </w:t>
      </w:r>
      <w:r w:rsidR="00BF6EBB" w:rsidRPr="006D0ACA">
        <w:rPr>
          <w:noProof/>
        </w:rPr>
        <w:t>proceedings</w:t>
      </w:r>
      <w:r w:rsidR="00D96747" w:rsidRPr="006D0ACA">
        <w:rPr>
          <w:noProof/>
        </w:rPr>
        <w:t xml:space="preserve">, previously based on </w:t>
      </w:r>
      <w:r w:rsidR="00CF1C80" w:rsidRPr="006D0ACA">
        <w:rPr>
          <w:noProof/>
        </w:rPr>
        <w:t xml:space="preserve">Article 2(3) in conjunction with </w:t>
      </w:r>
      <w:r w:rsidR="008E4B0E">
        <w:rPr>
          <w:noProof/>
        </w:rPr>
        <w:t>Article 2</w:t>
      </w:r>
      <w:r w:rsidR="00CF1C80" w:rsidRPr="006D0ACA">
        <w:rPr>
          <w:noProof/>
        </w:rPr>
        <w:t xml:space="preserve">(5) of </w:t>
      </w:r>
      <w:r w:rsidR="00BF6EBB" w:rsidRPr="006D0ACA">
        <w:rPr>
          <w:noProof/>
        </w:rPr>
        <w:t xml:space="preserve">Council Decision 2005/671/JHA. </w:t>
      </w:r>
      <w:r w:rsidRPr="006D0ACA">
        <w:rPr>
          <w:noProof/>
        </w:rPr>
        <w:t xml:space="preserve">Article 21a sets out the </w:t>
      </w:r>
      <w:r w:rsidR="00BF6EBB" w:rsidRPr="002B1990">
        <w:rPr>
          <w:rFonts w:eastAsia="Arial Unicode MS"/>
          <w:noProof/>
          <w:color w:val="000000" w:themeColor="text1"/>
        </w:rPr>
        <w:t>cases</w:t>
      </w:r>
      <w:r w:rsidR="00A3340E">
        <w:rPr>
          <w:rFonts w:eastAsia="Arial Unicode MS"/>
          <w:noProof/>
          <w:color w:val="000000" w:themeColor="text1"/>
        </w:rPr>
        <w:t>,</w:t>
      </w:r>
      <w:r w:rsidR="00BF6EBB" w:rsidRPr="002B1990">
        <w:rPr>
          <w:rFonts w:eastAsia="Arial Unicode MS"/>
          <w:noProof/>
          <w:color w:val="000000" w:themeColor="text1"/>
        </w:rPr>
        <w:t xml:space="preserve"> in which Member States are obliged to provide information on criminal investigations and judicial proceedings for terrorist offences</w:t>
      </w:r>
      <w:r w:rsidR="00A3340E">
        <w:rPr>
          <w:rFonts w:eastAsia="Arial Unicode MS"/>
          <w:noProof/>
          <w:color w:val="000000" w:themeColor="text1"/>
        </w:rPr>
        <w:t>,</w:t>
      </w:r>
      <w:r w:rsidR="00BF6EBB" w:rsidRPr="002B1990">
        <w:rPr>
          <w:rFonts w:eastAsia="Arial Unicode MS"/>
          <w:noProof/>
          <w:color w:val="000000" w:themeColor="text1"/>
        </w:rPr>
        <w:t xml:space="preserve"> more precisely</w:t>
      </w:r>
      <w:r w:rsidRPr="002B1990">
        <w:rPr>
          <w:rFonts w:eastAsia="Arial Unicode MS"/>
          <w:noProof/>
          <w:color w:val="000000" w:themeColor="text1"/>
        </w:rPr>
        <w:t>. In addition, it identifies t</w:t>
      </w:r>
      <w:r w:rsidR="00BF6EBB" w:rsidRPr="002B1990">
        <w:rPr>
          <w:rFonts w:eastAsia="Arial Unicode MS"/>
          <w:noProof/>
          <w:color w:val="000000" w:themeColor="text1"/>
        </w:rPr>
        <w:t>he stage of the criminal investigations and national proceedings and the kind of information more clearly</w:t>
      </w:r>
      <w:r w:rsidRPr="002B1990">
        <w:rPr>
          <w:rFonts w:eastAsia="Arial Unicode MS"/>
          <w:noProof/>
          <w:color w:val="000000" w:themeColor="text1"/>
        </w:rPr>
        <w:t>.</w:t>
      </w:r>
    </w:p>
    <w:p w14:paraId="6870A56A" w14:textId="7DEA05C7" w:rsidR="00E601C0" w:rsidRPr="00AA7ACB" w:rsidRDefault="00FC00B8" w:rsidP="00AA7ACB">
      <w:pPr>
        <w:spacing w:before="0" w:after="0"/>
        <w:rPr>
          <w:noProof/>
          <w:u w:val="single"/>
        </w:rPr>
      </w:pPr>
      <w:r w:rsidRPr="006D0ACA">
        <w:rPr>
          <w:noProof/>
        </w:rPr>
        <w:t>Article 1(5) of the propos</w:t>
      </w:r>
      <w:r w:rsidR="00C32262">
        <w:rPr>
          <w:noProof/>
        </w:rPr>
        <w:t>al</w:t>
      </w:r>
      <w:r w:rsidR="00C32262" w:rsidRPr="7CC317AF">
        <w:rPr>
          <w:noProof/>
        </w:rPr>
        <w:t xml:space="preserve"> </w:t>
      </w:r>
      <w:r w:rsidRPr="006D0ACA">
        <w:rPr>
          <w:noProof/>
        </w:rPr>
        <w:t>provides</w:t>
      </w:r>
      <w:r w:rsidR="00C32262" w:rsidRPr="7CC317AF">
        <w:rPr>
          <w:noProof/>
        </w:rPr>
        <w:t>,</w:t>
      </w:r>
      <w:r w:rsidRPr="006D0ACA">
        <w:rPr>
          <w:noProof/>
        </w:rPr>
        <w:t xml:space="preserve"> in a new Article 22a</w:t>
      </w:r>
      <w:r w:rsidR="00C32262" w:rsidRPr="7CC317AF">
        <w:rPr>
          <w:noProof/>
        </w:rPr>
        <w:t>,</w:t>
      </w:r>
      <w:r w:rsidRPr="006D0ACA">
        <w:rPr>
          <w:noProof/>
        </w:rPr>
        <w:t xml:space="preserve"> for the establishment and use of secure communication channels between </w:t>
      </w:r>
      <w:r w:rsidR="00E601C0" w:rsidRPr="006D0ACA">
        <w:rPr>
          <w:noProof/>
        </w:rPr>
        <w:t xml:space="preserve">all Member States and Eurojust </w:t>
      </w:r>
      <w:r w:rsidR="00C32262">
        <w:rPr>
          <w:noProof/>
        </w:rPr>
        <w:t>when</w:t>
      </w:r>
      <w:r w:rsidR="00E601C0" w:rsidRPr="006D0ACA">
        <w:rPr>
          <w:noProof/>
        </w:rPr>
        <w:t xml:space="preserve"> exchang</w:t>
      </w:r>
      <w:r w:rsidR="00C32262">
        <w:rPr>
          <w:noProof/>
        </w:rPr>
        <w:t>ing</w:t>
      </w:r>
      <w:r w:rsidR="00E601C0" w:rsidRPr="006D0ACA">
        <w:rPr>
          <w:noProof/>
        </w:rPr>
        <w:t xml:space="preserve"> sensitive data. Article 22a </w:t>
      </w:r>
      <w:r w:rsidR="00C32262">
        <w:rPr>
          <w:noProof/>
        </w:rPr>
        <w:t xml:space="preserve">also </w:t>
      </w:r>
      <w:r w:rsidR="00E601C0" w:rsidRPr="006D0ACA">
        <w:rPr>
          <w:noProof/>
        </w:rPr>
        <w:t>obliges Member States to provide for semi-automated update of structured data from national databases.</w:t>
      </w:r>
      <w:r w:rsidR="00A3340E">
        <w:rPr>
          <w:noProof/>
        </w:rPr>
        <w:t xml:space="preserve"> Semi-automated means a transmission mode, which is partly automated and partly human controlled.</w:t>
      </w:r>
      <w:r w:rsidR="00AA7ACB">
        <w:rPr>
          <w:noProof/>
        </w:rPr>
        <w:t xml:space="preserve"> Article 22b</w:t>
      </w:r>
      <w:r w:rsidR="000723BB">
        <w:rPr>
          <w:noProof/>
        </w:rPr>
        <w:t xml:space="preserve"> and Article 22c lay</w:t>
      </w:r>
      <w:r w:rsidR="00AA7ACB">
        <w:rPr>
          <w:noProof/>
        </w:rPr>
        <w:t xml:space="preserve"> down a framework for the Commission to adopt implementing acts.</w:t>
      </w:r>
    </w:p>
    <w:p w14:paraId="4486BCB5" w14:textId="2C0782F9" w:rsidR="00C73165" w:rsidRPr="006D0ACA" w:rsidRDefault="00C22F77" w:rsidP="00E601C0">
      <w:pPr>
        <w:rPr>
          <w:noProof/>
        </w:rPr>
      </w:pPr>
      <w:r w:rsidRPr="006D0ACA">
        <w:rPr>
          <w:noProof/>
        </w:rPr>
        <w:t>The amendments t</w:t>
      </w:r>
      <w:r w:rsidR="00F666CE" w:rsidRPr="006D0ACA">
        <w:rPr>
          <w:noProof/>
        </w:rPr>
        <w:t>o Article 23</w:t>
      </w:r>
      <w:r w:rsidRPr="7CC317AF">
        <w:rPr>
          <w:noProof/>
        </w:rPr>
        <w:t xml:space="preserve"> </w:t>
      </w:r>
      <w:r w:rsidR="00C06596">
        <w:rPr>
          <w:noProof/>
        </w:rPr>
        <w:t xml:space="preserve">of the </w:t>
      </w:r>
      <w:r w:rsidRPr="006D0ACA">
        <w:rPr>
          <w:noProof/>
        </w:rPr>
        <w:t xml:space="preserve">Eurojust Regulation, </w:t>
      </w:r>
      <w:r w:rsidR="00CF1C80" w:rsidRPr="006D0ACA">
        <w:rPr>
          <w:noProof/>
        </w:rPr>
        <w:t>contained</w:t>
      </w:r>
      <w:r w:rsidR="00F53CC5" w:rsidRPr="006D0ACA">
        <w:rPr>
          <w:noProof/>
        </w:rPr>
        <w:t xml:space="preserve"> in Article 1</w:t>
      </w:r>
      <w:r w:rsidR="00566FAA" w:rsidRPr="006D0ACA">
        <w:rPr>
          <w:noProof/>
        </w:rPr>
        <w:t>(6</w:t>
      </w:r>
      <w:r w:rsidRPr="006D0ACA">
        <w:rPr>
          <w:noProof/>
        </w:rPr>
        <w:t>) of the propos</w:t>
      </w:r>
      <w:r w:rsidR="00C06596">
        <w:rPr>
          <w:noProof/>
        </w:rPr>
        <w:t>al</w:t>
      </w:r>
      <w:r w:rsidRPr="006D0ACA">
        <w:rPr>
          <w:noProof/>
        </w:rPr>
        <w:t xml:space="preserve">, aim at </w:t>
      </w:r>
      <w:r w:rsidR="00C06596">
        <w:rPr>
          <w:noProof/>
        </w:rPr>
        <w:t>making</w:t>
      </w:r>
      <w:r w:rsidR="00C06596" w:rsidRPr="7CC317AF">
        <w:rPr>
          <w:noProof/>
        </w:rPr>
        <w:t xml:space="preserve"> </w:t>
      </w:r>
      <w:r w:rsidRPr="006D0ACA">
        <w:rPr>
          <w:noProof/>
        </w:rPr>
        <w:t>the</w:t>
      </w:r>
      <w:r w:rsidR="00C06596">
        <w:rPr>
          <w:noProof/>
        </w:rPr>
        <w:t xml:space="preserve"> Eurojust Regulation’s</w:t>
      </w:r>
      <w:r w:rsidRPr="006D0ACA">
        <w:rPr>
          <w:noProof/>
        </w:rPr>
        <w:t xml:space="preserve"> data processing </w:t>
      </w:r>
      <w:r w:rsidR="00C06596">
        <w:rPr>
          <w:noProof/>
        </w:rPr>
        <w:t>rules</w:t>
      </w:r>
      <w:r w:rsidRPr="006D0ACA">
        <w:rPr>
          <w:noProof/>
        </w:rPr>
        <w:t xml:space="preserve"> a bit more flexible. While the main principles remain in place, </w:t>
      </w:r>
      <w:r w:rsidR="00CF1C80" w:rsidRPr="006D0ACA">
        <w:rPr>
          <w:noProof/>
        </w:rPr>
        <w:t>it will now be possible</w:t>
      </w:r>
      <w:r w:rsidRPr="006D0ACA">
        <w:rPr>
          <w:noProof/>
        </w:rPr>
        <w:t xml:space="preserve"> to store information provided under Article 21 on serious crimes and </w:t>
      </w:r>
      <w:r w:rsidR="00C06596">
        <w:rPr>
          <w:noProof/>
        </w:rPr>
        <w:t>under</w:t>
      </w:r>
      <w:r w:rsidR="00C06596" w:rsidRPr="7CC317AF">
        <w:rPr>
          <w:noProof/>
        </w:rPr>
        <w:t xml:space="preserve"> </w:t>
      </w:r>
      <w:r w:rsidRPr="006D0ACA">
        <w:rPr>
          <w:noProof/>
        </w:rPr>
        <w:t>Article 21a o</w:t>
      </w:r>
      <w:r w:rsidR="00CF1C80" w:rsidRPr="006D0ACA">
        <w:rPr>
          <w:noProof/>
        </w:rPr>
        <w:t>n counter-terrorism proceedings</w:t>
      </w:r>
      <w:r w:rsidRPr="006D0ACA">
        <w:rPr>
          <w:noProof/>
        </w:rPr>
        <w:t xml:space="preserve"> in a different </w:t>
      </w:r>
      <w:r w:rsidR="00F53CC5" w:rsidRPr="006D0ACA">
        <w:rPr>
          <w:noProof/>
        </w:rPr>
        <w:t>structure</w:t>
      </w:r>
      <w:r w:rsidRPr="7CC317AF">
        <w:rPr>
          <w:noProof/>
        </w:rPr>
        <w:t xml:space="preserve"> </w:t>
      </w:r>
      <w:r w:rsidR="009A024F" w:rsidRPr="006D0ACA">
        <w:rPr>
          <w:noProof/>
        </w:rPr>
        <w:t xml:space="preserve">and for a longer period </w:t>
      </w:r>
      <w:r w:rsidRPr="006D0ACA">
        <w:rPr>
          <w:noProof/>
        </w:rPr>
        <w:t xml:space="preserve">than </w:t>
      </w:r>
      <w:r w:rsidR="00CF1C80" w:rsidRPr="006D0ACA">
        <w:rPr>
          <w:noProof/>
        </w:rPr>
        <w:t>in</w:t>
      </w:r>
      <w:r w:rsidR="00F53CC5" w:rsidRPr="006D0ACA">
        <w:rPr>
          <w:noProof/>
        </w:rPr>
        <w:t xml:space="preserve"> the current</w:t>
      </w:r>
      <w:r w:rsidR="00CF1C80" w:rsidRPr="7CC317AF">
        <w:rPr>
          <w:noProof/>
        </w:rPr>
        <w:t xml:space="preserve"> </w:t>
      </w:r>
      <w:r w:rsidRPr="006D0ACA">
        <w:rPr>
          <w:noProof/>
        </w:rPr>
        <w:t xml:space="preserve">temporary work files. </w:t>
      </w:r>
      <w:r w:rsidR="00F53CC5" w:rsidRPr="006D0ACA">
        <w:rPr>
          <w:noProof/>
        </w:rPr>
        <w:t>The propos</w:t>
      </w:r>
      <w:r w:rsidR="00C06596">
        <w:rPr>
          <w:noProof/>
        </w:rPr>
        <w:t>al</w:t>
      </w:r>
      <w:r w:rsidR="00F53CC5" w:rsidRPr="006D0ACA">
        <w:rPr>
          <w:noProof/>
        </w:rPr>
        <w:t xml:space="preserve"> deletes the technical details relating to the CMS, to </w:t>
      </w:r>
      <w:r w:rsidR="00C06596">
        <w:rPr>
          <w:noProof/>
        </w:rPr>
        <w:t>allow the system to be modernised</w:t>
      </w:r>
      <w:r w:rsidR="00F53CC5" w:rsidRPr="7CC317AF">
        <w:rPr>
          <w:noProof/>
        </w:rPr>
        <w:t xml:space="preserve">. </w:t>
      </w:r>
      <w:r w:rsidR="00C06596">
        <w:rPr>
          <w:noProof/>
        </w:rPr>
        <w:t>That said</w:t>
      </w:r>
      <w:r w:rsidR="00F53CC5" w:rsidRPr="006D0ACA">
        <w:rPr>
          <w:noProof/>
        </w:rPr>
        <w:t xml:space="preserve">, the principle of temporary storage will also be maintained for these data, even though the retention periods are slightly </w:t>
      </w:r>
      <w:r w:rsidR="00C06596">
        <w:rPr>
          <w:noProof/>
        </w:rPr>
        <w:t>longer</w:t>
      </w:r>
      <w:r w:rsidR="00C06596" w:rsidRPr="7CC317AF">
        <w:rPr>
          <w:noProof/>
        </w:rPr>
        <w:t xml:space="preserve"> </w:t>
      </w:r>
      <w:r w:rsidR="00F53CC5" w:rsidRPr="006D0ACA">
        <w:rPr>
          <w:noProof/>
        </w:rPr>
        <w:t xml:space="preserve">for information under Article 21a. </w:t>
      </w:r>
      <w:r w:rsidR="00F666CE" w:rsidRPr="006D0ACA">
        <w:rPr>
          <w:noProof/>
        </w:rPr>
        <w:t xml:space="preserve">The revised Article 23 sets out the purposes of the </w:t>
      </w:r>
      <w:r w:rsidR="00C06596">
        <w:rPr>
          <w:noProof/>
        </w:rPr>
        <w:t>CMS</w:t>
      </w:r>
      <w:r w:rsidR="00F666CE" w:rsidRPr="006D0ACA">
        <w:rPr>
          <w:noProof/>
        </w:rPr>
        <w:t xml:space="preserve"> more cl</w:t>
      </w:r>
      <w:r w:rsidR="00566FAA" w:rsidRPr="006D0ACA">
        <w:rPr>
          <w:noProof/>
        </w:rPr>
        <w:t xml:space="preserve">early. </w:t>
      </w:r>
    </w:p>
    <w:p w14:paraId="0002467F" w14:textId="22E55453" w:rsidR="00566FAA" w:rsidRPr="006D0ACA" w:rsidRDefault="00F53CC5" w:rsidP="00E601C0">
      <w:pPr>
        <w:rPr>
          <w:noProof/>
        </w:rPr>
      </w:pPr>
      <w:r w:rsidRPr="006D0ACA">
        <w:rPr>
          <w:noProof/>
        </w:rPr>
        <w:t>Article 1</w:t>
      </w:r>
      <w:r w:rsidR="00566FAA" w:rsidRPr="006D0ACA">
        <w:rPr>
          <w:noProof/>
        </w:rPr>
        <w:t>(</w:t>
      </w:r>
      <w:r w:rsidR="007D2CDA">
        <w:rPr>
          <w:noProof/>
        </w:rPr>
        <w:t>6</w:t>
      </w:r>
      <w:r w:rsidR="00566FAA" w:rsidRPr="006D0ACA">
        <w:rPr>
          <w:noProof/>
        </w:rPr>
        <w:t>)</w:t>
      </w:r>
      <w:r w:rsidR="007D2CDA">
        <w:rPr>
          <w:noProof/>
        </w:rPr>
        <w:t xml:space="preserve"> also</w:t>
      </w:r>
      <w:r w:rsidR="00566FAA" w:rsidRPr="006D0ACA">
        <w:rPr>
          <w:noProof/>
        </w:rPr>
        <w:t xml:space="preserve"> </w:t>
      </w:r>
      <w:r w:rsidR="00C06596">
        <w:rPr>
          <w:noProof/>
        </w:rPr>
        <w:t>amends</w:t>
      </w:r>
      <w:r w:rsidR="00C06596" w:rsidRPr="7CC317AF">
        <w:rPr>
          <w:noProof/>
        </w:rPr>
        <w:t xml:space="preserve"> </w:t>
      </w:r>
      <w:r w:rsidR="00566FAA" w:rsidRPr="006D0ACA">
        <w:rPr>
          <w:noProof/>
        </w:rPr>
        <w:t xml:space="preserve">Article 24 </w:t>
      </w:r>
      <w:r w:rsidR="00C06596">
        <w:rPr>
          <w:noProof/>
        </w:rPr>
        <w:t xml:space="preserve">of the </w:t>
      </w:r>
      <w:r w:rsidR="00566FAA" w:rsidRPr="006D0ACA">
        <w:rPr>
          <w:noProof/>
        </w:rPr>
        <w:t>Eurojust Regulation, maintain</w:t>
      </w:r>
      <w:r w:rsidR="007D2CDA">
        <w:rPr>
          <w:noProof/>
        </w:rPr>
        <w:t>ing</w:t>
      </w:r>
      <w:r w:rsidR="00566FAA" w:rsidRPr="006D0ACA">
        <w:rPr>
          <w:noProof/>
        </w:rPr>
        <w:t xml:space="preserve"> the current principle of </w:t>
      </w:r>
      <w:r w:rsidR="004D181C" w:rsidRPr="006D0ACA">
        <w:rPr>
          <w:noProof/>
        </w:rPr>
        <w:t xml:space="preserve">information </w:t>
      </w:r>
      <w:r w:rsidR="00566FAA" w:rsidRPr="006D0ACA">
        <w:rPr>
          <w:noProof/>
        </w:rPr>
        <w:t>management</w:t>
      </w:r>
      <w:r w:rsidR="004D181C" w:rsidRPr="006D0ACA">
        <w:rPr>
          <w:noProof/>
        </w:rPr>
        <w:t xml:space="preserve"> in the CMS. Article 24</w:t>
      </w:r>
      <w:r w:rsidR="00566FAA" w:rsidRPr="006D0ACA">
        <w:rPr>
          <w:noProof/>
        </w:rPr>
        <w:t xml:space="preserve">(1) underlines the control and responsibility of national members for the data in the </w:t>
      </w:r>
      <w:r w:rsidR="00585048" w:rsidRPr="006D0ACA">
        <w:rPr>
          <w:noProof/>
        </w:rPr>
        <w:t>CMS</w:t>
      </w:r>
      <w:r w:rsidR="00566FAA" w:rsidRPr="7CC317AF">
        <w:rPr>
          <w:noProof/>
        </w:rPr>
        <w:t xml:space="preserve">. </w:t>
      </w:r>
      <w:r w:rsidR="004D181C" w:rsidRPr="006D0ACA">
        <w:rPr>
          <w:noProof/>
        </w:rPr>
        <w:t xml:space="preserve">In </w:t>
      </w:r>
      <w:r w:rsidR="00C06596">
        <w:rPr>
          <w:noProof/>
        </w:rPr>
        <w:t>line</w:t>
      </w:r>
      <w:r w:rsidR="00C06596" w:rsidRPr="7CC317AF">
        <w:rPr>
          <w:noProof/>
        </w:rPr>
        <w:t xml:space="preserve"> </w:t>
      </w:r>
      <w:r w:rsidR="004D181C" w:rsidRPr="006D0ACA">
        <w:rPr>
          <w:noProof/>
        </w:rPr>
        <w:t>with Article 24(2),</w:t>
      </w:r>
      <w:r w:rsidR="008D5DAB" w:rsidRPr="006D0ACA">
        <w:rPr>
          <w:noProof/>
        </w:rPr>
        <w:t xml:space="preserve"> national members </w:t>
      </w:r>
      <w:r w:rsidR="004D181C" w:rsidRPr="006D0ACA">
        <w:rPr>
          <w:noProof/>
        </w:rPr>
        <w:t xml:space="preserve">continue to </w:t>
      </w:r>
      <w:r w:rsidR="008D5DAB" w:rsidRPr="006D0ACA">
        <w:rPr>
          <w:noProof/>
        </w:rPr>
        <w:t xml:space="preserve">decide the access rights </w:t>
      </w:r>
      <w:r w:rsidR="004D181C" w:rsidRPr="006D0ACA">
        <w:rPr>
          <w:noProof/>
        </w:rPr>
        <w:t>to</w:t>
      </w:r>
      <w:r w:rsidR="00C06596">
        <w:rPr>
          <w:noProof/>
        </w:rPr>
        <w:t xml:space="preserve"> the</w:t>
      </w:r>
      <w:r w:rsidR="004D181C" w:rsidRPr="006D0ACA">
        <w:rPr>
          <w:noProof/>
        </w:rPr>
        <w:t xml:space="preserve"> information managed by them. Article 24(3) introduces a legal basis for more automated follow-up on cross-links, in case national authorities authorise </w:t>
      </w:r>
      <w:r w:rsidR="00C06596">
        <w:rPr>
          <w:noProof/>
        </w:rPr>
        <w:t>data sharing</w:t>
      </w:r>
      <w:r w:rsidR="004D181C" w:rsidRPr="006D0ACA">
        <w:rPr>
          <w:noProof/>
        </w:rPr>
        <w:t xml:space="preserve"> with certain parties </w:t>
      </w:r>
      <w:r w:rsidR="00C06596">
        <w:rPr>
          <w:noProof/>
        </w:rPr>
        <w:t>before a</w:t>
      </w:r>
      <w:r w:rsidR="004D181C" w:rsidRPr="006D0ACA">
        <w:rPr>
          <w:noProof/>
        </w:rPr>
        <w:t xml:space="preserve"> link </w:t>
      </w:r>
      <w:r w:rsidR="00C06596">
        <w:rPr>
          <w:noProof/>
        </w:rPr>
        <w:t xml:space="preserve">is </w:t>
      </w:r>
      <w:r w:rsidR="004D181C" w:rsidRPr="006D0ACA">
        <w:rPr>
          <w:noProof/>
        </w:rPr>
        <w:t>detect</w:t>
      </w:r>
      <w:r w:rsidR="00C06596">
        <w:rPr>
          <w:noProof/>
        </w:rPr>
        <w:t>ed</w:t>
      </w:r>
      <w:r w:rsidR="004D181C" w:rsidRPr="7CC317AF">
        <w:rPr>
          <w:noProof/>
        </w:rPr>
        <w:t xml:space="preserve">. </w:t>
      </w:r>
    </w:p>
    <w:p w14:paraId="72572856" w14:textId="0FCDBA30" w:rsidR="00566FAA" w:rsidRPr="006D0ACA" w:rsidRDefault="007D2CDA" w:rsidP="00E601C0">
      <w:pPr>
        <w:rPr>
          <w:noProof/>
        </w:rPr>
      </w:pPr>
      <w:r>
        <w:rPr>
          <w:noProof/>
        </w:rPr>
        <w:t xml:space="preserve">Finally, </w:t>
      </w:r>
      <w:r w:rsidR="00F53CC5" w:rsidRPr="006D0ACA">
        <w:rPr>
          <w:noProof/>
        </w:rPr>
        <w:t>Article 1</w:t>
      </w:r>
      <w:r w:rsidR="00566FAA" w:rsidRPr="006D0ACA">
        <w:rPr>
          <w:noProof/>
        </w:rPr>
        <w:t>(</w:t>
      </w:r>
      <w:r>
        <w:rPr>
          <w:noProof/>
        </w:rPr>
        <w:t>6</w:t>
      </w:r>
      <w:r w:rsidR="00566FAA" w:rsidRPr="006D0ACA">
        <w:rPr>
          <w:noProof/>
        </w:rPr>
        <w:t xml:space="preserve">) brings about consequential amendments to Article 25 </w:t>
      </w:r>
      <w:r w:rsidR="00C06596">
        <w:rPr>
          <w:noProof/>
        </w:rPr>
        <w:t xml:space="preserve">of the </w:t>
      </w:r>
      <w:r w:rsidR="00566FAA" w:rsidRPr="006D0ACA">
        <w:rPr>
          <w:noProof/>
        </w:rPr>
        <w:t xml:space="preserve">Eurojust Regulation, </w:t>
      </w:r>
      <w:r w:rsidR="00C06596">
        <w:rPr>
          <w:noProof/>
        </w:rPr>
        <w:t>which stem</w:t>
      </w:r>
      <w:r w:rsidR="00566FAA" w:rsidRPr="006D0ACA">
        <w:rPr>
          <w:noProof/>
        </w:rPr>
        <w:t xml:space="preserve"> from deleting the technical details from Article 23 </w:t>
      </w:r>
      <w:r w:rsidR="007447EF">
        <w:rPr>
          <w:noProof/>
        </w:rPr>
        <w:t xml:space="preserve">of the </w:t>
      </w:r>
      <w:r w:rsidR="00566FAA" w:rsidRPr="006D0ACA">
        <w:rPr>
          <w:noProof/>
        </w:rPr>
        <w:t xml:space="preserve">Eurojust Regulation. </w:t>
      </w:r>
    </w:p>
    <w:p w14:paraId="14B35FE9" w14:textId="1503D3F7" w:rsidR="008D5DAB" w:rsidRPr="006D0ACA" w:rsidRDefault="009A024F" w:rsidP="00E601C0">
      <w:pPr>
        <w:rPr>
          <w:noProof/>
        </w:rPr>
      </w:pPr>
      <w:r w:rsidRPr="006D0ACA">
        <w:rPr>
          <w:noProof/>
        </w:rPr>
        <w:t>Article 1</w:t>
      </w:r>
      <w:r w:rsidR="008D5DAB" w:rsidRPr="006D0ACA">
        <w:rPr>
          <w:noProof/>
        </w:rPr>
        <w:t>(</w:t>
      </w:r>
      <w:r w:rsidR="007D2CDA">
        <w:rPr>
          <w:noProof/>
        </w:rPr>
        <w:t>7</w:t>
      </w:r>
      <w:r w:rsidR="008D5DAB" w:rsidRPr="006D0ACA">
        <w:rPr>
          <w:noProof/>
        </w:rPr>
        <w:t xml:space="preserve">) amends Article 27 </w:t>
      </w:r>
      <w:r w:rsidR="00C06596">
        <w:rPr>
          <w:noProof/>
        </w:rPr>
        <w:t xml:space="preserve">of the </w:t>
      </w:r>
      <w:r w:rsidR="008D5DAB" w:rsidRPr="006D0ACA">
        <w:rPr>
          <w:noProof/>
        </w:rPr>
        <w:t>Eurojust Regulation, to allow for the continued handling of data in terrorism cases</w:t>
      </w:r>
      <w:r w:rsidR="004D181C" w:rsidRPr="7CC317AF">
        <w:rPr>
          <w:noProof/>
        </w:rPr>
        <w:t>,</w:t>
      </w:r>
      <w:r w:rsidR="008D5DAB" w:rsidRPr="006D0ACA">
        <w:rPr>
          <w:noProof/>
        </w:rPr>
        <w:t xml:space="preserve"> in which the cases were concluded under national law. </w:t>
      </w:r>
      <w:r w:rsidR="00C06596">
        <w:rPr>
          <w:noProof/>
        </w:rPr>
        <w:t>T</w:t>
      </w:r>
      <w:r w:rsidR="004D181C" w:rsidRPr="006D0ACA">
        <w:rPr>
          <w:noProof/>
        </w:rPr>
        <w:t xml:space="preserve">o enable </w:t>
      </w:r>
      <w:r w:rsidR="00C06596">
        <w:rPr>
          <w:noProof/>
        </w:rPr>
        <w:t xml:space="preserve">the </w:t>
      </w:r>
      <w:r w:rsidR="004D181C" w:rsidRPr="006D0ACA">
        <w:rPr>
          <w:noProof/>
        </w:rPr>
        <w:t>effective detection</w:t>
      </w:r>
      <w:r w:rsidR="00C06596">
        <w:rPr>
          <w:noProof/>
        </w:rPr>
        <w:t xml:space="preserve"> of</w:t>
      </w:r>
      <w:r w:rsidR="004D181C" w:rsidRPr="7CC317AF">
        <w:rPr>
          <w:noProof/>
        </w:rPr>
        <w:t xml:space="preserve"> </w:t>
      </w:r>
      <w:r w:rsidR="00C06596" w:rsidRPr="006D0ACA">
        <w:rPr>
          <w:noProof/>
        </w:rPr>
        <w:t>link</w:t>
      </w:r>
      <w:r w:rsidR="00C06596">
        <w:rPr>
          <w:noProof/>
        </w:rPr>
        <w:t>s</w:t>
      </w:r>
      <w:r w:rsidR="00C06596" w:rsidRPr="7CC317AF">
        <w:rPr>
          <w:noProof/>
        </w:rPr>
        <w:t xml:space="preserve"> </w:t>
      </w:r>
      <w:r w:rsidR="004D181C" w:rsidRPr="006D0ACA">
        <w:rPr>
          <w:noProof/>
        </w:rPr>
        <w:t xml:space="preserve">between investigations and prosecutions, also data about previous investigations, including those which ended in an acquittal or which </w:t>
      </w:r>
      <w:r w:rsidR="00150D79">
        <w:rPr>
          <w:noProof/>
        </w:rPr>
        <w:t>were</w:t>
      </w:r>
      <w:r w:rsidR="004D181C" w:rsidRPr="006D0ACA">
        <w:rPr>
          <w:noProof/>
        </w:rPr>
        <w:t xml:space="preserve"> concluded in another </w:t>
      </w:r>
      <w:r w:rsidR="00150D79">
        <w:rPr>
          <w:noProof/>
        </w:rPr>
        <w:t>way</w:t>
      </w:r>
      <w:r w:rsidR="004D181C" w:rsidRPr="006D0ACA">
        <w:rPr>
          <w:noProof/>
        </w:rPr>
        <w:t>, may continued to be processed for a certain amount of time.</w:t>
      </w:r>
    </w:p>
    <w:p w14:paraId="407327DD" w14:textId="05B8B20F" w:rsidR="008D5DAB" w:rsidRPr="006D0ACA" w:rsidRDefault="008D5DAB" w:rsidP="008D5DAB">
      <w:pPr>
        <w:rPr>
          <w:noProof/>
        </w:rPr>
      </w:pPr>
      <w:r w:rsidRPr="006D0ACA">
        <w:rPr>
          <w:noProof/>
        </w:rPr>
        <w:t>Article 1(</w:t>
      </w:r>
      <w:r w:rsidR="007D2CDA">
        <w:rPr>
          <w:noProof/>
        </w:rPr>
        <w:t>8</w:t>
      </w:r>
      <w:r w:rsidRPr="006D0ACA">
        <w:rPr>
          <w:noProof/>
        </w:rPr>
        <w:t xml:space="preserve">) introduces new, longer retention periods for data provided under Article 21a </w:t>
      </w:r>
      <w:r w:rsidR="00150D79">
        <w:rPr>
          <w:noProof/>
        </w:rPr>
        <w:t xml:space="preserve">of the Eurojust Regulation </w:t>
      </w:r>
      <w:r w:rsidRPr="006D0ACA">
        <w:rPr>
          <w:noProof/>
        </w:rPr>
        <w:t xml:space="preserve">to ensure data </w:t>
      </w:r>
      <w:r w:rsidR="00150D79">
        <w:rPr>
          <w:noProof/>
        </w:rPr>
        <w:t>are</w:t>
      </w:r>
      <w:r w:rsidRPr="006D0ACA">
        <w:rPr>
          <w:noProof/>
        </w:rPr>
        <w:t xml:space="preserve"> stored long enough to enable </w:t>
      </w:r>
      <w:r w:rsidR="004D181C" w:rsidRPr="006D0ACA">
        <w:rPr>
          <w:noProof/>
        </w:rPr>
        <w:t>more effective detection of</w:t>
      </w:r>
      <w:r w:rsidRPr="006D0ACA">
        <w:rPr>
          <w:noProof/>
        </w:rPr>
        <w:t xml:space="preserve"> cross-links in terrorism cases. </w:t>
      </w:r>
      <w:r w:rsidR="00150D79">
        <w:rPr>
          <w:noProof/>
        </w:rPr>
        <w:t>Data</w:t>
      </w:r>
      <w:r w:rsidR="00150D79" w:rsidRPr="7CC317AF">
        <w:rPr>
          <w:noProof/>
        </w:rPr>
        <w:t xml:space="preserve"> </w:t>
      </w:r>
      <w:r w:rsidR="004D181C" w:rsidRPr="006D0ACA">
        <w:rPr>
          <w:noProof/>
        </w:rPr>
        <w:t>in cases</w:t>
      </w:r>
      <w:r w:rsidR="004D181C" w:rsidRPr="7CC317AF">
        <w:rPr>
          <w:noProof/>
        </w:rPr>
        <w:t xml:space="preserve"> </w:t>
      </w:r>
      <w:r w:rsidR="00150D79">
        <w:rPr>
          <w:noProof/>
        </w:rPr>
        <w:t>that</w:t>
      </w:r>
      <w:r w:rsidR="00150D79" w:rsidRPr="7CC317AF">
        <w:rPr>
          <w:noProof/>
        </w:rPr>
        <w:t xml:space="preserve"> </w:t>
      </w:r>
      <w:r w:rsidR="004D181C" w:rsidRPr="006D0ACA">
        <w:rPr>
          <w:noProof/>
        </w:rPr>
        <w:t xml:space="preserve">did not result in a conviction, have shorter retention periods </w:t>
      </w:r>
      <w:r w:rsidR="00150D79">
        <w:rPr>
          <w:noProof/>
        </w:rPr>
        <w:t>to comply with the</w:t>
      </w:r>
      <w:r w:rsidR="004D181C" w:rsidRPr="006D0ACA">
        <w:rPr>
          <w:noProof/>
        </w:rPr>
        <w:t xml:space="preserve"> proportional</w:t>
      </w:r>
      <w:r w:rsidR="00150D79">
        <w:rPr>
          <w:noProof/>
        </w:rPr>
        <w:t>ity principle</w:t>
      </w:r>
      <w:r w:rsidR="004D181C" w:rsidRPr="7CC317AF">
        <w:rPr>
          <w:noProof/>
        </w:rPr>
        <w:t xml:space="preserve">. </w:t>
      </w:r>
    </w:p>
    <w:p w14:paraId="1CCD284C" w14:textId="59DBA5D0" w:rsidR="00584C80" w:rsidRDefault="003737F8" w:rsidP="008D5DAB">
      <w:pPr>
        <w:rPr>
          <w:noProof/>
        </w:rPr>
      </w:pPr>
      <w:r>
        <w:rPr>
          <w:noProof/>
        </w:rPr>
        <w:t>T</w:t>
      </w:r>
      <w:r w:rsidR="008D5DAB" w:rsidRPr="006D0ACA">
        <w:rPr>
          <w:noProof/>
        </w:rPr>
        <w:t xml:space="preserve">o clarify the cooperation with third country </w:t>
      </w:r>
      <w:r>
        <w:rPr>
          <w:noProof/>
        </w:rPr>
        <w:t>LPs</w:t>
      </w:r>
      <w:r w:rsidR="009A024F" w:rsidRPr="006D0ACA">
        <w:rPr>
          <w:noProof/>
        </w:rPr>
        <w:t xml:space="preserve"> at Eurojust, Article 1</w:t>
      </w:r>
      <w:r w:rsidR="00AA7ACB">
        <w:rPr>
          <w:noProof/>
        </w:rPr>
        <w:t>(9</w:t>
      </w:r>
      <w:r w:rsidR="008D5DAB" w:rsidRPr="006D0ACA">
        <w:rPr>
          <w:noProof/>
        </w:rPr>
        <w:t>) of the propos</w:t>
      </w:r>
      <w:r>
        <w:rPr>
          <w:noProof/>
        </w:rPr>
        <w:t>al</w:t>
      </w:r>
      <w:r w:rsidR="008D5DAB" w:rsidRPr="7CC317AF">
        <w:rPr>
          <w:noProof/>
        </w:rPr>
        <w:t xml:space="preserve"> </w:t>
      </w:r>
      <w:r>
        <w:rPr>
          <w:noProof/>
        </w:rPr>
        <w:t>provides for</w:t>
      </w:r>
      <w:r w:rsidRPr="7CC317AF">
        <w:rPr>
          <w:noProof/>
        </w:rPr>
        <w:t xml:space="preserve"> </w:t>
      </w:r>
      <w:r w:rsidR="008D5DAB" w:rsidRPr="006D0ACA">
        <w:rPr>
          <w:noProof/>
        </w:rPr>
        <w:t xml:space="preserve">a new Article 54a </w:t>
      </w:r>
      <w:r w:rsidR="004E682B">
        <w:rPr>
          <w:noProof/>
        </w:rPr>
        <w:t xml:space="preserve">of the </w:t>
      </w:r>
      <w:r w:rsidR="008D5DAB" w:rsidRPr="006D0ACA">
        <w:rPr>
          <w:noProof/>
        </w:rPr>
        <w:t xml:space="preserve">Eurojust Regulation, granting third country </w:t>
      </w:r>
      <w:r w:rsidR="004E682B">
        <w:rPr>
          <w:noProof/>
        </w:rPr>
        <w:t>LPs</w:t>
      </w:r>
      <w:r w:rsidR="008D5DAB" w:rsidRPr="006D0ACA">
        <w:rPr>
          <w:noProof/>
        </w:rPr>
        <w:t xml:space="preserve"> access to the </w:t>
      </w:r>
      <w:r w:rsidR="004E682B">
        <w:rPr>
          <w:noProof/>
        </w:rPr>
        <w:t>CMS</w:t>
      </w:r>
      <w:r w:rsidR="008D5DAB" w:rsidRPr="7CC317AF">
        <w:rPr>
          <w:noProof/>
        </w:rPr>
        <w:t>.</w:t>
      </w:r>
      <w:r w:rsidR="00EE507D" w:rsidRPr="7CC317AF">
        <w:rPr>
          <w:noProof/>
        </w:rPr>
        <w:t xml:space="preserve"> </w:t>
      </w:r>
      <w:r w:rsidR="004E682B">
        <w:rPr>
          <w:noProof/>
        </w:rPr>
        <w:t>However, t</w:t>
      </w:r>
      <w:r w:rsidR="00EE507D" w:rsidRPr="006D0ACA">
        <w:rPr>
          <w:noProof/>
        </w:rPr>
        <w:t xml:space="preserve">he provision does not establish a legal basis for </w:t>
      </w:r>
      <w:r w:rsidR="00E134B7">
        <w:rPr>
          <w:noProof/>
        </w:rPr>
        <w:t xml:space="preserve">sharing </w:t>
      </w:r>
      <w:r w:rsidR="00EE507D" w:rsidRPr="006D0ACA">
        <w:rPr>
          <w:noProof/>
        </w:rPr>
        <w:t xml:space="preserve">data. The transfer of data to a </w:t>
      </w:r>
      <w:r w:rsidR="004E682B">
        <w:rPr>
          <w:noProof/>
        </w:rPr>
        <w:t>LP</w:t>
      </w:r>
      <w:r w:rsidR="00EE507D" w:rsidRPr="006D0ACA">
        <w:rPr>
          <w:noProof/>
        </w:rPr>
        <w:t xml:space="preserve"> is a data transfer to a third country and therefore always has to be conducted in line with Article 56 </w:t>
      </w:r>
      <w:r w:rsidR="004E682B">
        <w:rPr>
          <w:noProof/>
        </w:rPr>
        <w:t xml:space="preserve">of the </w:t>
      </w:r>
      <w:r w:rsidR="00EE507D" w:rsidRPr="006D0ACA">
        <w:rPr>
          <w:noProof/>
        </w:rPr>
        <w:t>Eurojust Regulation.</w:t>
      </w:r>
    </w:p>
    <w:p w14:paraId="5A7500BE" w14:textId="7EE1EB10" w:rsidR="008E4B0E" w:rsidRPr="006D0ACA" w:rsidRDefault="008E4B0E" w:rsidP="008D5DAB">
      <w:pPr>
        <w:rPr>
          <w:noProof/>
        </w:rPr>
      </w:pPr>
      <w:r w:rsidRPr="008E4B0E">
        <w:rPr>
          <w:noProof/>
        </w:rPr>
        <w:t>Article 1(1</w:t>
      </w:r>
      <w:r>
        <w:rPr>
          <w:noProof/>
        </w:rPr>
        <w:t>0</w:t>
      </w:r>
      <w:r w:rsidRPr="008E4B0E">
        <w:rPr>
          <w:noProof/>
        </w:rPr>
        <w:t>) amends Article 80 of the Eurojust Regulation. It contains transitional provisions, taking into account that it will take a certain amount of time until the necessary technical infrastructure is in place.</w:t>
      </w:r>
    </w:p>
    <w:p w14:paraId="058FAB61" w14:textId="111377E2" w:rsidR="00584C80" w:rsidRDefault="00DD1087" w:rsidP="160710AA">
      <w:pPr>
        <w:rPr>
          <w:noProof/>
        </w:rPr>
      </w:pPr>
      <w:r w:rsidRPr="006D0ACA">
        <w:rPr>
          <w:noProof/>
        </w:rPr>
        <w:t>Article 1(</w:t>
      </w:r>
      <w:r w:rsidR="00AA7ACB">
        <w:rPr>
          <w:noProof/>
        </w:rPr>
        <w:t>1</w:t>
      </w:r>
      <w:r w:rsidR="008E4B0E">
        <w:rPr>
          <w:noProof/>
        </w:rPr>
        <w:t>1</w:t>
      </w:r>
      <w:r w:rsidRPr="006D0ACA">
        <w:rPr>
          <w:noProof/>
        </w:rPr>
        <w:t xml:space="preserve">) </w:t>
      </w:r>
      <w:r w:rsidR="00AA7ACB">
        <w:rPr>
          <w:noProof/>
        </w:rPr>
        <w:t xml:space="preserve">introduces a new Annex III, </w:t>
      </w:r>
      <w:r w:rsidR="003334EF">
        <w:rPr>
          <w:noProof/>
        </w:rPr>
        <w:t>setting out</w:t>
      </w:r>
      <w:r w:rsidR="00E134B7">
        <w:rPr>
          <w:noProof/>
        </w:rPr>
        <w:t xml:space="preserve"> the </w:t>
      </w:r>
      <w:r w:rsidRPr="006D0ACA">
        <w:rPr>
          <w:noProof/>
        </w:rPr>
        <w:t>information to be sen</w:t>
      </w:r>
      <w:r w:rsidR="00E134B7">
        <w:rPr>
          <w:noProof/>
        </w:rPr>
        <w:t>t</w:t>
      </w:r>
      <w:r w:rsidRPr="006D0ACA">
        <w:rPr>
          <w:noProof/>
        </w:rPr>
        <w:t xml:space="preserve"> to Eurojust under Article 21a</w:t>
      </w:r>
      <w:r w:rsidR="00E134B7">
        <w:rPr>
          <w:noProof/>
        </w:rPr>
        <w:t xml:space="preserve"> of the Eurojust Regulation</w:t>
      </w:r>
      <w:r w:rsidRPr="006D0ACA">
        <w:rPr>
          <w:noProof/>
        </w:rPr>
        <w:t xml:space="preserve">. The list includes biometric data, fingerprints and photographs to ensure the reliable identification of suspects, taking into account the unreliability of alphanumerical information, especially </w:t>
      </w:r>
      <w:r w:rsidR="001A7678" w:rsidRPr="006D0ACA">
        <w:rPr>
          <w:noProof/>
        </w:rPr>
        <w:t>concerning</w:t>
      </w:r>
      <w:r w:rsidRPr="006D0ACA">
        <w:rPr>
          <w:noProof/>
        </w:rPr>
        <w:t xml:space="preserve"> third country nationals. </w:t>
      </w:r>
      <w:r w:rsidR="001A7678" w:rsidRPr="006D0ACA">
        <w:rPr>
          <w:noProof/>
        </w:rPr>
        <w:t xml:space="preserve">In terrorism proceedings, a photograph is often the only link to the suspects in the investigative phase, which is why facial recognition </w:t>
      </w:r>
      <w:r w:rsidR="00E134B7">
        <w:rPr>
          <w:noProof/>
        </w:rPr>
        <w:t>should</w:t>
      </w:r>
      <w:r w:rsidR="00E134B7" w:rsidRPr="7CC317AF">
        <w:rPr>
          <w:noProof/>
        </w:rPr>
        <w:t xml:space="preserve"> </w:t>
      </w:r>
      <w:r w:rsidR="001A7678" w:rsidRPr="006D0ACA">
        <w:rPr>
          <w:noProof/>
        </w:rPr>
        <w:t xml:space="preserve">also to be included. </w:t>
      </w:r>
      <w:r w:rsidR="009A024F" w:rsidRPr="006D0ACA">
        <w:rPr>
          <w:noProof/>
        </w:rPr>
        <w:t xml:space="preserve">This information </w:t>
      </w:r>
      <w:r w:rsidR="00E134B7">
        <w:rPr>
          <w:noProof/>
        </w:rPr>
        <w:t>should</w:t>
      </w:r>
      <w:r w:rsidR="009A024F" w:rsidRPr="006D0ACA">
        <w:rPr>
          <w:noProof/>
        </w:rPr>
        <w:t xml:space="preserve"> only to be provided if the national </w:t>
      </w:r>
      <w:r w:rsidR="00585048" w:rsidRPr="006D0ACA">
        <w:rPr>
          <w:noProof/>
        </w:rPr>
        <w:t xml:space="preserve">judicial </w:t>
      </w:r>
      <w:r w:rsidR="009A024F" w:rsidRPr="006D0ACA">
        <w:rPr>
          <w:noProof/>
        </w:rPr>
        <w:t>authorities have access to it.</w:t>
      </w:r>
    </w:p>
    <w:p w14:paraId="4F4EA302" w14:textId="1A620C20" w:rsidR="00200E65" w:rsidRPr="006D0ACA" w:rsidRDefault="00200E65" w:rsidP="00585048">
      <w:pPr>
        <w:rPr>
          <w:noProof/>
        </w:rPr>
      </w:pPr>
    </w:p>
    <w:p w14:paraId="73AE4B74" w14:textId="77777777" w:rsidR="00C73165" w:rsidRPr="006D0ACA" w:rsidRDefault="00584C80" w:rsidP="00C73165">
      <w:pPr>
        <w:pBdr>
          <w:top w:val="nil"/>
          <w:left w:val="nil"/>
          <w:bottom w:val="nil"/>
          <w:right w:val="nil"/>
          <w:between w:val="nil"/>
          <w:bar w:val="nil"/>
        </w:pBdr>
        <w:spacing w:before="0" w:after="240"/>
        <w:rPr>
          <w:noProof/>
        </w:rPr>
      </w:pPr>
      <w:r w:rsidRPr="006D0ACA">
        <w:rPr>
          <w:noProof/>
        </w:rPr>
        <w:t xml:space="preserve">Article 2 </w:t>
      </w:r>
      <w:r w:rsidR="00D96747" w:rsidRPr="006D0ACA">
        <w:rPr>
          <w:noProof/>
        </w:rPr>
        <w:t>amends</w:t>
      </w:r>
      <w:r w:rsidR="00C73165" w:rsidRPr="006D0ACA">
        <w:rPr>
          <w:noProof/>
        </w:rPr>
        <w:t xml:space="preserve"> Council Decision 2005/671/JHA</w:t>
      </w:r>
      <w:r w:rsidR="006136DC" w:rsidRPr="006D0ACA">
        <w:rPr>
          <w:noProof/>
        </w:rPr>
        <w:t xml:space="preserve"> on the following points</w:t>
      </w:r>
      <w:r w:rsidR="00C73165" w:rsidRPr="006D0ACA">
        <w:rPr>
          <w:noProof/>
        </w:rPr>
        <w:t>:</w:t>
      </w:r>
    </w:p>
    <w:p w14:paraId="00918938" w14:textId="6D0CB5DD" w:rsidR="00D96747" w:rsidRPr="002B1990" w:rsidRDefault="00E134B7" w:rsidP="00D96747">
      <w:pPr>
        <w:rPr>
          <w:noProof/>
          <w:color w:val="000000" w:themeColor="text1"/>
        </w:rPr>
      </w:pPr>
      <w:r>
        <w:rPr>
          <w:noProof/>
        </w:rPr>
        <w:t>T</w:t>
      </w:r>
      <w:r w:rsidR="000A52BB" w:rsidRPr="006D0ACA">
        <w:rPr>
          <w:noProof/>
        </w:rPr>
        <w:t>o clarify the relationship between Council Decision 2005/671/JHA and the Eurojust Regulation, the references to Eurojust in the Council Decision are carved out. Article 2(1)</w:t>
      </w:r>
      <w:r w:rsidR="007D2CDA">
        <w:rPr>
          <w:noProof/>
        </w:rPr>
        <w:t>, Article 2(2) point (a) and point (c) of the proposed Regulation</w:t>
      </w:r>
      <w:r w:rsidR="000A52BB" w:rsidRPr="006D0ACA">
        <w:rPr>
          <w:noProof/>
        </w:rPr>
        <w:t xml:space="preserve"> delete </w:t>
      </w:r>
      <w:r w:rsidR="00A8552E" w:rsidRPr="006D0ACA">
        <w:rPr>
          <w:noProof/>
        </w:rPr>
        <w:t xml:space="preserve">Article 1 point </w:t>
      </w:r>
      <w:r w:rsidR="007D2CDA">
        <w:rPr>
          <w:noProof/>
        </w:rPr>
        <w:t>(</w:t>
      </w:r>
      <w:r w:rsidR="00A8552E" w:rsidRPr="006D0ACA">
        <w:rPr>
          <w:noProof/>
        </w:rPr>
        <w:t>c</w:t>
      </w:r>
      <w:r w:rsidR="007D2CDA">
        <w:rPr>
          <w:noProof/>
        </w:rPr>
        <w:t>)</w:t>
      </w:r>
      <w:r w:rsidR="00A8552E" w:rsidRPr="006D0ACA">
        <w:rPr>
          <w:noProof/>
        </w:rPr>
        <w:t xml:space="preserve"> and Article 2</w:t>
      </w:r>
      <w:r w:rsidR="007D2CDA">
        <w:rPr>
          <w:noProof/>
        </w:rPr>
        <w:t>(2) and</w:t>
      </w:r>
      <w:r w:rsidR="00AA7ACB">
        <w:rPr>
          <w:noProof/>
        </w:rPr>
        <w:t xml:space="preserve"> </w:t>
      </w:r>
      <w:r w:rsidR="006356F5" w:rsidRPr="006D0ACA">
        <w:rPr>
          <w:noProof/>
        </w:rPr>
        <w:t xml:space="preserve">(5) </w:t>
      </w:r>
      <w:r w:rsidR="00EE507D" w:rsidRPr="006D0ACA">
        <w:rPr>
          <w:noProof/>
        </w:rPr>
        <w:t>from</w:t>
      </w:r>
      <w:r w:rsidR="000A52BB" w:rsidRPr="006D0ACA">
        <w:rPr>
          <w:noProof/>
        </w:rPr>
        <w:t xml:space="preserve"> the Decision. </w:t>
      </w:r>
      <w:r w:rsidR="007D2CDA">
        <w:rPr>
          <w:noProof/>
        </w:rPr>
        <w:t>In Article 2(2) point (b), t</w:t>
      </w:r>
      <w:r w:rsidR="006356F5" w:rsidRPr="006D0ACA">
        <w:rPr>
          <w:noProof/>
        </w:rPr>
        <w:t>he propos</w:t>
      </w:r>
      <w:r w:rsidR="00121E2C">
        <w:rPr>
          <w:noProof/>
        </w:rPr>
        <w:t xml:space="preserve">al </w:t>
      </w:r>
      <w:r w:rsidR="006356F5" w:rsidRPr="006D0ACA">
        <w:rPr>
          <w:noProof/>
        </w:rPr>
        <w:t>removes the reference to Eurojust from Article 2(3) of the Decision</w:t>
      </w:r>
      <w:r w:rsidR="00D96747" w:rsidRPr="7CC317AF">
        <w:rPr>
          <w:noProof/>
        </w:rPr>
        <w:t>.</w:t>
      </w:r>
      <w:r w:rsidR="00D96747" w:rsidRPr="002B1990">
        <w:rPr>
          <w:noProof/>
          <w:color w:val="000000" w:themeColor="text1"/>
        </w:rPr>
        <w:t xml:space="preserve"> </w:t>
      </w:r>
    </w:p>
    <w:p w14:paraId="70C3E11C" w14:textId="77777777" w:rsidR="00D96747" w:rsidRPr="006D0ACA" w:rsidRDefault="00D96747" w:rsidP="00D96747">
      <w:pPr>
        <w:rPr>
          <w:noProof/>
        </w:rPr>
      </w:pPr>
    </w:p>
    <w:p w14:paraId="259FE02A" w14:textId="77777777" w:rsidR="00EB0A3C" w:rsidRPr="00F96E01" w:rsidRDefault="00EB0A3C" w:rsidP="00715ADE">
      <w:pPr>
        <w:rPr>
          <w:noProof/>
        </w:rPr>
        <w:sectPr w:rsidR="00EB0A3C" w:rsidRPr="00F96E01" w:rsidSect="00A618F2">
          <w:footerReference w:type="default" r:id="rId13"/>
          <w:footerReference w:type="first" r:id="rId14"/>
          <w:pgSz w:w="11907" w:h="16839"/>
          <w:pgMar w:top="1134" w:right="1417" w:bottom="1134" w:left="1417" w:header="709" w:footer="709" w:gutter="0"/>
          <w:cols w:space="708"/>
          <w:docGrid w:linePitch="360"/>
        </w:sectPr>
      </w:pPr>
    </w:p>
    <w:p w14:paraId="5FBAF423" w14:textId="35A9DBBB" w:rsidR="005E020D" w:rsidRDefault="003401B6" w:rsidP="003401B6">
      <w:pPr>
        <w:pStyle w:val="Rfrenceinterinstitutionnelle"/>
        <w:rPr>
          <w:noProof/>
        </w:rPr>
      </w:pPr>
      <w:r w:rsidRPr="003401B6">
        <w:t>2021/0393 (COD)</w:t>
      </w:r>
    </w:p>
    <w:p w14:paraId="016781CE" w14:textId="3203B133" w:rsidR="00EB0A3C" w:rsidRPr="00F96E01" w:rsidRDefault="007A1133" w:rsidP="007A1133">
      <w:pPr>
        <w:pStyle w:val="Statut"/>
        <w:rPr>
          <w:noProof/>
        </w:rPr>
      </w:pPr>
      <w:r w:rsidRPr="007A1133">
        <w:rPr>
          <w:noProof/>
        </w:rPr>
        <w:t>Proposal for a</w:t>
      </w:r>
    </w:p>
    <w:p w14:paraId="7AEB6771" w14:textId="0A71BFB6" w:rsidR="00EB0A3C" w:rsidRPr="00F96E01" w:rsidRDefault="007A1133" w:rsidP="007A1133">
      <w:pPr>
        <w:pStyle w:val="Typedudocument"/>
        <w:rPr>
          <w:noProof/>
        </w:rPr>
      </w:pPr>
      <w:r w:rsidRPr="007A1133">
        <w:rPr>
          <w:noProof/>
        </w:rPr>
        <w:t>REGULATION OF THE EUROPEAN PARLIAMENT AND OF THE COUNCIL</w:t>
      </w:r>
    </w:p>
    <w:p w14:paraId="33EC4F51" w14:textId="1666DF97" w:rsidR="00EB0A3C" w:rsidRPr="00DB5074" w:rsidRDefault="007A1133" w:rsidP="007A1133">
      <w:pPr>
        <w:pStyle w:val="Titreobjet"/>
        <w:rPr>
          <w:noProof/>
        </w:rPr>
      </w:pPr>
      <w:r w:rsidRPr="007A1133">
        <w:rPr>
          <w:noProof/>
        </w:rPr>
        <w:t>amending Regulation (EU) 2018/1727 of the European Parliament and the Council and Council Decision 2005/671/JHA, as regards the digital information exchange in terrorism cases</w:t>
      </w:r>
    </w:p>
    <w:p w14:paraId="0BAB9FC9" w14:textId="77777777" w:rsidR="00EB0A3C" w:rsidRPr="00DB5074" w:rsidRDefault="00EB0A3C" w:rsidP="00715ADE">
      <w:pPr>
        <w:pStyle w:val="Institutionquiagit"/>
        <w:rPr>
          <w:noProof/>
        </w:rPr>
      </w:pPr>
      <w:r w:rsidRPr="00DB5074">
        <w:rPr>
          <w:noProof/>
        </w:rPr>
        <w:t>THE EUROPEAN PARLIAMENT AND THE COUNCIL OF THE EUROPEAN UNION,</w:t>
      </w:r>
    </w:p>
    <w:p w14:paraId="521D8ED3" w14:textId="6F38E102" w:rsidR="00EB0A3C" w:rsidRPr="00DB5074" w:rsidRDefault="00EB0A3C" w:rsidP="00715ADE">
      <w:pPr>
        <w:rPr>
          <w:noProof/>
        </w:rPr>
      </w:pPr>
      <w:r w:rsidRPr="00DB5074">
        <w:rPr>
          <w:noProof/>
        </w:rPr>
        <w:t xml:space="preserve">Having regard to the Treaty on the Functioning of the European Union, and in particular Article </w:t>
      </w:r>
      <w:r w:rsidR="00F84649" w:rsidRPr="00DB5074">
        <w:rPr>
          <w:noProof/>
          <w:lang w:val="en-US"/>
        </w:rPr>
        <w:t>85</w:t>
      </w:r>
      <w:r w:rsidRPr="00DB5074">
        <w:rPr>
          <w:noProof/>
        </w:rPr>
        <w:t xml:space="preserve"> thereof,</w:t>
      </w:r>
    </w:p>
    <w:p w14:paraId="52FD2651" w14:textId="77777777" w:rsidR="00EB0A3C" w:rsidRPr="00DB5074" w:rsidRDefault="00EB0A3C" w:rsidP="00715ADE">
      <w:pPr>
        <w:rPr>
          <w:noProof/>
        </w:rPr>
      </w:pPr>
      <w:r w:rsidRPr="00DB5074">
        <w:rPr>
          <w:noProof/>
        </w:rPr>
        <w:t>Having regard to the proposal from the European Commission,</w:t>
      </w:r>
    </w:p>
    <w:p w14:paraId="54B3E052" w14:textId="77777777" w:rsidR="00EB0A3C" w:rsidRPr="00DB5074" w:rsidRDefault="00EB0A3C" w:rsidP="00715ADE">
      <w:pPr>
        <w:rPr>
          <w:noProof/>
        </w:rPr>
      </w:pPr>
      <w:r w:rsidRPr="00DB5074">
        <w:rPr>
          <w:noProof/>
        </w:rPr>
        <w:t>After transmission of the draft legislative act to the national parliaments,</w:t>
      </w:r>
    </w:p>
    <w:p w14:paraId="1B16948B" w14:textId="7E207F0C" w:rsidR="00EB0A3C" w:rsidRPr="00715ADE" w:rsidRDefault="00EB0A3C" w:rsidP="00715ADE">
      <w:pPr>
        <w:rPr>
          <w:noProof/>
        </w:rPr>
      </w:pPr>
      <w:r w:rsidRPr="00DB5074">
        <w:rPr>
          <w:noProof/>
        </w:rPr>
        <w:t>Acting in accordance with the ordinary legislative procedure</w:t>
      </w:r>
      <w:r w:rsidR="00715ADE">
        <w:rPr>
          <w:rStyle w:val="FootnoteReference"/>
          <w:noProof/>
        </w:rPr>
        <w:footnoteReference w:id="32"/>
      </w:r>
      <w:r w:rsidRPr="58C9E2C4">
        <w:rPr>
          <w:noProof/>
        </w:rPr>
        <w:t>,</w:t>
      </w:r>
    </w:p>
    <w:p w14:paraId="4C4D5CE8" w14:textId="77777777" w:rsidR="00EB0A3C" w:rsidRPr="00DB5074" w:rsidRDefault="00EB0A3C" w:rsidP="00715ADE">
      <w:pPr>
        <w:rPr>
          <w:noProof/>
        </w:rPr>
      </w:pPr>
      <w:r w:rsidRPr="00DB5074">
        <w:rPr>
          <w:noProof/>
        </w:rPr>
        <w:t>Whereas:</w:t>
      </w:r>
    </w:p>
    <w:p w14:paraId="4EF203E7" w14:textId="5E4CE6E9" w:rsidR="00F84649" w:rsidRPr="00DB5074" w:rsidRDefault="00306677" w:rsidP="00306677">
      <w:pPr>
        <w:pStyle w:val="ManualConsidrant"/>
        <w:rPr>
          <w:noProof/>
          <w:lang w:val="en-US"/>
        </w:rPr>
      </w:pPr>
      <w:r w:rsidRPr="00306677">
        <w:t>(1)</w:t>
      </w:r>
      <w:r w:rsidRPr="00306677">
        <w:tab/>
      </w:r>
      <w:r w:rsidR="00F84649" w:rsidRPr="00DB5074">
        <w:rPr>
          <w:noProof/>
          <w:lang w:val="en-US"/>
        </w:rPr>
        <w:t>Regulation (EU) 2018/1727 of the European Parliament and of the Council</w:t>
      </w:r>
      <w:r w:rsidR="00715ADE">
        <w:rPr>
          <w:rStyle w:val="FootnoteReference"/>
          <w:noProof/>
          <w:lang w:val="en-US"/>
        </w:rPr>
        <w:footnoteReference w:id="33"/>
      </w:r>
      <w:r w:rsidR="00715ADE">
        <w:rPr>
          <w:noProof/>
          <w:vertAlign w:val="superscript"/>
          <w:lang w:val="en-US"/>
        </w:rPr>
        <w:t xml:space="preserve"> </w:t>
      </w:r>
      <w:r w:rsidR="002B14C9" w:rsidRPr="002B14C9">
        <w:rPr>
          <w:noProof/>
        </w:rPr>
        <w:t>established</w:t>
      </w:r>
      <w:r w:rsidR="002B14C9" w:rsidRPr="002B14C9">
        <w:rPr>
          <w:noProof/>
          <w:vertAlign w:val="superscript"/>
        </w:rPr>
        <w:t xml:space="preserve"> </w:t>
      </w:r>
      <w:r w:rsidR="002B14C9" w:rsidRPr="002B14C9">
        <w:rPr>
          <w:noProof/>
          <w:lang w:val="en-US"/>
        </w:rPr>
        <w:t>Eurojust and sets out its tasks, competence and functions.</w:t>
      </w:r>
    </w:p>
    <w:p w14:paraId="358C83AB" w14:textId="0823BE6C" w:rsidR="00F84649" w:rsidRPr="00DB5074" w:rsidRDefault="00306677" w:rsidP="00306677">
      <w:pPr>
        <w:pStyle w:val="ManualConsidrant"/>
        <w:rPr>
          <w:noProof/>
          <w:lang w:val="en-US"/>
        </w:rPr>
      </w:pPr>
      <w:r w:rsidRPr="00306677">
        <w:t>(2)</w:t>
      </w:r>
      <w:r w:rsidRPr="00306677">
        <w:tab/>
      </w:r>
      <w:r w:rsidR="00F84649" w:rsidRPr="00DB5074">
        <w:rPr>
          <w:noProof/>
          <w:lang w:val="en-US"/>
        </w:rPr>
        <w:t>Council Decision 2005/671/JHA</w:t>
      </w:r>
      <w:r w:rsidR="00715ADE">
        <w:rPr>
          <w:rStyle w:val="FootnoteReference"/>
          <w:noProof/>
          <w:lang w:val="en-US"/>
        </w:rPr>
        <w:footnoteReference w:id="34"/>
      </w:r>
      <w:r w:rsidR="00F04081">
        <w:rPr>
          <w:noProof/>
          <w:lang w:val="en-US"/>
        </w:rPr>
        <w:t xml:space="preserve"> </w:t>
      </w:r>
      <w:r w:rsidR="00F84649" w:rsidRPr="00DB5074">
        <w:rPr>
          <w:noProof/>
          <w:lang w:val="en-US"/>
        </w:rPr>
        <w:t xml:space="preserve">sets out that in order to combat terrorism it is essential to have the fullest and most up-to-date information possible. It obliges Member States’ competent national authorities to provide Eurojust </w:t>
      </w:r>
      <w:r w:rsidR="001E388E">
        <w:rPr>
          <w:noProof/>
          <w:lang w:val="en-US"/>
        </w:rPr>
        <w:t xml:space="preserve">with </w:t>
      </w:r>
      <w:r w:rsidR="00F84649" w:rsidRPr="00DB5074">
        <w:rPr>
          <w:noProof/>
          <w:lang w:val="en-US"/>
        </w:rPr>
        <w:t>information on prosecutions and convictions for terrorist offences, which affect or may affect two or more Member States.</w:t>
      </w:r>
    </w:p>
    <w:p w14:paraId="6AA40D49" w14:textId="393D84FD" w:rsidR="00F84649" w:rsidRPr="00DB5074" w:rsidRDefault="00306677" w:rsidP="00306677">
      <w:pPr>
        <w:pStyle w:val="ManualConsidrant"/>
        <w:rPr>
          <w:noProof/>
          <w:lang w:val="en-US"/>
        </w:rPr>
      </w:pPr>
      <w:r w:rsidRPr="00306677">
        <w:t>(3)</w:t>
      </w:r>
      <w:r w:rsidRPr="00306677">
        <w:tab/>
      </w:r>
      <w:r w:rsidR="00F84649" w:rsidRPr="00DB5074">
        <w:rPr>
          <w:noProof/>
          <w:lang w:val="en-US"/>
        </w:rPr>
        <w:t>Inconsistencies in the interpretation of Decision 2005/671/</w:t>
      </w:r>
      <w:r w:rsidR="00F84649" w:rsidRPr="006C1CA7">
        <w:rPr>
          <w:noProof/>
          <w:lang w:val="en-US"/>
        </w:rPr>
        <w:t>JHA cause that information</w:t>
      </w:r>
      <w:r w:rsidR="00F84649" w:rsidRPr="00DB5074">
        <w:rPr>
          <w:noProof/>
          <w:lang w:val="en-US"/>
        </w:rPr>
        <w:t xml:space="preserve"> is not shared at the right time, not the </w:t>
      </w:r>
      <w:r w:rsidR="00E56C74">
        <w:rPr>
          <w:noProof/>
          <w:lang w:val="en-US"/>
        </w:rPr>
        <w:t xml:space="preserve">appropriate </w:t>
      </w:r>
      <w:r w:rsidR="00F84649" w:rsidRPr="00DB5074">
        <w:rPr>
          <w:noProof/>
          <w:lang w:val="en-US"/>
        </w:rPr>
        <w:t xml:space="preserve">information is shared </w:t>
      </w:r>
      <w:r w:rsidR="002B14C9">
        <w:rPr>
          <w:noProof/>
          <w:lang w:val="en-US"/>
        </w:rPr>
        <w:t>or</w:t>
      </w:r>
      <w:r w:rsidR="002B14C9" w:rsidRPr="00DB5074">
        <w:rPr>
          <w:noProof/>
          <w:lang w:val="en-US"/>
        </w:rPr>
        <w:t xml:space="preserve"> </w:t>
      </w:r>
      <w:r w:rsidR="00F84649" w:rsidRPr="00DB5074">
        <w:rPr>
          <w:noProof/>
          <w:lang w:val="en-US"/>
        </w:rPr>
        <w:t>information is not shared at all. Eurojust needs to receive sufficient information to identify links between cross-border investigations.</w:t>
      </w:r>
    </w:p>
    <w:p w14:paraId="329EA561" w14:textId="5929F233" w:rsidR="00F84649" w:rsidRPr="00DB5074" w:rsidRDefault="00306677" w:rsidP="00306677">
      <w:pPr>
        <w:pStyle w:val="ManualConsidrant"/>
        <w:rPr>
          <w:noProof/>
          <w:lang w:val="en-US"/>
        </w:rPr>
      </w:pPr>
      <w:r w:rsidRPr="00306677">
        <w:t>(4)</w:t>
      </w:r>
      <w:r w:rsidRPr="00306677">
        <w:tab/>
      </w:r>
      <w:r w:rsidR="00F84649" w:rsidRPr="00DB5074">
        <w:rPr>
          <w:noProof/>
          <w:lang w:val="en-US"/>
        </w:rPr>
        <w:t xml:space="preserve">Assisting the competent authorities of the Member States in ensuring the best possible coordination of investigations and prosecutions, including the identification of links, is an important task of Eurojust under Regulation (EU) 2018/1727. It enables Eurojust to take a more proactive approach and provide better services to the Member States, for example suggesting the initiation of investigations, identifying coordination needs, potential cases of </w:t>
      </w:r>
      <w:r w:rsidR="00F84649" w:rsidRPr="160710AA">
        <w:rPr>
          <w:i/>
          <w:iCs/>
          <w:noProof/>
          <w:lang w:val="en-US"/>
        </w:rPr>
        <w:t>ne bis in idem</w:t>
      </w:r>
      <w:r w:rsidR="00F84649" w:rsidRPr="00DB5074">
        <w:rPr>
          <w:noProof/>
          <w:lang w:val="en-US"/>
        </w:rPr>
        <w:t xml:space="preserve"> and prosecution gaps. </w:t>
      </w:r>
    </w:p>
    <w:p w14:paraId="0B3B3762" w14:textId="3E2CD667" w:rsidR="00DB5074" w:rsidRPr="00C87E61" w:rsidRDefault="00306677" w:rsidP="00306677">
      <w:pPr>
        <w:pStyle w:val="ManualConsidrant"/>
        <w:rPr>
          <w:noProof/>
        </w:rPr>
      </w:pPr>
      <w:r w:rsidRPr="00306677">
        <w:t>(5)</w:t>
      </w:r>
      <w:r w:rsidRPr="00306677">
        <w:tab/>
      </w:r>
      <w:r w:rsidR="002B14C9">
        <w:rPr>
          <w:noProof/>
        </w:rPr>
        <w:t xml:space="preserve">In September </w:t>
      </w:r>
      <w:r w:rsidR="003046FD">
        <w:rPr>
          <w:noProof/>
        </w:rPr>
        <w:t>2019,</w:t>
      </w:r>
      <w:r w:rsidR="002B14C9" w:rsidRPr="7CC317AF">
        <w:rPr>
          <w:noProof/>
        </w:rPr>
        <w:t xml:space="preserve"> </w:t>
      </w:r>
      <w:r w:rsidR="00DB5074">
        <w:rPr>
          <w:noProof/>
        </w:rPr>
        <w:t xml:space="preserve">Eurojust has set up </w:t>
      </w:r>
      <w:r w:rsidR="00DB5074" w:rsidRPr="00A50977">
        <w:rPr>
          <w:noProof/>
        </w:rPr>
        <w:t>the European Judicial C</w:t>
      </w:r>
      <w:r w:rsidR="00DB5074">
        <w:rPr>
          <w:noProof/>
        </w:rPr>
        <w:t>ounter-Terrorism Register based on Decision 2005/671/JHA with the specific</w:t>
      </w:r>
      <w:r w:rsidR="00DB5074" w:rsidRPr="00A50977">
        <w:rPr>
          <w:noProof/>
        </w:rPr>
        <w:t xml:space="preserve"> objective to identify potential links between judicial proceedings </w:t>
      </w:r>
      <w:r w:rsidR="002B14C9">
        <w:rPr>
          <w:noProof/>
        </w:rPr>
        <w:t xml:space="preserve">against suspects of terrorist offences </w:t>
      </w:r>
      <w:r w:rsidR="00DB5074" w:rsidRPr="00A50977">
        <w:rPr>
          <w:noProof/>
        </w:rPr>
        <w:t>and possible coordination needs stemming from these.</w:t>
      </w:r>
    </w:p>
    <w:p w14:paraId="79C86677" w14:textId="45072540" w:rsidR="00DB5074" w:rsidRDefault="00306677" w:rsidP="00306677">
      <w:pPr>
        <w:pStyle w:val="ManualConsidrant"/>
        <w:rPr>
          <w:noProof/>
        </w:rPr>
      </w:pPr>
      <w:r w:rsidRPr="00306677">
        <w:t>(6)</w:t>
      </w:r>
      <w:r w:rsidRPr="00306677">
        <w:tab/>
      </w:r>
      <w:r w:rsidR="00DB5074">
        <w:rPr>
          <w:noProof/>
        </w:rPr>
        <w:t xml:space="preserve">As the register has been set up after Regulation (EU) 2018/1727 had already been </w:t>
      </w:r>
      <w:r w:rsidR="002B14C9">
        <w:rPr>
          <w:noProof/>
        </w:rPr>
        <w:t>adopted</w:t>
      </w:r>
      <w:r w:rsidR="00DB5074">
        <w:rPr>
          <w:noProof/>
        </w:rPr>
        <w:t xml:space="preserve">, the </w:t>
      </w:r>
      <w:r w:rsidR="00DB5074" w:rsidRPr="00972636">
        <w:rPr>
          <w:noProof/>
        </w:rPr>
        <w:t xml:space="preserve">European Judicial Counter-Terrorism Register </w:t>
      </w:r>
      <w:r w:rsidR="00DB5074">
        <w:rPr>
          <w:noProof/>
        </w:rPr>
        <w:t xml:space="preserve">is neither technically well integrated at Eurojust nor legally well integrated in Regulation (EU) 2018/1727. </w:t>
      </w:r>
      <w:r w:rsidR="002B14C9">
        <w:rPr>
          <w:noProof/>
        </w:rPr>
        <w:t>Therefore, it is necessary</w:t>
      </w:r>
      <w:r w:rsidR="00DB5074">
        <w:rPr>
          <w:noProof/>
        </w:rPr>
        <w:t xml:space="preserve"> to remedy that. </w:t>
      </w:r>
    </w:p>
    <w:p w14:paraId="180FE875" w14:textId="7A0FA3AD" w:rsidR="00D86234" w:rsidRDefault="00306677" w:rsidP="00306677">
      <w:pPr>
        <w:pStyle w:val="ManualConsidrant"/>
        <w:rPr>
          <w:noProof/>
        </w:rPr>
      </w:pPr>
      <w:r w:rsidRPr="00306677">
        <w:t>(7)</w:t>
      </w:r>
      <w:r w:rsidRPr="00306677">
        <w:tab/>
      </w:r>
      <w:r w:rsidR="00D86234" w:rsidRPr="00D86234">
        <w:rPr>
          <w:noProof/>
        </w:rPr>
        <w:t>To combat terrorism effectively, efficient exchange of information for investigation or prosecution of terrorist offences between competent</w:t>
      </w:r>
      <w:r w:rsidR="00D86234">
        <w:rPr>
          <w:noProof/>
        </w:rPr>
        <w:t xml:space="preserve"> authorities and Union agencies</w:t>
      </w:r>
      <w:r w:rsidR="00D86234" w:rsidRPr="00D86234">
        <w:rPr>
          <w:noProof/>
        </w:rPr>
        <w:t xml:space="preserve"> is crucial.</w:t>
      </w:r>
      <w:r w:rsidR="00D86234">
        <w:rPr>
          <w:noProof/>
        </w:rPr>
        <w:t xml:space="preserve"> It</w:t>
      </w:r>
      <w:r w:rsidR="00D86234" w:rsidRPr="00D86234">
        <w:rPr>
          <w:noProof/>
        </w:rPr>
        <w:t xml:space="preserve"> is essential to have the most complete and updated information possible. The persistence of the terrorist threat and the complexity of the phenomenon raise the need for </w:t>
      </w:r>
      <w:r w:rsidR="00E56C74">
        <w:rPr>
          <w:noProof/>
        </w:rPr>
        <w:t xml:space="preserve">an </w:t>
      </w:r>
      <w:r w:rsidR="00D86234" w:rsidRPr="00D86234">
        <w:rPr>
          <w:noProof/>
        </w:rPr>
        <w:t>ever greater exchange of information.</w:t>
      </w:r>
    </w:p>
    <w:p w14:paraId="3555827B" w14:textId="79317984" w:rsidR="00D86234" w:rsidRDefault="00306677" w:rsidP="00306677">
      <w:pPr>
        <w:pStyle w:val="ManualConsidrant"/>
        <w:rPr>
          <w:noProof/>
        </w:rPr>
      </w:pPr>
      <w:r w:rsidRPr="00306677">
        <w:t>(8)</w:t>
      </w:r>
      <w:r w:rsidRPr="00306677">
        <w:tab/>
      </w:r>
      <w:r w:rsidR="00D86234">
        <w:rPr>
          <w:noProof/>
        </w:rPr>
        <w:t>As terrorist organisation</w:t>
      </w:r>
      <w:r w:rsidR="006B0103">
        <w:rPr>
          <w:noProof/>
        </w:rPr>
        <w:t>s</w:t>
      </w:r>
      <w:r w:rsidR="00D86234">
        <w:rPr>
          <w:noProof/>
        </w:rPr>
        <w:t xml:space="preserve"> </w:t>
      </w:r>
      <w:r w:rsidR="001E388E">
        <w:rPr>
          <w:noProof/>
        </w:rPr>
        <w:t xml:space="preserve">are </w:t>
      </w:r>
      <w:r w:rsidR="00D86234">
        <w:rPr>
          <w:noProof/>
        </w:rPr>
        <w:t xml:space="preserve">increasingly involved in other forms of serious crimes, such as </w:t>
      </w:r>
      <w:r w:rsidR="008E4B0E">
        <w:rPr>
          <w:noProof/>
        </w:rPr>
        <w:t xml:space="preserve">trafficking in </w:t>
      </w:r>
      <w:r w:rsidR="00D86234">
        <w:rPr>
          <w:noProof/>
        </w:rPr>
        <w:t>human</w:t>
      </w:r>
      <w:r w:rsidR="008E4B0E">
        <w:rPr>
          <w:noProof/>
        </w:rPr>
        <w:t xml:space="preserve"> beings,</w:t>
      </w:r>
      <w:r w:rsidR="00D86234">
        <w:rPr>
          <w:noProof/>
        </w:rPr>
        <w:t xml:space="preserve"> drug trafficking or money laundering, it is also necessary to cross-check </w:t>
      </w:r>
      <w:r w:rsidR="002B14C9">
        <w:rPr>
          <w:noProof/>
        </w:rPr>
        <w:t xml:space="preserve">judicial </w:t>
      </w:r>
      <w:r w:rsidR="00D86234">
        <w:rPr>
          <w:noProof/>
        </w:rPr>
        <w:t xml:space="preserve">proceedings against such serious crimes. </w:t>
      </w:r>
    </w:p>
    <w:p w14:paraId="2C7B8872" w14:textId="77A7BE03" w:rsidR="00D86234" w:rsidRDefault="00306677" w:rsidP="00306677">
      <w:pPr>
        <w:pStyle w:val="ManualConsidrant"/>
        <w:rPr>
          <w:noProof/>
        </w:rPr>
      </w:pPr>
      <w:r w:rsidRPr="00306677">
        <w:t>(9)</w:t>
      </w:r>
      <w:r w:rsidRPr="00306677">
        <w:tab/>
      </w:r>
      <w:r w:rsidR="00D86234" w:rsidRPr="00AE3CA1">
        <w:rPr>
          <w:noProof/>
        </w:rPr>
        <w:t xml:space="preserve">In order to enable Eurojust to identify </w:t>
      </w:r>
      <w:r w:rsidR="00D86234">
        <w:rPr>
          <w:noProof/>
        </w:rPr>
        <w:t>cross-</w:t>
      </w:r>
      <w:r w:rsidR="00D86234" w:rsidRPr="00AE3CA1">
        <w:rPr>
          <w:noProof/>
        </w:rPr>
        <w:t xml:space="preserve">links between </w:t>
      </w:r>
      <w:r w:rsidR="00D86234">
        <w:rPr>
          <w:noProof/>
        </w:rPr>
        <w:t xml:space="preserve">cross-border </w:t>
      </w:r>
      <w:r w:rsidR="002B14C9">
        <w:rPr>
          <w:noProof/>
        </w:rPr>
        <w:t xml:space="preserve">judicial </w:t>
      </w:r>
      <w:r w:rsidR="00D86234">
        <w:rPr>
          <w:noProof/>
        </w:rPr>
        <w:t xml:space="preserve">proceedings </w:t>
      </w:r>
      <w:r w:rsidR="002B14C9">
        <w:rPr>
          <w:noProof/>
        </w:rPr>
        <w:t xml:space="preserve">against suspects of terrorist offences </w:t>
      </w:r>
      <w:r w:rsidR="00D86234">
        <w:rPr>
          <w:noProof/>
        </w:rPr>
        <w:t xml:space="preserve">as well as cross-links between </w:t>
      </w:r>
      <w:r w:rsidR="002B14C9">
        <w:rPr>
          <w:noProof/>
        </w:rPr>
        <w:t xml:space="preserve">judicial </w:t>
      </w:r>
      <w:r w:rsidR="00D86234">
        <w:rPr>
          <w:noProof/>
        </w:rPr>
        <w:t xml:space="preserve">proceedings </w:t>
      </w:r>
      <w:r w:rsidR="002B14C9" w:rsidRPr="002B14C9">
        <w:rPr>
          <w:noProof/>
        </w:rPr>
        <w:t xml:space="preserve">against suspects of terrorist offences </w:t>
      </w:r>
      <w:r w:rsidR="00D86234">
        <w:rPr>
          <w:noProof/>
        </w:rPr>
        <w:t xml:space="preserve">and information processed at Eurojust relating to other cases of serious crimes, it is essential that Eurojust receives sufficient information to enable Eurojust to cross-check this data. </w:t>
      </w:r>
    </w:p>
    <w:p w14:paraId="1A2E3623" w14:textId="5C1DA09E" w:rsidR="00D86234" w:rsidRDefault="00306677" w:rsidP="00306677">
      <w:pPr>
        <w:pStyle w:val="ManualConsidrant"/>
        <w:rPr>
          <w:noProof/>
        </w:rPr>
      </w:pPr>
      <w:r w:rsidRPr="00306677">
        <w:t>(10)</w:t>
      </w:r>
      <w:r w:rsidRPr="00306677">
        <w:tab/>
      </w:r>
      <w:r w:rsidR="00D86234">
        <w:rPr>
          <w:noProof/>
        </w:rPr>
        <w:t>The competent authorities need</w:t>
      </w:r>
      <w:r w:rsidR="00D86234" w:rsidRPr="00AE3CA1">
        <w:rPr>
          <w:noProof/>
        </w:rPr>
        <w:t xml:space="preserve"> to </w:t>
      </w:r>
      <w:r w:rsidR="00D86234">
        <w:rPr>
          <w:noProof/>
        </w:rPr>
        <w:t>know exactly</w:t>
      </w:r>
      <w:r w:rsidR="00D86234" w:rsidRPr="00AE3CA1">
        <w:rPr>
          <w:noProof/>
        </w:rPr>
        <w:t xml:space="preserve"> what kind of information </w:t>
      </w:r>
      <w:r w:rsidR="00D86234">
        <w:rPr>
          <w:noProof/>
        </w:rPr>
        <w:t>they have to transmit</w:t>
      </w:r>
      <w:r w:rsidR="00D86234" w:rsidRPr="00AE3CA1">
        <w:rPr>
          <w:noProof/>
        </w:rPr>
        <w:t xml:space="preserve"> to Eurojust</w:t>
      </w:r>
      <w:r w:rsidR="00267D0E">
        <w:rPr>
          <w:noProof/>
        </w:rPr>
        <w:t>,</w:t>
      </w:r>
      <w:r w:rsidR="00D86234" w:rsidRPr="00AE3CA1">
        <w:rPr>
          <w:noProof/>
        </w:rPr>
        <w:t xml:space="preserve"> at what stage of the national proceedings and in which cases</w:t>
      </w:r>
      <w:r w:rsidR="00D86234">
        <w:rPr>
          <w:noProof/>
        </w:rPr>
        <w:t>, in order to provide such data.</w:t>
      </w:r>
      <w:r w:rsidR="00D86234" w:rsidRPr="00AE3CA1">
        <w:rPr>
          <w:noProof/>
        </w:rPr>
        <w:t xml:space="preserve"> </w:t>
      </w:r>
      <w:r w:rsidR="00D86234">
        <w:rPr>
          <w:noProof/>
        </w:rPr>
        <w:t xml:space="preserve">This is expected to increase the information Eurojust receives significantly. </w:t>
      </w:r>
    </w:p>
    <w:p w14:paraId="79DFA372" w14:textId="3538B8FD" w:rsidR="00DB5074" w:rsidRDefault="00306677" w:rsidP="00306677">
      <w:pPr>
        <w:pStyle w:val="ManualConsidrant"/>
        <w:rPr>
          <w:noProof/>
        </w:rPr>
      </w:pPr>
      <w:r w:rsidRPr="00306677">
        <w:t>(11)</w:t>
      </w:r>
      <w:r w:rsidRPr="00306677">
        <w:tab/>
      </w:r>
      <w:r w:rsidR="00DB5074" w:rsidRPr="00AE3CA1">
        <w:rPr>
          <w:noProof/>
        </w:rPr>
        <w:t>Directive (EU) 2017/541</w:t>
      </w:r>
      <w:r w:rsidR="00DB5074" w:rsidRPr="7CC317AF">
        <w:rPr>
          <w:noProof/>
        </w:rPr>
        <w:t xml:space="preserve"> </w:t>
      </w:r>
      <w:r w:rsidR="002B14C9" w:rsidRPr="002B14C9">
        <w:rPr>
          <w:noProof/>
        </w:rPr>
        <w:t>of the European Parliament and of the Council</w:t>
      </w:r>
      <w:r w:rsidR="002B14C9">
        <w:rPr>
          <w:rStyle w:val="FootnoteReference"/>
          <w:noProof/>
        </w:rPr>
        <w:footnoteReference w:id="35"/>
      </w:r>
      <w:r w:rsidR="002B14C9" w:rsidRPr="7CC317AF">
        <w:rPr>
          <w:noProof/>
        </w:rPr>
        <w:t xml:space="preserve"> </w:t>
      </w:r>
      <w:r w:rsidR="00DB5074">
        <w:rPr>
          <w:noProof/>
        </w:rPr>
        <w:t>is the reference point for national authorities to define terrorist offences as implemented in national law</w:t>
      </w:r>
      <w:r w:rsidR="00DB5074" w:rsidRPr="7CC317AF">
        <w:rPr>
          <w:noProof/>
        </w:rPr>
        <w:t xml:space="preserve">. </w:t>
      </w:r>
    </w:p>
    <w:p w14:paraId="138E383D" w14:textId="44881FCC" w:rsidR="00DB5074" w:rsidRDefault="00306677" w:rsidP="00306677">
      <w:pPr>
        <w:pStyle w:val="ManualConsidrant"/>
        <w:rPr>
          <w:noProof/>
        </w:rPr>
      </w:pPr>
      <w:r w:rsidRPr="00306677">
        <w:t>(12)</w:t>
      </w:r>
      <w:r w:rsidRPr="00306677">
        <w:tab/>
      </w:r>
      <w:r w:rsidR="00DB5074" w:rsidRPr="00DC0A9B">
        <w:rPr>
          <w:noProof/>
        </w:rPr>
        <w:t xml:space="preserve">For the identification of </w:t>
      </w:r>
      <w:r w:rsidR="00DB5074">
        <w:rPr>
          <w:noProof/>
        </w:rPr>
        <w:t>cross-</w:t>
      </w:r>
      <w:r w:rsidR="00DB5074" w:rsidRPr="00DC0A9B">
        <w:rPr>
          <w:noProof/>
        </w:rPr>
        <w:t xml:space="preserve">links between terrorism </w:t>
      </w:r>
      <w:r w:rsidR="00DB5074">
        <w:rPr>
          <w:noProof/>
        </w:rPr>
        <w:t xml:space="preserve">investigations and </w:t>
      </w:r>
      <w:r w:rsidR="002B14C9">
        <w:rPr>
          <w:noProof/>
        </w:rPr>
        <w:t xml:space="preserve">judicial </w:t>
      </w:r>
      <w:r w:rsidR="00DB5074">
        <w:rPr>
          <w:noProof/>
        </w:rPr>
        <w:t>proceedings</w:t>
      </w:r>
      <w:r w:rsidR="002B14C9" w:rsidRPr="7CC317AF">
        <w:rPr>
          <w:noProof/>
        </w:rPr>
        <w:t xml:space="preserve"> </w:t>
      </w:r>
      <w:r w:rsidR="002B14C9" w:rsidRPr="002B14C9">
        <w:rPr>
          <w:noProof/>
        </w:rPr>
        <w:t>against suspects of terrorist offences</w:t>
      </w:r>
      <w:r w:rsidR="00DB5074" w:rsidRPr="00DC0A9B">
        <w:rPr>
          <w:noProof/>
        </w:rPr>
        <w:t xml:space="preserve">, reliable identification data is crucial. Due to the uncertainties regarding alphanumerical data especially for third country nationals, </w:t>
      </w:r>
      <w:r w:rsidR="002B14C9">
        <w:rPr>
          <w:noProof/>
        </w:rPr>
        <w:t>it should be possible</w:t>
      </w:r>
      <w:r w:rsidR="00DB5074" w:rsidRPr="00DC0A9B">
        <w:rPr>
          <w:noProof/>
        </w:rPr>
        <w:t xml:space="preserve"> </w:t>
      </w:r>
      <w:r w:rsidR="009048AA">
        <w:rPr>
          <w:noProof/>
        </w:rPr>
        <w:t xml:space="preserve">to </w:t>
      </w:r>
      <w:r w:rsidR="00DB5074" w:rsidRPr="00DC0A9B">
        <w:rPr>
          <w:noProof/>
        </w:rPr>
        <w:t xml:space="preserve">exchange biometric data. </w:t>
      </w:r>
      <w:r w:rsidR="00DB5074">
        <w:rPr>
          <w:noProof/>
        </w:rPr>
        <w:t>Due to the sensitive nature of biometric data</w:t>
      </w:r>
      <w:r w:rsidR="00B922AF">
        <w:rPr>
          <w:noProof/>
        </w:rPr>
        <w:t xml:space="preserve"> and the impact processing of biometric data has on the respect for private and family life and the protection of personal data, as enshrined in Article</w:t>
      </w:r>
      <w:r w:rsidR="00267D0E">
        <w:rPr>
          <w:noProof/>
        </w:rPr>
        <w:t>s</w:t>
      </w:r>
      <w:r w:rsidR="00B922AF">
        <w:rPr>
          <w:noProof/>
        </w:rPr>
        <w:t xml:space="preserve"> 7 and 8 of the Charter of Fundamental Rights of the European Union</w:t>
      </w:r>
      <w:r w:rsidR="00DB5074">
        <w:rPr>
          <w:noProof/>
        </w:rPr>
        <w:t xml:space="preserve">, a strict necessity test </w:t>
      </w:r>
      <w:r w:rsidR="002B14C9">
        <w:rPr>
          <w:noProof/>
        </w:rPr>
        <w:t xml:space="preserve">should </w:t>
      </w:r>
      <w:r w:rsidR="00DB5074">
        <w:rPr>
          <w:noProof/>
        </w:rPr>
        <w:t xml:space="preserve">be applied by the competent authorities and Eurojust in each case. </w:t>
      </w:r>
    </w:p>
    <w:p w14:paraId="52103E52" w14:textId="6A832750" w:rsidR="00DB5074" w:rsidRPr="00DC0A9B" w:rsidRDefault="00306677" w:rsidP="00306677">
      <w:pPr>
        <w:pStyle w:val="ManualConsidrant"/>
        <w:rPr>
          <w:noProof/>
        </w:rPr>
      </w:pPr>
      <w:r w:rsidRPr="00306677">
        <w:t>(13)</w:t>
      </w:r>
      <w:r w:rsidRPr="00306677">
        <w:tab/>
      </w:r>
      <w:r w:rsidR="00DB5074" w:rsidRPr="00DC0A9B">
        <w:rPr>
          <w:noProof/>
        </w:rPr>
        <w:t xml:space="preserve">As information about existing </w:t>
      </w:r>
      <w:r w:rsidR="00DB5074">
        <w:rPr>
          <w:noProof/>
        </w:rPr>
        <w:t>cross-</w:t>
      </w:r>
      <w:r w:rsidR="00DB5074" w:rsidRPr="00DC0A9B">
        <w:rPr>
          <w:noProof/>
        </w:rPr>
        <w:t xml:space="preserve">links to other </w:t>
      </w:r>
      <w:r w:rsidR="00CB2C3E">
        <w:rPr>
          <w:noProof/>
        </w:rPr>
        <w:t xml:space="preserve">judicial </w:t>
      </w:r>
      <w:r w:rsidR="00DB5074">
        <w:rPr>
          <w:noProof/>
        </w:rPr>
        <w:t>proceedings</w:t>
      </w:r>
      <w:r w:rsidR="00DB5074" w:rsidRPr="00DC0A9B">
        <w:rPr>
          <w:noProof/>
        </w:rPr>
        <w:t xml:space="preserve"> is most useful at an early stage of the investigation, it is necessary that the competent authorities provide information </w:t>
      </w:r>
      <w:r w:rsidR="00DB5074">
        <w:rPr>
          <w:noProof/>
        </w:rPr>
        <w:t xml:space="preserve">to Eurojust </w:t>
      </w:r>
      <w:r w:rsidR="00DB5074" w:rsidRPr="00DC0A9B">
        <w:rPr>
          <w:noProof/>
        </w:rPr>
        <w:t xml:space="preserve">as soon as judicial authorities are involved. </w:t>
      </w:r>
      <w:r w:rsidR="00DB5074" w:rsidRPr="00F415FA">
        <w:rPr>
          <w:noProof/>
        </w:rPr>
        <w:t xml:space="preserve">If </w:t>
      </w:r>
      <w:r w:rsidR="00DB5074">
        <w:rPr>
          <w:noProof/>
        </w:rPr>
        <w:t xml:space="preserve">the competent national authorities are </w:t>
      </w:r>
      <w:r w:rsidR="00E56C74">
        <w:rPr>
          <w:noProof/>
        </w:rPr>
        <w:t xml:space="preserve">already </w:t>
      </w:r>
      <w:r w:rsidR="00DB5074">
        <w:rPr>
          <w:noProof/>
        </w:rPr>
        <w:t>aware of cross-links</w:t>
      </w:r>
      <w:r w:rsidR="00DB5074" w:rsidRPr="7CC317AF">
        <w:rPr>
          <w:noProof/>
        </w:rPr>
        <w:t xml:space="preserve">, </w:t>
      </w:r>
      <w:r w:rsidR="00DB5074">
        <w:rPr>
          <w:noProof/>
        </w:rPr>
        <w:t xml:space="preserve">they should inform </w:t>
      </w:r>
      <w:r w:rsidR="00DB5074" w:rsidRPr="00F415FA">
        <w:rPr>
          <w:noProof/>
        </w:rPr>
        <w:t xml:space="preserve">Eurojust </w:t>
      </w:r>
      <w:r w:rsidR="00DB5074">
        <w:rPr>
          <w:noProof/>
        </w:rPr>
        <w:t>accordingly</w:t>
      </w:r>
      <w:r w:rsidR="00DB5074" w:rsidRPr="7CC317AF">
        <w:rPr>
          <w:noProof/>
        </w:rPr>
        <w:t xml:space="preserve">. </w:t>
      </w:r>
    </w:p>
    <w:p w14:paraId="5433B88A" w14:textId="46ACB406" w:rsidR="00DB5074" w:rsidRPr="00DC0A9B" w:rsidRDefault="00306677" w:rsidP="00306677">
      <w:pPr>
        <w:pStyle w:val="ManualConsidrant"/>
        <w:rPr>
          <w:noProof/>
        </w:rPr>
      </w:pPr>
      <w:r w:rsidRPr="00306677">
        <w:t>(14)</w:t>
      </w:r>
      <w:r w:rsidRPr="00306677">
        <w:tab/>
      </w:r>
      <w:r w:rsidR="00DB5074">
        <w:rPr>
          <w:noProof/>
        </w:rPr>
        <w:t>In order t</w:t>
      </w:r>
      <w:r w:rsidR="00DB5074" w:rsidRPr="00DC0A9B">
        <w:rPr>
          <w:noProof/>
        </w:rPr>
        <w:t xml:space="preserve">o ensure the accuracy of the data </w:t>
      </w:r>
      <w:r w:rsidR="00DB5074">
        <w:rPr>
          <w:noProof/>
        </w:rPr>
        <w:t xml:space="preserve">in the </w:t>
      </w:r>
      <w:r w:rsidR="00DB5074" w:rsidRPr="00972636">
        <w:rPr>
          <w:noProof/>
        </w:rPr>
        <w:t>European Judicial Counter-Terrorism Register</w:t>
      </w:r>
      <w:r w:rsidR="00DB5074" w:rsidRPr="00DC0A9B">
        <w:rPr>
          <w:noProof/>
        </w:rPr>
        <w:t xml:space="preserve">, to identify </w:t>
      </w:r>
      <w:r w:rsidR="00DB5074">
        <w:rPr>
          <w:noProof/>
        </w:rPr>
        <w:t>cross-</w:t>
      </w:r>
      <w:r w:rsidR="00DB5074" w:rsidRPr="00DC0A9B">
        <w:rPr>
          <w:noProof/>
        </w:rPr>
        <w:t xml:space="preserve">links early and </w:t>
      </w:r>
      <w:r w:rsidR="00DB5074">
        <w:rPr>
          <w:noProof/>
        </w:rPr>
        <w:t xml:space="preserve">to </w:t>
      </w:r>
      <w:r w:rsidR="00DB5074" w:rsidRPr="00DC0A9B">
        <w:rPr>
          <w:noProof/>
        </w:rPr>
        <w:t>e</w:t>
      </w:r>
      <w:r w:rsidR="00DB5074">
        <w:rPr>
          <w:noProof/>
        </w:rPr>
        <w:t>nsure time limits are respected, the competent national authorities should update the information provided regularly.</w:t>
      </w:r>
      <w:r w:rsidR="00055D75" w:rsidRPr="7CC317AF">
        <w:rPr>
          <w:noProof/>
        </w:rPr>
        <w:t xml:space="preserve"> </w:t>
      </w:r>
      <w:r w:rsidR="00055D75">
        <w:rPr>
          <w:noProof/>
        </w:rPr>
        <w:t xml:space="preserve">Such </w:t>
      </w:r>
      <w:r w:rsidR="00055D75" w:rsidRPr="00055D75">
        <w:rPr>
          <w:noProof/>
        </w:rPr>
        <w:t xml:space="preserve">updates </w:t>
      </w:r>
      <w:r w:rsidR="00055D75">
        <w:rPr>
          <w:noProof/>
        </w:rPr>
        <w:t>should include</w:t>
      </w:r>
      <w:r w:rsidR="00055D75" w:rsidRPr="00055D75">
        <w:rPr>
          <w:noProof/>
        </w:rPr>
        <w:t xml:space="preserve"> new information relating to the person under investigation, judicial decisions such as pre-trial detention</w:t>
      </w:r>
      <w:r w:rsidR="00055D75">
        <w:rPr>
          <w:noProof/>
        </w:rPr>
        <w:t xml:space="preserve"> or</w:t>
      </w:r>
      <w:r w:rsidR="00055D75" w:rsidRPr="00055D75">
        <w:rPr>
          <w:noProof/>
        </w:rPr>
        <w:t xml:space="preserve"> opening of the court proceedings</w:t>
      </w:r>
      <w:r w:rsidR="00055D75">
        <w:rPr>
          <w:noProof/>
        </w:rPr>
        <w:t xml:space="preserve"> and</w:t>
      </w:r>
      <w:r w:rsidR="00055D75" w:rsidRPr="00055D75">
        <w:rPr>
          <w:noProof/>
        </w:rPr>
        <w:t xml:space="preserve"> judicial cooperation requests or identified links with other jurisdictions.</w:t>
      </w:r>
      <w:r w:rsidR="00055D75" w:rsidRPr="7CC317AF" w:rsidDel="00055D75">
        <w:rPr>
          <w:noProof/>
        </w:rPr>
        <w:t xml:space="preserve"> </w:t>
      </w:r>
    </w:p>
    <w:p w14:paraId="5F3B5D6C" w14:textId="43B660CF" w:rsidR="00DB5074" w:rsidRDefault="00306677" w:rsidP="00306677">
      <w:pPr>
        <w:pStyle w:val="ManualConsidrant"/>
        <w:rPr>
          <w:noProof/>
        </w:rPr>
      </w:pPr>
      <w:r w:rsidRPr="00306677">
        <w:t>(15)</w:t>
      </w:r>
      <w:r w:rsidRPr="00306677">
        <w:tab/>
      </w:r>
      <w:r w:rsidR="00CB2C3E">
        <w:rPr>
          <w:noProof/>
        </w:rPr>
        <w:t>Given</w:t>
      </w:r>
      <w:r w:rsidR="00DB5074">
        <w:rPr>
          <w:noProof/>
        </w:rPr>
        <w:t xml:space="preserve"> the sensitive nature of </w:t>
      </w:r>
      <w:r w:rsidR="00CB2C3E">
        <w:rPr>
          <w:noProof/>
        </w:rPr>
        <w:t>judicial</w:t>
      </w:r>
      <w:r w:rsidR="00DB5074">
        <w:rPr>
          <w:noProof/>
        </w:rPr>
        <w:t xml:space="preserve"> proceedings</w:t>
      </w:r>
      <w:r w:rsidR="00CB2C3E" w:rsidRPr="00CB2C3E">
        <w:rPr>
          <w:noProof/>
        </w:rPr>
        <w:t xml:space="preserve"> against suspects of terrorist offences</w:t>
      </w:r>
      <w:r w:rsidR="00DB5074">
        <w:rPr>
          <w:noProof/>
        </w:rPr>
        <w:t>, it is not always possible for the competent national authorities to share the information on terrorist offences at the earliest stage. Such derogations</w:t>
      </w:r>
      <w:r w:rsidR="0091777E">
        <w:rPr>
          <w:noProof/>
        </w:rPr>
        <w:t xml:space="preserve"> from the obligation to provide information</w:t>
      </w:r>
      <w:r w:rsidR="00DB5074">
        <w:rPr>
          <w:noProof/>
        </w:rPr>
        <w:t xml:space="preserve"> should remain an exception.</w:t>
      </w:r>
    </w:p>
    <w:p w14:paraId="037BE988" w14:textId="13807FE0" w:rsidR="00DB5074" w:rsidRDefault="00306677" w:rsidP="00306677">
      <w:pPr>
        <w:pStyle w:val="ManualConsidrant"/>
        <w:rPr>
          <w:noProof/>
        </w:rPr>
      </w:pPr>
      <w:r w:rsidRPr="00306677">
        <w:t>(16)</w:t>
      </w:r>
      <w:r w:rsidRPr="00306677">
        <w:tab/>
      </w:r>
      <w:r w:rsidR="00F04081">
        <w:rPr>
          <w:noProof/>
        </w:rPr>
        <w:t xml:space="preserve">For the purposes of exchanging and processing sensitive data between competent national authorities and Eurojust for protecting such data against unauthorised disclosure and cyber attacks, and without prejudice to future technological developments, </w:t>
      </w:r>
      <w:r w:rsidR="00DB5074">
        <w:rPr>
          <w:noProof/>
        </w:rPr>
        <w:t>secure communication channels</w:t>
      </w:r>
      <w:r w:rsidR="00F04081">
        <w:rPr>
          <w:noProof/>
        </w:rPr>
        <w:t>,</w:t>
      </w:r>
      <w:r w:rsidR="00DB5074">
        <w:rPr>
          <w:noProof/>
        </w:rPr>
        <w:t xml:space="preserve"> </w:t>
      </w:r>
      <w:r w:rsidR="00F04081">
        <w:rPr>
          <w:noProof/>
        </w:rPr>
        <w:t xml:space="preserve">such as the </w:t>
      </w:r>
      <w:r w:rsidR="00DB5074">
        <w:rPr>
          <w:noProof/>
        </w:rPr>
        <w:t>secure communication connections referred to in Article 9 of Council Decision 2008/97</w:t>
      </w:r>
      <w:r w:rsidR="00F60BB4">
        <w:rPr>
          <w:noProof/>
        </w:rPr>
        <w:t>6</w:t>
      </w:r>
      <w:r w:rsidR="00DB5074">
        <w:rPr>
          <w:noProof/>
        </w:rPr>
        <w:t>/JHA</w:t>
      </w:r>
      <w:r w:rsidR="00715ADE">
        <w:rPr>
          <w:rStyle w:val="FootnoteReference"/>
          <w:noProof/>
        </w:rPr>
        <w:footnoteReference w:id="36"/>
      </w:r>
      <w:r w:rsidR="00715ADE" w:rsidRPr="7CC317AF">
        <w:rPr>
          <w:noProof/>
        </w:rPr>
        <w:t xml:space="preserve"> </w:t>
      </w:r>
      <w:r w:rsidR="00DB5074">
        <w:rPr>
          <w:noProof/>
        </w:rPr>
        <w:t xml:space="preserve">or </w:t>
      </w:r>
      <w:r w:rsidR="00CB2C3E">
        <w:rPr>
          <w:noProof/>
        </w:rPr>
        <w:t>the</w:t>
      </w:r>
      <w:r w:rsidR="00DB5074">
        <w:rPr>
          <w:noProof/>
        </w:rPr>
        <w:t xml:space="preserve"> decentrali</w:t>
      </w:r>
      <w:r w:rsidR="00077618">
        <w:rPr>
          <w:noProof/>
        </w:rPr>
        <w:t>s</w:t>
      </w:r>
      <w:r w:rsidR="00DB5074">
        <w:rPr>
          <w:noProof/>
        </w:rPr>
        <w:t>ed IT system</w:t>
      </w:r>
      <w:r w:rsidR="00CD54BC">
        <w:rPr>
          <w:noProof/>
        </w:rPr>
        <w:t xml:space="preserve"> as</w:t>
      </w:r>
      <w:r w:rsidR="00DB5074">
        <w:rPr>
          <w:noProof/>
        </w:rPr>
        <w:t xml:space="preserve"> </w:t>
      </w:r>
      <w:r w:rsidR="00F07446">
        <w:rPr>
          <w:noProof/>
        </w:rPr>
        <w:t xml:space="preserve">defined </w:t>
      </w:r>
      <w:r w:rsidR="00225796">
        <w:rPr>
          <w:noProof/>
        </w:rPr>
        <w:t>in Regulation</w:t>
      </w:r>
      <w:r w:rsidR="00CB2C3E">
        <w:rPr>
          <w:noProof/>
        </w:rPr>
        <w:t xml:space="preserve"> (EU) </w:t>
      </w:r>
      <w:r w:rsidR="00EF7254" w:rsidRPr="7CC317AF">
        <w:rPr>
          <w:noProof/>
        </w:rPr>
        <w:t xml:space="preserve">[…/…] </w:t>
      </w:r>
      <w:r w:rsidR="00CB2C3E">
        <w:rPr>
          <w:noProof/>
        </w:rPr>
        <w:t>of the European Parliament and of the Council</w:t>
      </w:r>
      <w:r w:rsidR="00715ADE">
        <w:rPr>
          <w:rStyle w:val="FootnoteReference"/>
          <w:noProof/>
        </w:rPr>
        <w:footnoteReference w:id="37"/>
      </w:r>
      <w:r w:rsidR="00715ADE" w:rsidRPr="7CC317AF">
        <w:rPr>
          <w:noProof/>
        </w:rPr>
        <w:t xml:space="preserve"> </w:t>
      </w:r>
      <w:r w:rsidR="00D4054E" w:rsidRPr="7CC317AF">
        <w:rPr>
          <w:noProof/>
        </w:rPr>
        <w:t>[</w:t>
      </w:r>
      <w:r w:rsidR="00D4054E" w:rsidRPr="006A0D14">
        <w:rPr>
          <w:i/>
          <w:iCs/>
          <w:noProof/>
        </w:rPr>
        <w:t>Regulation on the digitalisation of judicial cooperation</w:t>
      </w:r>
      <w:r w:rsidR="00D4054E" w:rsidRPr="7CC317AF">
        <w:rPr>
          <w:noProof/>
        </w:rPr>
        <w:t>]</w:t>
      </w:r>
      <w:r w:rsidR="00077618" w:rsidRPr="7CC317AF">
        <w:rPr>
          <w:noProof/>
        </w:rPr>
        <w:t xml:space="preserve"> </w:t>
      </w:r>
      <w:r w:rsidR="00715ADE">
        <w:rPr>
          <w:noProof/>
        </w:rPr>
        <w:t>s</w:t>
      </w:r>
      <w:r w:rsidR="00DB5074">
        <w:rPr>
          <w:noProof/>
        </w:rPr>
        <w:t>hould be used. In order to exchange data securely</w:t>
      </w:r>
      <w:r w:rsidR="0091777E">
        <w:rPr>
          <w:noProof/>
        </w:rPr>
        <w:t xml:space="preserve"> and protect the integrity of the</w:t>
      </w:r>
      <w:r w:rsidR="00432A95">
        <w:rPr>
          <w:noProof/>
        </w:rPr>
        <w:t xml:space="preserve"> communication and</w:t>
      </w:r>
      <w:r w:rsidR="0091777E">
        <w:rPr>
          <w:noProof/>
        </w:rPr>
        <w:t xml:space="preserve"> data exchange</w:t>
      </w:r>
      <w:r w:rsidR="00DB5074" w:rsidRPr="7CC317AF">
        <w:rPr>
          <w:noProof/>
        </w:rPr>
        <w:t xml:space="preserve">, </w:t>
      </w:r>
      <w:r w:rsidR="00DB5074">
        <w:rPr>
          <w:noProof/>
        </w:rPr>
        <w:t>the case management system</w:t>
      </w:r>
      <w:r w:rsidR="004F0B61">
        <w:rPr>
          <w:noProof/>
        </w:rPr>
        <w:t xml:space="preserve"> </w:t>
      </w:r>
      <w:r w:rsidR="00943F7F">
        <w:rPr>
          <w:noProof/>
        </w:rPr>
        <w:t>should</w:t>
      </w:r>
      <w:r w:rsidR="004F0B61">
        <w:rPr>
          <w:noProof/>
        </w:rPr>
        <w:t xml:space="preserve"> be connected</w:t>
      </w:r>
      <w:r w:rsidR="00DB5074">
        <w:rPr>
          <w:noProof/>
        </w:rPr>
        <w:t xml:space="preserve"> to such secure </w:t>
      </w:r>
      <w:r w:rsidR="0091777E">
        <w:rPr>
          <w:noProof/>
        </w:rPr>
        <w:t xml:space="preserve">communication </w:t>
      </w:r>
      <w:r w:rsidR="00DB5074">
        <w:rPr>
          <w:noProof/>
        </w:rPr>
        <w:t>systems</w:t>
      </w:r>
      <w:r w:rsidR="00B52D62">
        <w:rPr>
          <w:noProof/>
        </w:rPr>
        <w:t xml:space="preserve"> </w:t>
      </w:r>
      <w:r w:rsidR="0051581E">
        <w:rPr>
          <w:noProof/>
        </w:rPr>
        <w:t>and meet high cybersecurity standards</w:t>
      </w:r>
      <w:r w:rsidR="00DB5074">
        <w:rPr>
          <w:noProof/>
        </w:rPr>
        <w:t xml:space="preserve">. </w:t>
      </w:r>
    </w:p>
    <w:p w14:paraId="1B26B124" w14:textId="317FEBA9" w:rsidR="00350ADD" w:rsidRDefault="00306677" w:rsidP="00306677">
      <w:pPr>
        <w:pStyle w:val="ManualConsidrant"/>
        <w:rPr>
          <w:noProof/>
        </w:rPr>
      </w:pPr>
      <w:r w:rsidRPr="00306677">
        <w:t>(17)</w:t>
      </w:r>
      <w:r w:rsidRPr="00306677">
        <w:tab/>
      </w:r>
      <w:r w:rsidR="00350ADD" w:rsidRPr="00350ADD">
        <w:rPr>
          <w:noProof/>
        </w:rPr>
        <w:t>In order to ensure uniform conditions for the implementation of this Regulation as regards the establishment and use of the decentralised IT system for the cases not covered by Regulation (EU) […/…] of the European Parliament and of the Council</w:t>
      </w:r>
      <w:r w:rsidR="00350ADD" w:rsidRPr="00197F34">
        <w:rPr>
          <w:rStyle w:val="FootnoteReference"/>
          <w:noProof/>
        </w:rPr>
        <w:footnoteReference w:id="38"/>
      </w:r>
      <w:r w:rsidR="00350ADD" w:rsidRPr="00350ADD">
        <w:rPr>
          <w:noProof/>
        </w:rPr>
        <w:t xml:space="preserve"> [</w:t>
      </w:r>
      <w:r w:rsidR="00350ADD" w:rsidRPr="00350ADD">
        <w:rPr>
          <w:i/>
          <w:iCs/>
          <w:noProof/>
        </w:rPr>
        <w:t>Regulation on the digitalisation of judicial cooperation</w:t>
      </w:r>
      <w:r w:rsidR="00350ADD" w:rsidRPr="00350ADD">
        <w:rPr>
          <w:noProof/>
        </w:rPr>
        <w:t>], implementing powers should be conferred on the Commission. Those powers should be exercised in accordance with Regulation (EU) No 182/2011 of the European Parliament and of the Council</w:t>
      </w:r>
      <w:r w:rsidR="00350ADD">
        <w:rPr>
          <w:rStyle w:val="FootnoteReference"/>
          <w:noProof/>
        </w:rPr>
        <w:footnoteReference w:id="39"/>
      </w:r>
      <w:r w:rsidR="00350ADD">
        <w:rPr>
          <w:noProof/>
        </w:rPr>
        <w:t>.</w:t>
      </w:r>
    </w:p>
    <w:p w14:paraId="43BAAC18" w14:textId="60E7A3B3" w:rsidR="00DB5074" w:rsidRPr="005F3A7F" w:rsidRDefault="00306677" w:rsidP="00306677">
      <w:pPr>
        <w:pStyle w:val="ManualConsidrant"/>
        <w:rPr>
          <w:noProof/>
        </w:rPr>
      </w:pPr>
      <w:r w:rsidRPr="00306677">
        <w:t>(18)</w:t>
      </w:r>
      <w:r w:rsidRPr="00306677">
        <w:tab/>
      </w:r>
      <w:r w:rsidR="00DB5074">
        <w:rPr>
          <w:noProof/>
        </w:rPr>
        <w:t>The transmission of unstructured data makes manual intervention necessary, creates additional administrative burden</w:t>
      </w:r>
      <w:r w:rsidR="00E56C74" w:rsidRPr="191FD9A1">
        <w:rPr>
          <w:noProof/>
        </w:rPr>
        <w:t>,</w:t>
      </w:r>
      <w:r w:rsidR="00DB5074">
        <w:rPr>
          <w:noProof/>
        </w:rPr>
        <w:t xml:space="preserve"> and reduces the quality of the results of cross-checking. Therefore, national competent authorities should transmit the data in a structured manner</w:t>
      </w:r>
      <w:r w:rsidR="00C91E83" w:rsidRPr="191FD9A1">
        <w:rPr>
          <w:noProof/>
        </w:rPr>
        <w:t xml:space="preserve"> </w:t>
      </w:r>
      <w:r w:rsidR="00C91E83" w:rsidRPr="00C91E83">
        <w:rPr>
          <w:noProof/>
        </w:rPr>
        <w:t>while respecting minimal interoperability requirements as defined in the European Interoperability Framework</w:t>
      </w:r>
      <w:r w:rsidR="00C91E83">
        <w:rPr>
          <w:rStyle w:val="FootnoteReference"/>
          <w:noProof/>
        </w:rPr>
        <w:footnoteReference w:id="40"/>
      </w:r>
      <w:r w:rsidR="00DB5074" w:rsidRPr="191FD9A1">
        <w:rPr>
          <w:noProof/>
        </w:rPr>
        <w:t xml:space="preserve">. </w:t>
      </w:r>
      <w:r w:rsidR="00DB5074">
        <w:rPr>
          <w:noProof/>
        </w:rPr>
        <w:t>In addition, the transfer of data should be automated as much as possible</w:t>
      </w:r>
      <w:r w:rsidR="00943F7F">
        <w:rPr>
          <w:noProof/>
        </w:rPr>
        <w:t xml:space="preserve"> </w:t>
      </w:r>
      <w:r w:rsidR="00D4054E">
        <w:rPr>
          <w:noProof/>
        </w:rPr>
        <w:t xml:space="preserve">to lessen </w:t>
      </w:r>
      <w:r w:rsidR="00E56C74">
        <w:rPr>
          <w:noProof/>
        </w:rPr>
        <w:t xml:space="preserve">the </w:t>
      </w:r>
      <w:r w:rsidR="00DB5074">
        <w:rPr>
          <w:noProof/>
        </w:rPr>
        <w:t xml:space="preserve">administrative burden </w:t>
      </w:r>
      <w:r w:rsidR="00D4054E">
        <w:rPr>
          <w:noProof/>
        </w:rPr>
        <w:t>of</w:t>
      </w:r>
      <w:r w:rsidR="00DB5074">
        <w:rPr>
          <w:noProof/>
        </w:rPr>
        <w:t xml:space="preserve"> national authorities </w:t>
      </w:r>
      <w:r w:rsidR="00D4054E">
        <w:rPr>
          <w:noProof/>
        </w:rPr>
        <w:t>and to ensure</w:t>
      </w:r>
      <w:r w:rsidR="00DB5074">
        <w:rPr>
          <w:noProof/>
        </w:rPr>
        <w:t xml:space="preserve"> the necessary data </w:t>
      </w:r>
      <w:r w:rsidR="00D4054E">
        <w:rPr>
          <w:noProof/>
        </w:rPr>
        <w:t>is provided</w:t>
      </w:r>
      <w:r w:rsidR="00D4054E" w:rsidRPr="191FD9A1">
        <w:rPr>
          <w:noProof/>
        </w:rPr>
        <w:t xml:space="preserve"> </w:t>
      </w:r>
      <w:r w:rsidR="00DB5074">
        <w:rPr>
          <w:noProof/>
        </w:rPr>
        <w:t>regularly and quickly.</w:t>
      </w:r>
    </w:p>
    <w:p w14:paraId="6B68FC91" w14:textId="7493B084" w:rsidR="00DB5074" w:rsidRPr="00DC0A9B" w:rsidRDefault="00306677" w:rsidP="00306677">
      <w:pPr>
        <w:pStyle w:val="ManualConsidrant"/>
        <w:rPr>
          <w:noProof/>
        </w:rPr>
      </w:pPr>
      <w:r w:rsidRPr="00306677">
        <w:t>(19)</w:t>
      </w:r>
      <w:r w:rsidRPr="00306677">
        <w:tab/>
      </w:r>
      <w:r w:rsidR="00DB5074">
        <w:rPr>
          <w:noProof/>
        </w:rPr>
        <w:t xml:space="preserve">A modernized case management system is necessary for Eurojust to process the sensitive personal data securely. The new system needs to integrate and enable the functionalities of the </w:t>
      </w:r>
      <w:r w:rsidR="00D4054E" w:rsidRPr="00D4054E">
        <w:rPr>
          <w:noProof/>
        </w:rPr>
        <w:t>European Judicial Counter-Terrorism Register</w:t>
      </w:r>
      <w:r w:rsidR="00DB5074">
        <w:rPr>
          <w:noProof/>
        </w:rPr>
        <w:t xml:space="preserve"> and improve </w:t>
      </w:r>
      <w:r w:rsidR="003334EF">
        <w:rPr>
          <w:noProof/>
        </w:rPr>
        <w:t xml:space="preserve">the </w:t>
      </w:r>
      <w:r w:rsidR="00DB5074" w:rsidRPr="00DC0A9B">
        <w:rPr>
          <w:noProof/>
        </w:rPr>
        <w:t>capacities</w:t>
      </w:r>
      <w:r w:rsidR="00D4054E">
        <w:rPr>
          <w:noProof/>
        </w:rPr>
        <w:t xml:space="preserve"> of Eurojust</w:t>
      </w:r>
      <w:r w:rsidR="00DB5074" w:rsidRPr="7CC317AF">
        <w:rPr>
          <w:noProof/>
        </w:rPr>
        <w:t xml:space="preserve"> </w:t>
      </w:r>
      <w:r w:rsidR="00DB5074">
        <w:rPr>
          <w:noProof/>
        </w:rPr>
        <w:t>regarding</w:t>
      </w:r>
      <w:r w:rsidR="00DB5074" w:rsidRPr="00DC0A9B">
        <w:rPr>
          <w:noProof/>
        </w:rPr>
        <w:t xml:space="preserve"> link detection. </w:t>
      </w:r>
    </w:p>
    <w:p w14:paraId="35AE3D70" w14:textId="276F516E" w:rsidR="00DB5074" w:rsidRPr="00F72D83" w:rsidRDefault="00306677" w:rsidP="00306677">
      <w:pPr>
        <w:pStyle w:val="ManualConsidrant"/>
        <w:rPr>
          <w:noProof/>
        </w:rPr>
      </w:pPr>
      <w:r w:rsidRPr="00306677">
        <w:t>(20)</w:t>
      </w:r>
      <w:r w:rsidRPr="00306677">
        <w:tab/>
      </w:r>
      <w:r w:rsidR="00DB5074">
        <w:rPr>
          <w:noProof/>
        </w:rPr>
        <w:t>It is important to maintain the control and responsibility of the national members for the data, which they receive from the national competent authorities. No operational person</w:t>
      </w:r>
      <w:r w:rsidR="00E56C74">
        <w:rPr>
          <w:noProof/>
        </w:rPr>
        <w:t xml:space="preserve">al data </w:t>
      </w:r>
      <w:r w:rsidR="00D4054E">
        <w:rPr>
          <w:noProof/>
        </w:rPr>
        <w:t>should be</w:t>
      </w:r>
      <w:r w:rsidR="00943F7F">
        <w:rPr>
          <w:noProof/>
        </w:rPr>
        <w:t xml:space="preserve"> </w:t>
      </w:r>
      <w:r w:rsidR="00E56C74">
        <w:rPr>
          <w:noProof/>
        </w:rPr>
        <w:t>shared with another Member S</w:t>
      </w:r>
      <w:r w:rsidR="00DB5074">
        <w:rPr>
          <w:noProof/>
        </w:rPr>
        <w:t xml:space="preserve">tate by default. Operational personal data </w:t>
      </w:r>
      <w:r w:rsidR="00D4054E">
        <w:rPr>
          <w:noProof/>
        </w:rPr>
        <w:t xml:space="preserve">should </w:t>
      </w:r>
      <w:r w:rsidR="00DB5074">
        <w:rPr>
          <w:noProof/>
        </w:rPr>
        <w:t xml:space="preserve">only </w:t>
      </w:r>
      <w:r w:rsidR="00D4054E">
        <w:rPr>
          <w:noProof/>
        </w:rPr>
        <w:t xml:space="preserve">be </w:t>
      </w:r>
      <w:r w:rsidR="00DB5074">
        <w:rPr>
          <w:noProof/>
        </w:rPr>
        <w:t>shared in as far as national competent authorities authori</w:t>
      </w:r>
      <w:r w:rsidR="00EB573B">
        <w:rPr>
          <w:noProof/>
        </w:rPr>
        <w:t>s</w:t>
      </w:r>
      <w:r w:rsidR="00DB5074">
        <w:rPr>
          <w:noProof/>
        </w:rPr>
        <w:t>e the exchange of data. In order to digitali</w:t>
      </w:r>
      <w:r w:rsidR="00943F7F">
        <w:rPr>
          <w:noProof/>
        </w:rPr>
        <w:t>s</w:t>
      </w:r>
      <w:r w:rsidR="00DB5074">
        <w:rPr>
          <w:noProof/>
        </w:rPr>
        <w:t xml:space="preserve">e and speed up the follow up on potential links while ensuring full control over the data, handling codes should be introduced. </w:t>
      </w:r>
    </w:p>
    <w:p w14:paraId="7877C7C7" w14:textId="6112C07C" w:rsidR="00DB5074" w:rsidRPr="00DE4ECA" w:rsidRDefault="00306677" w:rsidP="00306677">
      <w:pPr>
        <w:pStyle w:val="ManualConsidrant"/>
        <w:rPr>
          <w:noProof/>
        </w:rPr>
      </w:pPr>
      <w:r w:rsidRPr="00306677">
        <w:t>(21)</w:t>
      </w:r>
      <w:r w:rsidRPr="00306677">
        <w:tab/>
      </w:r>
      <w:r w:rsidR="00DB5074" w:rsidRPr="005B0368">
        <w:rPr>
          <w:noProof/>
        </w:rPr>
        <w:t xml:space="preserve">Terrorist activities often affect two or more Member States. </w:t>
      </w:r>
      <w:r w:rsidR="00DB5074">
        <w:rPr>
          <w:noProof/>
        </w:rPr>
        <w:t xml:space="preserve">Terrorism already had a strong transnational component in the past. However, </w:t>
      </w:r>
      <w:r w:rsidR="00DB5074" w:rsidRPr="005B0368">
        <w:rPr>
          <w:noProof/>
        </w:rPr>
        <w:t>with the use and availability of electronic communication</w:t>
      </w:r>
      <w:r w:rsidR="00DB5074">
        <w:rPr>
          <w:noProof/>
        </w:rPr>
        <w:t xml:space="preserve">, transnational collaboration between terrorist offenders </w:t>
      </w:r>
      <w:r w:rsidR="00DB5074" w:rsidRPr="005B0368">
        <w:rPr>
          <w:noProof/>
        </w:rPr>
        <w:t xml:space="preserve">has increased significantly. Therefore, terrorist offences </w:t>
      </w:r>
      <w:r w:rsidR="00D4054E">
        <w:rPr>
          <w:noProof/>
        </w:rPr>
        <w:t>should</w:t>
      </w:r>
      <w:r w:rsidR="00DB5074" w:rsidRPr="005B0368">
        <w:rPr>
          <w:noProof/>
        </w:rPr>
        <w:t xml:space="preserve"> be considered per se transnational in </w:t>
      </w:r>
      <w:r w:rsidR="00E56C74">
        <w:rPr>
          <w:noProof/>
        </w:rPr>
        <w:t>their</w:t>
      </w:r>
      <w:r w:rsidR="00DB5074" w:rsidRPr="005B0368">
        <w:rPr>
          <w:noProof/>
        </w:rPr>
        <w:t xml:space="preserve"> nature, if the specific circumstances of the case do not clearly indicate a purely national character.</w:t>
      </w:r>
    </w:p>
    <w:p w14:paraId="2638122F" w14:textId="1D29A103" w:rsidR="00DB5074" w:rsidRDefault="00306677" w:rsidP="00306677">
      <w:pPr>
        <w:pStyle w:val="ManualConsidrant"/>
        <w:rPr>
          <w:noProof/>
        </w:rPr>
      </w:pPr>
      <w:r w:rsidRPr="00306677">
        <w:t>(22)</w:t>
      </w:r>
      <w:r w:rsidRPr="00306677">
        <w:tab/>
      </w:r>
      <w:r w:rsidR="00DB5074">
        <w:rPr>
          <w:noProof/>
        </w:rPr>
        <w:t xml:space="preserve">Investigations and prosecutions in terrorism cases are often impeded by the lack of information exchange between national investigation and prosecution authorities. In order to be able to cross check new terrorist investigations also with previous investigations and establish potential links, it is necessary to store the data on any previous investigations, not only </w:t>
      </w:r>
      <w:r w:rsidR="001E388E">
        <w:rPr>
          <w:noProof/>
        </w:rPr>
        <w:t xml:space="preserve">on </w:t>
      </w:r>
      <w:r w:rsidR="00DB5074">
        <w:rPr>
          <w:noProof/>
        </w:rPr>
        <w:t xml:space="preserve">convictions and to extend the time limits for </w:t>
      </w:r>
      <w:r w:rsidR="00D4054E">
        <w:rPr>
          <w:noProof/>
        </w:rPr>
        <w:t xml:space="preserve">storing data in </w:t>
      </w:r>
      <w:r w:rsidR="00B0081F">
        <w:rPr>
          <w:noProof/>
        </w:rPr>
        <w:t xml:space="preserve">the </w:t>
      </w:r>
      <w:r w:rsidR="00D4054E" w:rsidRPr="00A50977">
        <w:rPr>
          <w:noProof/>
        </w:rPr>
        <w:t>European Judicial C</w:t>
      </w:r>
      <w:r w:rsidR="00D4054E">
        <w:rPr>
          <w:noProof/>
        </w:rPr>
        <w:t>ounter-Terrorism Register</w:t>
      </w:r>
      <w:r w:rsidR="00DB5074">
        <w:rPr>
          <w:noProof/>
        </w:rPr>
        <w:t xml:space="preserve">. However, </w:t>
      </w:r>
      <w:r w:rsidR="00D4054E">
        <w:rPr>
          <w:noProof/>
        </w:rPr>
        <w:t xml:space="preserve">it is necessary to ensure that such data is processed </w:t>
      </w:r>
      <w:r w:rsidR="00DB5074">
        <w:rPr>
          <w:noProof/>
        </w:rPr>
        <w:t>for prosecution purposes only.</w:t>
      </w:r>
      <w:r w:rsidR="002B1990">
        <w:rPr>
          <w:noProof/>
        </w:rPr>
        <w:t xml:space="preserve"> The information may not be used for anything else but identifying links with ongoing investigations and prosecutions and for the support of th</w:t>
      </w:r>
      <w:r w:rsidR="00D4054E">
        <w:rPr>
          <w:noProof/>
        </w:rPr>
        <w:t>ose investigations and prosecutions</w:t>
      </w:r>
      <w:r w:rsidR="002B1990" w:rsidRPr="7CC317AF">
        <w:rPr>
          <w:noProof/>
        </w:rPr>
        <w:t xml:space="preserve">. </w:t>
      </w:r>
    </w:p>
    <w:p w14:paraId="501E5656" w14:textId="595E993D" w:rsidR="00DB5074" w:rsidRDefault="00306677" w:rsidP="00306677">
      <w:pPr>
        <w:pStyle w:val="ManualConsidrant"/>
        <w:rPr>
          <w:noProof/>
        </w:rPr>
      </w:pPr>
      <w:r w:rsidRPr="00306677">
        <w:t>(23)</w:t>
      </w:r>
      <w:r w:rsidRPr="00306677">
        <w:tab/>
      </w:r>
      <w:r w:rsidR="00DB5074">
        <w:rPr>
          <w:noProof/>
        </w:rPr>
        <w:t>Eurojust has concluded twelve cooperation agreements with third countries</w:t>
      </w:r>
      <w:r w:rsidR="00715ADE">
        <w:rPr>
          <w:noProof/>
        </w:rPr>
        <w:t xml:space="preserve">, </w:t>
      </w:r>
      <w:r w:rsidR="00DB5074">
        <w:rPr>
          <w:noProof/>
        </w:rPr>
        <w:t xml:space="preserve">which allow for the transfer of operational personal data and the secondment of a third country liaison prosecutor to Eurojust. </w:t>
      </w:r>
      <w:r w:rsidR="00E56C74">
        <w:rPr>
          <w:noProof/>
        </w:rPr>
        <w:t>Moreover,</w:t>
      </w:r>
      <w:r w:rsidR="00DB5074">
        <w:rPr>
          <w:noProof/>
        </w:rPr>
        <w:t xml:space="preserve"> the </w:t>
      </w:r>
      <w:r w:rsidR="00DB5074" w:rsidRPr="004A0E53">
        <w:rPr>
          <w:noProof/>
        </w:rPr>
        <w:t>Trade and Cooperation Agreement between the European Union and the United Kingdom</w:t>
      </w:r>
      <w:r w:rsidR="00715ADE">
        <w:rPr>
          <w:rStyle w:val="FootnoteReference"/>
          <w:noProof/>
        </w:rPr>
        <w:footnoteReference w:id="41"/>
      </w:r>
      <w:r w:rsidR="00715ADE">
        <w:rPr>
          <w:noProof/>
        </w:rPr>
        <w:t xml:space="preserve"> </w:t>
      </w:r>
      <w:r w:rsidR="00DB5074">
        <w:rPr>
          <w:noProof/>
        </w:rPr>
        <w:t>allows for the secon</w:t>
      </w:r>
      <w:r w:rsidR="0041167C">
        <w:rPr>
          <w:noProof/>
        </w:rPr>
        <w:t>dment of a liaison prosecutor. In March 2021, t</w:t>
      </w:r>
      <w:r w:rsidR="00DB5074">
        <w:rPr>
          <w:noProof/>
        </w:rPr>
        <w:t xml:space="preserve">he Council </w:t>
      </w:r>
      <w:r w:rsidR="005B2C37">
        <w:rPr>
          <w:noProof/>
        </w:rPr>
        <w:t>gave</w:t>
      </w:r>
      <w:r w:rsidR="00DB5074">
        <w:rPr>
          <w:noProof/>
        </w:rPr>
        <w:t xml:space="preserve"> the Commission </w:t>
      </w:r>
      <w:r w:rsidR="0025259D">
        <w:rPr>
          <w:noProof/>
        </w:rPr>
        <w:t>a mandate</w:t>
      </w:r>
      <w:r w:rsidR="00715ADE">
        <w:rPr>
          <w:rStyle w:val="FootnoteReference"/>
          <w:noProof/>
        </w:rPr>
        <w:footnoteReference w:id="42"/>
      </w:r>
      <w:r w:rsidR="00DB5074">
        <w:rPr>
          <w:noProof/>
        </w:rPr>
        <w:t xml:space="preserve"> to negotiate further cooperation agreements on the cooperation between Eurojust and thirteen further third states. </w:t>
      </w:r>
    </w:p>
    <w:p w14:paraId="36E30319" w14:textId="299BCEF0" w:rsidR="00DB5074" w:rsidRDefault="00306677" w:rsidP="00306677">
      <w:pPr>
        <w:pStyle w:val="ManualConsidrant"/>
        <w:rPr>
          <w:noProof/>
        </w:rPr>
      </w:pPr>
      <w:r w:rsidRPr="00306677">
        <w:t>(24)</w:t>
      </w:r>
      <w:r w:rsidRPr="00306677">
        <w:tab/>
      </w:r>
      <w:r w:rsidR="00DB5074">
        <w:rPr>
          <w:noProof/>
        </w:rPr>
        <w:t xml:space="preserve">While Regulation (EU) 2018/1727 provides a legal basis for the cooperation and exchange of data with third countries, it does not contain any rules on the </w:t>
      </w:r>
      <w:r w:rsidR="00862E51" w:rsidRPr="00862E51">
        <w:rPr>
          <w:noProof/>
        </w:rPr>
        <w:t xml:space="preserve">formal and technical aspects of the </w:t>
      </w:r>
      <w:r w:rsidR="00DB5074">
        <w:rPr>
          <w:noProof/>
        </w:rPr>
        <w:t xml:space="preserve">cooperation with third country liaison prosecutors seconded </w:t>
      </w:r>
      <w:r w:rsidR="00BD4426">
        <w:rPr>
          <w:noProof/>
        </w:rPr>
        <w:t>to</w:t>
      </w:r>
      <w:r w:rsidR="00DB5074">
        <w:rPr>
          <w:noProof/>
        </w:rPr>
        <w:t xml:space="preserve"> Eurojust, in particular their access to the case management system. In the interest of legal certainty, Regulation (EU) 2018/1727 should provide an explicit legal basis for the cooperation between Eurojust and the third country liaison prosecutors and their access to the Eurojust case management system.</w:t>
      </w:r>
      <w:r w:rsidR="007C6BF5">
        <w:rPr>
          <w:noProof/>
        </w:rPr>
        <w:t xml:space="preserve"> Eurojust should </w:t>
      </w:r>
      <w:r w:rsidR="001E388E">
        <w:rPr>
          <w:noProof/>
        </w:rPr>
        <w:t>ensure</w:t>
      </w:r>
      <w:r w:rsidR="007C6BF5">
        <w:rPr>
          <w:noProof/>
        </w:rPr>
        <w:t xml:space="preserve"> adequate safeguards and security measures </w:t>
      </w:r>
      <w:r w:rsidR="001E388E">
        <w:rPr>
          <w:noProof/>
        </w:rPr>
        <w:t xml:space="preserve">for the protection of data and fundamental rights </w:t>
      </w:r>
      <w:r w:rsidR="007C6BF5">
        <w:rPr>
          <w:noProof/>
        </w:rPr>
        <w:t>through the technical setup and internal rules.</w:t>
      </w:r>
      <w:r w:rsidR="00DB5074" w:rsidRPr="7CC317AF">
        <w:rPr>
          <w:noProof/>
        </w:rPr>
        <w:t xml:space="preserve"> </w:t>
      </w:r>
    </w:p>
    <w:p w14:paraId="3DFAB877" w14:textId="11168FEA" w:rsidR="00DB5074" w:rsidRDefault="00306677" w:rsidP="00306677">
      <w:pPr>
        <w:pStyle w:val="ManualConsidrant"/>
        <w:rPr>
          <w:noProof/>
        </w:rPr>
      </w:pPr>
      <w:r w:rsidRPr="00306677">
        <w:t>(25)</w:t>
      </w:r>
      <w:r w:rsidRPr="00306677">
        <w:tab/>
      </w:r>
      <w:r w:rsidR="00DB5074" w:rsidRPr="00136576">
        <w:rPr>
          <w:noProof/>
        </w:rPr>
        <w:t>In the interest of clarity,</w:t>
      </w:r>
      <w:r w:rsidR="00DB5074">
        <w:rPr>
          <w:noProof/>
        </w:rPr>
        <w:t xml:space="preserve"> the relationship between the exchange of information between national competent authorities on terrorism cases with Eurojust under Decision 2005/671/JHA and Regulation (EU) 2018/1727 should be clarified. Therefore, the relevant provisions should be deleted from Decision 200</w:t>
      </w:r>
      <w:r w:rsidR="00B0081F">
        <w:rPr>
          <w:noProof/>
        </w:rPr>
        <w:t>5</w:t>
      </w:r>
      <w:r w:rsidR="00DB5074">
        <w:rPr>
          <w:noProof/>
        </w:rPr>
        <w:t xml:space="preserve">/671/JHA and be </w:t>
      </w:r>
      <w:r w:rsidR="00D4054E">
        <w:rPr>
          <w:noProof/>
        </w:rPr>
        <w:t xml:space="preserve">added to </w:t>
      </w:r>
      <w:r w:rsidR="00DB5074">
        <w:rPr>
          <w:noProof/>
        </w:rPr>
        <w:t xml:space="preserve">Regulation (EU) 2018/1727. </w:t>
      </w:r>
    </w:p>
    <w:p w14:paraId="1393EDE7" w14:textId="2C6DF32B" w:rsidR="00DB5074" w:rsidRPr="00201489" w:rsidRDefault="00306677" w:rsidP="00306677">
      <w:pPr>
        <w:pStyle w:val="ManualConsidrant"/>
        <w:rPr>
          <w:noProof/>
        </w:rPr>
      </w:pPr>
      <w:r w:rsidRPr="00306677">
        <w:t>(26)</w:t>
      </w:r>
      <w:r w:rsidRPr="00306677">
        <w:tab/>
      </w:r>
      <w:r w:rsidR="00DB5074">
        <w:rPr>
          <w:noProof/>
        </w:rPr>
        <w:t>While some Member States’ competent national authorities are already connected to secure telecommunication connection as referred to in Article 9 of Council Decision 2008/976/JHA</w:t>
      </w:r>
      <w:r w:rsidR="00715ADE">
        <w:rPr>
          <w:rStyle w:val="FootnoteReference"/>
          <w:noProof/>
        </w:rPr>
        <w:footnoteReference w:id="43"/>
      </w:r>
      <w:r w:rsidR="00715ADE" w:rsidRPr="58C9E2C4">
        <w:rPr>
          <w:noProof/>
        </w:rPr>
        <w:t xml:space="preserve">, </w:t>
      </w:r>
      <w:r w:rsidR="00DB5074">
        <w:rPr>
          <w:noProof/>
        </w:rPr>
        <w:t>many competent authorities are not yet connected to secure telecommunication connection or secure communication channels. In order to ensure</w:t>
      </w:r>
      <w:r w:rsidR="009253BB">
        <w:rPr>
          <w:noProof/>
        </w:rPr>
        <w:t xml:space="preserve"> that the</w:t>
      </w:r>
      <w:r w:rsidR="00DB5074">
        <w:rPr>
          <w:noProof/>
        </w:rPr>
        <w:t xml:space="preserve"> Member States have sufficient time to provide such a connection for the competent authorities, a transitional period for implementation should be granted.</w:t>
      </w:r>
    </w:p>
    <w:p w14:paraId="0A647F10" w14:textId="40E85767" w:rsidR="00B0081F" w:rsidRDefault="00306677" w:rsidP="00306677">
      <w:pPr>
        <w:pStyle w:val="ManualConsidrant"/>
        <w:rPr>
          <w:noProof/>
        </w:rPr>
      </w:pPr>
      <w:r w:rsidRPr="00306677">
        <w:t>(27)</w:t>
      </w:r>
      <w:r w:rsidRPr="00306677">
        <w:tab/>
      </w:r>
      <w:r w:rsidR="00B0081F">
        <w:rPr>
          <w:noProof/>
        </w:rPr>
        <w:t>[</w:t>
      </w:r>
      <w:r w:rsidR="00DB5074" w:rsidRPr="00E66668">
        <w:rPr>
          <w:noProof/>
        </w:rPr>
        <w:t>In accordance with Articles 1, 2 and 4a(1) of Protocol No 21 on the position of the United Kingdom and Ireland in respect of the area of freedom, security and justice, annexed to the Treaty on European Union and the Treaty on the Functioning of the European Union, and without prejudice to Article 4 of that Protocol, Ireland is not taking part in the adoption of this Regulation and is not bound by it or subject to its application.</w:t>
      </w:r>
      <w:r w:rsidR="00B0081F">
        <w:rPr>
          <w:noProof/>
        </w:rPr>
        <w:t>]</w:t>
      </w:r>
      <w:r w:rsidR="00670CD3">
        <w:rPr>
          <w:noProof/>
        </w:rPr>
        <w:t xml:space="preserve"> OR</w:t>
      </w:r>
      <w:r w:rsidR="006121D0">
        <w:rPr>
          <w:noProof/>
        </w:rPr>
        <w:t xml:space="preserve"> </w:t>
      </w:r>
      <w:r w:rsidR="00B0081F">
        <w:rPr>
          <w:noProof/>
        </w:rPr>
        <w:t xml:space="preserve">[In accordance with Article 3 and Article 4a(1) </w:t>
      </w:r>
      <w:r w:rsidR="00B0081F" w:rsidRPr="00B0081F">
        <w:rPr>
          <w:noProof/>
        </w:rPr>
        <w:t>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w:t>
      </w:r>
      <w:r w:rsidR="00B0081F">
        <w:rPr>
          <w:noProof/>
        </w:rPr>
        <w:t>nd application of this Regulation.</w:t>
      </w:r>
      <w:r w:rsidR="00B0081F" w:rsidRPr="00B0081F">
        <w:rPr>
          <w:noProof/>
        </w:rPr>
        <w:t>]</w:t>
      </w:r>
    </w:p>
    <w:p w14:paraId="690BDAE3" w14:textId="107A5A56" w:rsidR="00DB5074" w:rsidRPr="00E4521C" w:rsidRDefault="00306677" w:rsidP="00306677">
      <w:pPr>
        <w:pStyle w:val="ManualConsidrant"/>
        <w:rPr>
          <w:noProof/>
        </w:rPr>
      </w:pPr>
      <w:r w:rsidRPr="00306677">
        <w:t>(28)</w:t>
      </w:r>
      <w:r w:rsidRPr="00306677">
        <w:tab/>
      </w:r>
      <w:r w:rsidR="00DB5074" w:rsidRPr="00E66668">
        <w:rPr>
          <w:noProof/>
        </w:rPr>
        <w:t xml:space="preserve">In accordance with Articles 1 and 2 of Protocol No 22 on the Position of Denmark annexed to the Treaty on European Union and the Treaty on the Functioning of the European Union, Denmark is not taking part in the adoption of this Regulation and is not </w:t>
      </w:r>
      <w:r w:rsidR="00DB5074" w:rsidRPr="00E4521C">
        <w:rPr>
          <w:noProof/>
        </w:rPr>
        <w:t>bound by it or subject to its application.</w:t>
      </w:r>
    </w:p>
    <w:p w14:paraId="149D7AC9" w14:textId="176ECB4F" w:rsidR="00DB5074" w:rsidRPr="00E4521C" w:rsidRDefault="00306677" w:rsidP="00306677">
      <w:pPr>
        <w:pStyle w:val="ManualConsidrant"/>
        <w:rPr>
          <w:noProof/>
          <w:lang w:val="en-US"/>
        </w:rPr>
      </w:pPr>
      <w:r w:rsidRPr="00306677">
        <w:t>(29)</w:t>
      </w:r>
      <w:r w:rsidRPr="00306677">
        <w:tab/>
      </w:r>
      <w:r w:rsidR="00DB5074" w:rsidRPr="00E4521C">
        <w:rPr>
          <w:noProof/>
        </w:rPr>
        <w:t>The European Data Protection Supervisor was consulted in accordance with Article 42 of Regulation (EU) 2018/1725 and delivered an opinion on XX/XX 20XX</w:t>
      </w:r>
      <w:r w:rsidR="009F44C4" w:rsidRPr="00E4521C">
        <w:rPr>
          <w:noProof/>
        </w:rPr>
        <w:t>,</w:t>
      </w:r>
    </w:p>
    <w:p w14:paraId="787C36B3" w14:textId="77777777" w:rsidR="00EB0A3C" w:rsidRPr="00F96E01" w:rsidRDefault="00EB0A3C" w:rsidP="00715ADE">
      <w:pPr>
        <w:pStyle w:val="Formuledadoption"/>
        <w:rPr>
          <w:noProof/>
        </w:rPr>
      </w:pPr>
      <w:r w:rsidRPr="00F96E01">
        <w:rPr>
          <w:noProof/>
        </w:rPr>
        <w:t>HAVE ADOPTED THIS REGULATION:</w:t>
      </w:r>
    </w:p>
    <w:p w14:paraId="504B6E62" w14:textId="77777777" w:rsidR="00EB0A3C" w:rsidRPr="00F96E01" w:rsidRDefault="00EB0A3C" w:rsidP="00DB5074">
      <w:pPr>
        <w:pStyle w:val="Titrearticle"/>
        <w:rPr>
          <w:noProof/>
        </w:rPr>
      </w:pPr>
      <w:r w:rsidRPr="00F96E01">
        <w:rPr>
          <w:noProof/>
        </w:rPr>
        <w:t>Article 1</w:t>
      </w:r>
    </w:p>
    <w:p w14:paraId="78D67B17" w14:textId="078DEF91" w:rsidR="00E11514" w:rsidRPr="006A0D14" w:rsidRDefault="00E11514">
      <w:pPr>
        <w:jc w:val="center"/>
        <w:rPr>
          <w:b/>
          <w:bCs/>
          <w:noProof/>
          <w:lang w:val="en-US"/>
        </w:rPr>
      </w:pPr>
      <w:r w:rsidRPr="00805B56">
        <w:rPr>
          <w:b/>
          <w:bCs/>
          <w:noProof/>
          <w:lang w:val="en-US"/>
        </w:rPr>
        <w:t>Am</w:t>
      </w:r>
      <w:r w:rsidR="009253BB" w:rsidRPr="00805B56">
        <w:rPr>
          <w:b/>
          <w:bCs/>
          <w:noProof/>
          <w:lang w:val="en-US"/>
        </w:rPr>
        <w:t>endments to Regulation (EU) 2018</w:t>
      </w:r>
      <w:r w:rsidRPr="00805B56">
        <w:rPr>
          <w:b/>
          <w:bCs/>
          <w:noProof/>
          <w:lang w:val="en-US"/>
        </w:rPr>
        <w:t>/1727</w:t>
      </w:r>
    </w:p>
    <w:p w14:paraId="573D2B39" w14:textId="5FC010F2" w:rsidR="00E11514" w:rsidRDefault="00E11514" w:rsidP="00E11514">
      <w:pPr>
        <w:rPr>
          <w:noProof/>
        </w:rPr>
      </w:pPr>
      <w:r w:rsidRPr="00E11514">
        <w:rPr>
          <w:noProof/>
        </w:rPr>
        <w:t>Regulation (EU</w:t>
      </w:r>
      <w:r w:rsidR="00EF6FAD">
        <w:rPr>
          <w:noProof/>
        </w:rPr>
        <w:t>)</w:t>
      </w:r>
      <w:r w:rsidRPr="00E11514">
        <w:rPr>
          <w:noProof/>
        </w:rPr>
        <w:t xml:space="preserve"> 2017/1727 is amended as follows:</w:t>
      </w:r>
    </w:p>
    <w:p w14:paraId="60B00BF0" w14:textId="5326ED6A" w:rsidR="00DB5074" w:rsidRPr="004B68C9" w:rsidRDefault="00306677" w:rsidP="00306677">
      <w:pPr>
        <w:pStyle w:val="Point0"/>
        <w:rPr>
          <w:noProof/>
        </w:rPr>
      </w:pPr>
      <w:r w:rsidRPr="00306677">
        <w:t>(1)</w:t>
      </w:r>
      <w:r w:rsidRPr="00306677">
        <w:tab/>
      </w:r>
      <w:r w:rsidR="00CA33A5">
        <w:rPr>
          <w:noProof/>
        </w:rPr>
        <w:t>i</w:t>
      </w:r>
      <w:r w:rsidR="00E11514" w:rsidRPr="00DB5074">
        <w:rPr>
          <w:noProof/>
        </w:rPr>
        <w:t xml:space="preserve">n </w:t>
      </w:r>
      <w:r w:rsidR="00E11514" w:rsidRPr="004B68C9">
        <w:rPr>
          <w:noProof/>
        </w:rPr>
        <w:t xml:space="preserve">Article 3, paragraph 5 is </w:t>
      </w:r>
      <w:r w:rsidR="00CA33A5">
        <w:rPr>
          <w:noProof/>
        </w:rPr>
        <w:t>replaced by the following</w:t>
      </w:r>
      <w:r w:rsidR="00E11514" w:rsidRPr="004B68C9">
        <w:rPr>
          <w:noProof/>
        </w:rPr>
        <w:t xml:space="preserve">: </w:t>
      </w:r>
    </w:p>
    <w:p w14:paraId="5CC6D50C" w14:textId="1F1E8FD1" w:rsidR="00DB5074" w:rsidRPr="004B68C9" w:rsidRDefault="00DB5074" w:rsidP="00B61C1A">
      <w:pPr>
        <w:pStyle w:val="Text1"/>
        <w:rPr>
          <w:noProof/>
        </w:rPr>
      </w:pPr>
      <w:r w:rsidRPr="004B68C9">
        <w:rPr>
          <w:noProof/>
        </w:rPr>
        <w:t>“</w:t>
      </w:r>
      <w:r w:rsidR="00715ADE" w:rsidRPr="004B68C9">
        <w:rPr>
          <w:noProof/>
        </w:rPr>
        <w:t xml:space="preserve">5. </w:t>
      </w:r>
      <w:r w:rsidRPr="004B68C9">
        <w:rPr>
          <w:noProof/>
        </w:rPr>
        <w:t xml:space="preserve">Eurojust may also assist with investigations and prosecutions that only affect </w:t>
      </w:r>
      <w:r w:rsidRPr="00805B56">
        <w:rPr>
          <w:noProof/>
        </w:rPr>
        <w:t xml:space="preserve">a </w:t>
      </w:r>
      <w:r w:rsidRPr="004B68C9">
        <w:rPr>
          <w:noProof/>
        </w:rPr>
        <w:t>Member State and a third country</w:t>
      </w:r>
      <w:r w:rsidRPr="00805B56">
        <w:rPr>
          <w:noProof/>
        </w:rPr>
        <w:t xml:space="preserve"> or a Member State and an international organisation</w:t>
      </w:r>
      <w:r w:rsidRPr="004B68C9">
        <w:rPr>
          <w:noProof/>
        </w:rPr>
        <w:t xml:space="preserve">, provided that a cooperation agreement or arrangement establishing cooperation pursuant to Article 52 has been concluded with that third country or that </w:t>
      </w:r>
      <w:r w:rsidRPr="00805B56">
        <w:rPr>
          <w:noProof/>
        </w:rPr>
        <w:t xml:space="preserve">international organisation, or </w:t>
      </w:r>
      <w:r w:rsidRPr="004B68C9">
        <w:rPr>
          <w:noProof/>
        </w:rPr>
        <w:t>provided that in a specific case there is an essential interest in providing such assistance.”</w:t>
      </w:r>
      <w:r w:rsidR="00EF32C4">
        <w:rPr>
          <w:noProof/>
        </w:rPr>
        <w:t>;</w:t>
      </w:r>
    </w:p>
    <w:p w14:paraId="52E8058D" w14:textId="21F51B59" w:rsidR="00E11514" w:rsidRPr="00DB5074" w:rsidRDefault="00306677" w:rsidP="00306677">
      <w:pPr>
        <w:pStyle w:val="Point0"/>
        <w:rPr>
          <w:noProof/>
        </w:rPr>
      </w:pPr>
      <w:r w:rsidRPr="00306677">
        <w:t>(2)</w:t>
      </w:r>
      <w:r w:rsidRPr="00306677">
        <w:tab/>
      </w:r>
      <w:r w:rsidR="00CA33A5">
        <w:rPr>
          <w:noProof/>
        </w:rPr>
        <w:t>i</w:t>
      </w:r>
      <w:r w:rsidR="00E11514" w:rsidRPr="00DB5074">
        <w:rPr>
          <w:noProof/>
        </w:rPr>
        <w:t xml:space="preserve">n Article 20, </w:t>
      </w:r>
      <w:r w:rsidR="00D043CB">
        <w:rPr>
          <w:noProof/>
        </w:rPr>
        <w:t>the following paragraph 2a is inserted</w:t>
      </w:r>
      <w:r w:rsidR="00E11514" w:rsidRPr="7CC317AF">
        <w:rPr>
          <w:noProof/>
        </w:rPr>
        <w:t>:</w:t>
      </w:r>
    </w:p>
    <w:p w14:paraId="2A29C40C" w14:textId="52F46ED4" w:rsidR="00DF2E95" w:rsidRPr="000C1C04" w:rsidRDefault="00DF2E95" w:rsidP="00B61C1A">
      <w:pPr>
        <w:pStyle w:val="Text1"/>
        <w:rPr>
          <w:noProof/>
        </w:rPr>
      </w:pPr>
      <w:r w:rsidRPr="7CC317AF">
        <w:rPr>
          <w:noProof/>
        </w:rPr>
        <w:t>“</w:t>
      </w:r>
      <w:r w:rsidR="00D043CB">
        <w:rPr>
          <w:noProof/>
        </w:rPr>
        <w:t>2a</w:t>
      </w:r>
      <w:r w:rsidR="00715ADE" w:rsidRPr="7CC317AF">
        <w:rPr>
          <w:noProof/>
        </w:rPr>
        <w:t>.</w:t>
      </w:r>
      <w:r w:rsidRPr="7CC317AF">
        <w:rPr>
          <w:noProof/>
        </w:rPr>
        <w:t xml:space="preserve"> </w:t>
      </w:r>
      <w:r w:rsidRPr="000C1C04">
        <w:rPr>
          <w:noProof/>
        </w:rPr>
        <w:t xml:space="preserve">Each Member State shall designate </w:t>
      </w:r>
      <w:r w:rsidR="00047DFD">
        <w:rPr>
          <w:noProof/>
        </w:rPr>
        <w:t>a competent national authority as Eurojust national correspondent for terrorism matters. This national correspondent for terrorism matters shall</w:t>
      </w:r>
      <w:r w:rsidR="004F0B61">
        <w:rPr>
          <w:noProof/>
        </w:rPr>
        <w:t xml:space="preserve"> be a</w:t>
      </w:r>
      <w:r w:rsidR="004F0B61" w:rsidRPr="7CC317AF">
        <w:rPr>
          <w:noProof/>
        </w:rPr>
        <w:t xml:space="preserve"> </w:t>
      </w:r>
      <w:r w:rsidR="00047DFD">
        <w:rPr>
          <w:noProof/>
        </w:rPr>
        <w:t xml:space="preserve">judicial or other competent authority. Where the national legal system requires, more than one authority can be designated. The national correspondent for terrorism matters shall have access to </w:t>
      </w:r>
      <w:r w:rsidRPr="000C1C04">
        <w:rPr>
          <w:noProof/>
        </w:rPr>
        <w:t xml:space="preserve">all relevant information </w:t>
      </w:r>
      <w:r>
        <w:rPr>
          <w:noProof/>
        </w:rPr>
        <w:t>in accordance with Article 21a</w:t>
      </w:r>
      <w:r w:rsidR="00B0081F">
        <w:rPr>
          <w:noProof/>
        </w:rPr>
        <w:t>(1)</w:t>
      </w:r>
      <w:r w:rsidR="00047DFD">
        <w:rPr>
          <w:noProof/>
        </w:rPr>
        <w:t>. It shall be competent to collect such information</w:t>
      </w:r>
      <w:r w:rsidRPr="000C1C04">
        <w:rPr>
          <w:noProof/>
        </w:rPr>
        <w:t xml:space="preserve"> and </w:t>
      </w:r>
      <w:r w:rsidR="00047DFD">
        <w:rPr>
          <w:noProof/>
        </w:rPr>
        <w:t xml:space="preserve">to </w:t>
      </w:r>
      <w:r w:rsidRPr="000C1C04">
        <w:rPr>
          <w:noProof/>
        </w:rPr>
        <w:t>send it to Eurojust.</w:t>
      </w:r>
      <w:r w:rsidRPr="7CC317AF">
        <w:rPr>
          <w:noProof/>
        </w:rPr>
        <w:t>”</w:t>
      </w:r>
      <w:r w:rsidR="00EF32C4">
        <w:rPr>
          <w:noProof/>
        </w:rPr>
        <w:t>;</w:t>
      </w:r>
    </w:p>
    <w:p w14:paraId="1F52C153" w14:textId="411D73ED" w:rsidR="00E11514" w:rsidRPr="00DF2E95" w:rsidRDefault="00306677" w:rsidP="00306677">
      <w:pPr>
        <w:pStyle w:val="Point0"/>
        <w:rPr>
          <w:noProof/>
        </w:rPr>
      </w:pPr>
      <w:r w:rsidRPr="00306677">
        <w:t>(3)</w:t>
      </w:r>
      <w:r w:rsidRPr="00306677">
        <w:tab/>
      </w:r>
      <w:r w:rsidR="00E11514" w:rsidRPr="00805B56">
        <w:rPr>
          <w:noProof/>
        </w:rPr>
        <w:t>Article 21 is amended as follows:</w:t>
      </w:r>
    </w:p>
    <w:p w14:paraId="44CF5323" w14:textId="36219352" w:rsidR="00DF2E95" w:rsidRDefault="00306677" w:rsidP="00306677">
      <w:pPr>
        <w:pStyle w:val="Point1"/>
        <w:rPr>
          <w:noProof/>
        </w:rPr>
      </w:pPr>
      <w:r w:rsidRPr="00306677">
        <w:t>(a)</w:t>
      </w:r>
      <w:r w:rsidRPr="00306677">
        <w:tab/>
      </w:r>
      <w:r w:rsidR="00DF2E95">
        <w:rPr>
          <w:noProof/>
        </w:rPr>
        <w:t xml:space="preserve">paragraph 9 is </w:t>
      </w:r>
      <w:r w:rsidR="007A7F2F">
        <w:rPr>
          <w:noProof/>
        </w:rPr>
        <w:t>replaced by the following</w:t>
      </w:r>
      <w:r w:rsidR="00DF2E95" w:rsidRPr="7CC317AF">
        <w:rPr>
          <w:noProof/>
        </w:rPr>
        <w:t>:</w:t>
      </w:r>
    </w:p>
    <w:p w14:paraId="60B53237" w14:textId="3060F307" w:rsidR="00DF2E95" w:rsidRDefault="00DF2E95" w:rsidP="00B61C1A">
      <w:pPr>
        <w:pStyle w:val="Text1"/>
        <w:rPr>
          <w:noProof/>
        </w:rPr>
      </w:pPr>
      <w:r w:rsidRPr="7CC317AF">
        <w:rPr>
          <w:noProof/>
        </w:rPr>
        <w:t>“</w:t>
      </w:r>
      <w:r w:rsidR="00715ADE">
        <w:rPr>
          <w:noProof/>
        </w:rPr>
        <w:t>9.</w:t>
      </w:r>
      <w:r w:rsidR="00943F7F">
        <w:rPr>
          <w:noProof/>
        </w:rPr>
        <w:t xml:space="preserve"> </w:t>
      </w:r>
      <w:r>
        <w:rPr>
          <w:noProof/>
        </w:rPr>
        <w:t xml:space="preserve">This Article </w:t>
      </w:r>
      <w:r w:rsidR="007A7F2F">
        <w:rPr>
          <w:noProof/>
        </w:rPr>
        <w:t>shall not affect</w:t>
      </w:r>
      <w:r w:rsidRPr="7CC317AF">
        <w:rPr>
          <w:noProof/>
        </w:rPr>
        <w:t xml:space="preserve"> </w:t>
      </w:r>
      <w:r>
        <w:rPr>
          <w:noProof/>
        </w:rPr>
        <w:t>other obligations regarding the transmission of information to Eurojust.”</w:t>
      </w:r>
      <w:r w:rsidR="00EF32C4">
        <w:rPr>
          <w:noProof/>
        </w:rPr>
        <w:t>;</w:t>
      </w:r>
    </w:p>
    <w:p w14:paraId="22545348" w14:textId="0F471C9E" w:rsidR="00E11514" w:rsidRPr="00E11514" w:rsidRDefault="00306677" w:rsidP="00306677">
      <w:pPr>
        <w:pStyle w:val="Point1"/>
        <w:rPr>
          <w:noProof/>
        </w:rPr>
      </w:pPr>
      <w:r w:rsidRPr="00306677">
        <w:t>(b)</w:t>
      </w:r>
      <w:r w:rsidRPr="00306677">
        <w:tab/>
      </w:r>
      <w:r w:rsidR="00DF2E95" w:rsidRPr="00DF2E95">
        <w:rPr>
          <w:noProof/>
        </w:rPr>
        <w:t>paragraph 10 is deleted</w:t>
      </w:r>
      <w:r w:rsidR="00EF32C4">
        <w:rPr>
          <w:noProof/>
        </w:rPr>
        <w:t>;</w:t>
      </w:r>
    </w:p>
    <w:p w14:paraId="180BA8D5" w14:textId="325F5B87" w:rsidR="00E11514" w:rsidRPr="00DF2E95" w:rsidRDefault="00306677" w:rsidP="00306677">
      <w:pPr>
        <w:pStyle w:val="Point0"/>
        <w:rPr>
          <w:noProof/>
        </w:rPr>
      </w:pPr>
      <w:r w:rsidRPr="00306677">
        <w:t>(4)</w:t>
      </w:r>
      <w:r w:rsidRPr="00306677">
        <w:tab/>
      </w:r>
      <w:r w:rsidR="00E11514" w:rsidRPr="00DF2E95">
        <w:rPr>
          <w:noProof/>
        </w:rPr>
        <w:t>the following Article 21a is inserted:</w:t>
      </w:r>
    </w:p>
    <w:p w14:paraId="1258A549" w14:textId="77777777" w:rsidR="00DF2E95" w:rsidRPr="003223BD" w:rsidRDefault="00DF2E95" w:rsidP="160710AA">
      <w:pPr>
        <w:jc w:val="center"/>
        <w:rPr>
          <w:noProof/>
        </w:rPr>
      </w:pPr>
      <w:r w:rsidRPr="00805B56">
        <w:rPr>
          <w:noProof/>
        </w:rPr>
        <w:t>“</w:t>
      </w:r>
      <w:r w:rsidRPr="00450CE1">
        <w:rPr>
          <w:i/>
          <w:iCs/>
          <w:noProof/>
        </w:rPr>
        <w:t>Article 21a</w:t>
      </w:r>
    </w:p>
    <w:p w14:paraId="6DC993F2" w14:textId="77777777" w:rsidR="00DF2E95" w:rsidRPr="00450CE1" w:rsidRDefault="00DF2E95">
      <w:pPr>
        <w:jc w:val="center"/>
        <w:rPr>
          <w:b/>
          <w:noProof/>
        </w:rPr>
      </w:pPr>
      <w:r w:rsidRPr="00450CE1">
        <w:rPr>
          <w:b/>
          <w:bCs/>
          <w:noProof/>
        </w:rPr>
        <w:t>Exchange of information on terrorism cases</w:t>
      </w:r>
    </w:p>
    <w:p w14:paraId="693D8E1E" w14:textId="3D9258A4" w:rsidR="00DF2E95" w:rsidRPr="008E47AE" w:rsidRDefault="00306677" w:rsidP="00306677">
      <w:pPr>
        <w:pStyle w:val="ManualNumPar1"/>
        <w:rPr>
          <w:noProof/>
        </w:rPr>
      </w:pPr>
      <w:r w:rsidRPr="00306677">
        <w:t>1.</w:t>
      </w:r>
      <w:r w:rsidRPr="00306677">
        <w:tab/>
      </w:r>
      <w:r w:rsidR="00DF2E95" w:rsidRPr="008E47AE">
        <w:rPr>
          <w:noProof/>
        </w:rPr>
        <w:t xml:space="preserve">The competent national authorities shall inform their national members </w:t>
      </w:r>
      <w:r w:rsidR="00DF2E95">
        <w:rPr>
          <w:noProof/>
        </w:rPr>
        <w:t>of</w:t>
      </w:r>
      <w:r w:rsidR="00DF2E95" w:rsidRPr="008E47AE">
        <w:rPr>
          <w:noProof/>
        </w:rPr>
        <w:t xml:space="preserve"> any ongoing or concluded criminal investigations supervised by judicial authorities</w:t>
      </w:r>
      <w:r w:rsidR="00DF2E95">
        <w:rPr>
          <w:noProof/>
        </w:rPr>
        <w:t>,</w:t>
      </w:r>
      <w:r w:rsidR="00DF2E95" w:rsidRPr="008E47AE" w:rsidDel="004A7DBA">
        <w:rPr>
          <w:noProof/>
        </w:rPr>
        <w:t xml:space="preserve"> </w:t>
      </w:r>
      <w:r w:rsidR="00DF2E95" w:rsidRPr="008E47AE">
        <w:rPr>
          <w:noProof/>
        </w:rPr>
        <w:t>prosecutions, court proceedings and court decisions on terrorist offences as soon as jud</w:t>
      </w:r>
      <w:r w:rsidR="009253BB">
        <w:rPr>
          <w:noProof/>
        </w:rPr>
        <w:t>icial authorities are involved.</w:t>
      </w:r>
    </w:p>
    <w:p w14:paraId="7982019E" w14:textId="08A1ADB9" w:rsidR="00DF2E95" w:rsidRPr="00DD6846" w:rsidRDefault="00306677" w:rsidP="00306677">
      <w:pPr>
        <w:pStyle w:val="ManualNumPar1"/>
        <w:rPr>
          <w:noProof/>
        </w:rPr>
      </w:pPr>
      <w:r w:rsidRPr="00306677">
        <w:t>2.</w:t>
      </w:r>
      <w:r w:rsidRPr="00306677">
        <w:tab/>
      </w:r>
      <w:r w:rsidR="00DF2E95" w:rsidRPr="00DD6846">
        <w:rPr>
          <w:noProof/>
        </w:rPr>
        <w:t xml:space="preserve">Terrorist offences for the purpose of this </w:t>
      </w:r>
      <w:r w:rsidR="007D5116">
        <w:rPr>
          <w:noProof/>
        </w:rPr>
        <w:t>A</w:t>
      </w:r>
      <w:r w:rsidR="00DF2E95" w:rsidRPr="00DD6846">
        <w:rPr>
          <w:noProof/>
        </w:rPr>
        <w:t>rticle are offences referred to in Directive (EU) 2017/541 of the European Parliament and of the Council</w:t>
      </w:r>
      <w:r w:rsidR="007D5116" w:rsidRPr="7CC317AF">
        <w:rPr>
          <w:noProof/>
        </w:rPr>
        <w:t>*</w:t>
      </w:r>
      <w:r w:rsidR="00146009" w:rsidRPr="7CC317AF">
        <w:rPr>
          <w:noProof/>
        </w:rPr>
        <w:t>.</w:t>
      </w:r>
      <w:r w:rsidR="00DF2E95" w:rsidRPr="00DD6846">
        <w:rPr>
          <w:noProof/>
        </w:rPr>
        <w:t xml:space="preserve"> The obligation referred to in paragraph 1</w:t>
      </w:r>
      <w:r w:rsidR="007D5116">
        <w:rPr>
          <w:noProof/>
        </w:rPr>
        <w:t xml:space="preserve"> shall</w:t>
      </w:r>
      <w:r w:rsidR="00DF2E95" w:rsidRPr="7CC317AF">
        <w:rPr>
          <w:noProof/>
        </w:rPr>
        <w:t xml:space="preserve"> </w:t>
      </w:r>
      <w:r w:rsidR="007D5116" w:rsidRPr="00DD6846">
        <w:rPr>
          <w:noProof/>
        </w:rPr>
        <w:t>appl</w:t>
      </w:r>
      <w:r w:rsidR="007D5116">
        <w:rPr>
          <w:noProof/>
        </w:rPr>
        <w:t>y</w:t>
      </w:r>
      <w:r w:rsidR="007D5116" w:rsidRPr="7CC317AF">
        <w:rPr>
          <w:noProof/>
        </w:rPr>
        <w:t xml:space="preserve"> </w:t>
      </w:r>
      <w:r w:rsidR="00DF2E95" w:rsidRPr="00DD6846">
        <w:rPr>
          <w:noProof/>
        </w:rPr>
        <w:t xml:space="preserve">to all terrorist offences </w:t>
      </w:r>
      <w:r w:rsidR="007D5116">
        <w:rPr>
          <w:noProof/>
        </w:rPr>
        <w:t xml:space="preserve">regardless whether there is a </w:t>
      </w:r>
      <w:r w:rsidR="00DF2E95" w:rsidRPr="00DD6846">
        <w:rPr>
          <w:noProof/>
        </w:rPr>
        <w:t xml:space="preserve">known link to another Member State or third </w:t>
      </w:r>
      <w:r w:rsidR="007D5116">
        <w:rPr>
          <w:noProof/>
        </w:rPr>
        <w:t>country</w:t>
      </w:r>
      <w:r w:rsidR="00910A5C">
        <w:rPr>
          <w:noProof/>
        </w:rPr>
        <w:t>, unless the case, due to its specific circumstances, clearly affects only one Member State</w:t>
      </w:r>
      <w:r w:rsidR="00DF2E95" w:rsidRPr="003D34A1">
        <w:rPr>
          <w:noProof/>
          <w:color w:val="000000" w:themeColor="text1"/>
        </w:rPr>
        <w:t xml:space="preserve">. </w:t>
      </w:r>
    </w:p>
    <w:p w14:paraId="0B84F9BF" w14:textId="3F67B543" w:rsidR="00DF2E95" w:rsidRPr="008E47AE" w:rsidRDefault="00306677" w:rsidP="00306677">
      <w:pPr>
        <w:pStyle w:val="ManualNumPar1"/>
        <w:rPr>
          <w:noProof/>
        </w:rPr>
      </w:pPr>
      <w:r w:rsidRPr="00306677">
        <w:t>3.</w:t>
      </w:r>
      <w:r w:rsidRPr="00306677">
        <w:tab/>
      </w:r>
      <w:r w:rsidR="00DF2E95" w:rsidRPr="008E47AE">
        <w:rPr>
          <w:noProof/>
        </w:rPr>
        <w:t>The information transmitted in accordance with paragraph 1 shall</w:t>
      </w:r>
      <w:r w:rsidR="004D2520" w:rsidRPr="7CC317AF">
        <w:rPr>
          <w:noProof/>
        </w:rPr>
        <w:t xml:space="preserve"> </w:t>
      </w:r>
      <w:r w:rsidR="00DF2E95" w:rsidRPr="008E47AE">
        <w:rPr>
          <w:noProof/>
        </w:rPr>
        <w:t>include</w:t>
      </w:r>
      <w:r w:rsidR="00BD03A3" w:rsidRPr="7CC317AF">
        <w:rPr>
          <w:noProof/>
        </w:rPr>
        <w:t xml:space="preserve"> </w:t>
      </w:r>
      <w:r w:rsidR="00DF2E95" w:rsidRPr="00DD6846">
        <w:rPr>
          <w:noProof/>
        </w:rPr>
        <w:t>the operational personal data and non</w:t>
      </w:r>
      <w:r w:rsidR="00DF2E95" w:rsidRPr="7CC317AF">
        <w:rPr>
          <w:noProof/>
        </w:rPr>
        <w:t>-</w:t>
      </w:r>
      <w:r w:rsidR="00DF2E95" w:rsidRPr="00DD6846">
        <w:rPr>
          <w:noProof/>
        </w:rPr>
        <w:t>personal data listed in Annex II</w:t>
      </w:r>
      <w:r w:rsidR="00BF39A5">
        <w:rPr>
          <w:noProof/>
        </w:rPr>
        <w:t>I</w:t>
      </w:r>
      <w:r w:rsidR="00DF2E95" w:rsidRPr="7CC317AF">
        <w:rPr>
          <w:noProof/>
        </w:rPr>
        <w:t>.</w:t>
      </w:r>
    </w:p>
    <w:p w14:paraId="37B8ADEB" w14:textId="39D51A88" w:rsidR="009F44C4" w:rsidRDefault="00306677" w:rsidP="00306677">
      <w:pPr>
        <w:pStyle w:val="ManualNumPar1"/>
        <w:rPr>
          <w:noProof/>
        </w:rPr>
      </w:pPr>
      <w:r w:rsidRPr="00306677">
        <w:t>4.</w:t>
      </w:r>
      <w:r w:rsidRPr="00306677">
        <w:tab/>
      </w:r>
      <w:r w:rsidR="00DF2E95" w:rsidRPr="008E47AE">
        <w:rPr>
          <w:noProof/>
        </w:rPr>
        <w:t xml:space="preserve">The competent national authorities shall inform their national member without delay about any </w:t>
      </w:r>
      <w:r w:rsidR="00615067">
        <w:rPr>
          <w:noProof/>
        </w:rPr>
        <w:t>relevant</w:t>
      </w:r>
      <w:r w:rsidR="00615067" w:rsidRPr="7CC317AF">
        <w:rPr>
          <w:noProof/>
        </w:rPr>
        <w:t xml:space="preserve"> </w:t>
      </w:r>
      <w:r w:rsidR="00DF2E95" w:rsidRPr="008E47AE">
        <w:rPr>
          <w:noProof/>
        </w:rPr>
        <w:t>change</w:t>
      </w:r>
      <w:r w:rsidR="00615067">
        <w:rPr>
          <w:noProof/>
        </w:rPr>
        <w:t>s</w:t>
      </w:r>
      <w:r w:rsidR="00DF2E95" w:rsidRPr="7CC317AF">
        <w:rPr>
          <w:noProof/>
        </w:rPr>
        <w:t xml:space="preserve"> </w:t>
      </w:r>
      <w:r w:rsidR="00615067">
        <w:rPr>
          <w:noProof/>
        </w:rPr>
        <w:t>in the</w:t>
      </w:r>
      <w:r w:rsidR="00DF2E95" w:rsidRPr="008E47AE">
        <w:rPr>
          <w:noProof/>
        </w:rPr>
        <w:t xml:space="preserve"> national proceedings</w:t>
      </w:r>
      <w:r w:rsidR="00DF2E95" w:rsidRPr="7CC317AF">
        <w:rPr>
          <w:noProof/>
        </w:rPr>
        <w:t xml:space="preserve">. </w:t>
      </w:r>
    </w:p>
    <w:p w14:paraId="076DC4DE" w14:textId="100F583C" w:rsidR="00DF2E95" w:rsidRPr="0070470E" w:rsidRDefault="00DF2E95" w:rsidP="00670CD3">
      <w:pPr>
        <w:pStyle w:val="Text1"/>
        <w:rPr>
          <w:noProof/>
        </w:rPr>
      </w:pPr>
      <w:r w:rsidRPr="0070470E">
        <w:rPr>
          <w:noProof/>
        </w:rPr>
        <w:t xml:space="preserve">Without prejudice to </w:t>
      </w:r>
      <w:r w:rsidR="00537298">
        <w:rPr>
          <w:noProof/>
        </w:rPr>
        <w:t>the first subparagraph</w:t>
      </w:r>
      <w:r w:rsidRPr="0070470E">
        <w:rPr>
          <w:noProof/>
        </w:rPr>
        <w:t xml:space="preserve">, the national authorities shall </w:t>
      </w:r>
      <w:r w:rsidR="00F5367F">
        <w:rPr>
          <w:noProof/>
        </w:rPr>
        <w:t>review and provide an</w:t>
      </w:r>
      <w:r w:rsidR="00537298" w:rsidRPr="7CC317AF">
        <w:rPr>
          <w:noProof/>
        </w:rPr>
        <w:t xml:space="preserve"> </w:t>
      </w:r>
      <w:r w:rsidRPr="0070470E">
        <w:rPr>
          <w:noProof/>
        </w:rPr>
        <w:t xml:space="preserve">update </w:t>
      </w:r>
      <w:r w:rsidR="00F5367F">
        <w:rPr>
          <w:noProof/>
        </w:rPr>
        <w:t xml:space="preserve">on </w:t>
      </w:r>
      <w:r w:rsidRPr="0070470E">
        <w:rPr>
          <w:noProof/>
        </w:rPr>
        <w:t>the information</w:t>
      </w:r>
      <w:r w:rsidR="00537298" w:rsidRPr="7CC317AF">
        <w:rPr>
          <w:noProof/>
        </w:rPr>
        <w:t xml:space="preserve"> </w:t>
      </w:r>
      <w:r w:rsidR="00F5367F">
        <w:rPr>
          <w:noProof/>
        </w:rPr>
        <w:t xml:space="preserve">transmitted </w:t>
      </w:r>
      <w:r w:rsidR="00537298">
        <w:rPr>
          <w:noProof/>
        </w:rPr>
        <w:t>under paragraph 1 at least</w:t>
      </w:r>
      <w:r w:rsidRPr="0070470E">
        <w:rPr>
          <w:noProof/>
        </w:rPr>
        <w:t xml:space="preserve"> every three months. </w:t>
      </w:r>
    </w:p>
    <w:p w14:paraId="7382C315" w14:textId="3F730008" w:rsidR="007D5116" w:rsidRDefault="00306677" w:rsidP="00306677">
      <w:pPr>
        <w:pStyle w:val="ManualNumPar1"/>
        <w:rPr>
          <w:noProof/>
        </w:rPr>
      </w:pPr>
      <w:r w:rsidRPr="00306677">
        <w:t>5.</w:t>
      </w:r>
      <w:r w:rsidRPr="00306677">
        <w:tab/>
      </w:r>
      <w:r w:rsidR="00DF2E95" w:rsidRPr="00362EB1">
        <w:rPr>
          <w:noProof/>
        </w:rPr>
        <w:t xml:space="preserve">Paragraph 1 </w:t>
      </w:r>
      <w:r w:rsidR="00537298">
        <w:rPr>
          <w:noProof/>
        </w:rPr>
        <w:t>shall not apply</w:t>
      </w:r>
      <w:r w:rsidR="00DF2E95" w:rsidRPr="00A31395">
        <w:rPr>
          <w:noProof/>
        </w:rPr>
        <w:t xml:space="preserve"> where the sharing of information would jeopardise current investigatio</w:t>
      </w:r>
      <w:r w:rsidR="00DF2E95" w:rsidRPr="00E777D8">
        <w:rPr>
          <w:noProof/>
        </w:rPr>
        <w:t>ns or the safety of an individual, or when it would be contrary to essential interests of the security of the Member State concerned.</w:t>
      </w:r>
    </w:p>
    <w:p w14:paraId="1A175CD3" w14:textId="30177A14" w:rsidR="007D5116" w:rsidRDefault="007D5116" w:rsidP="00197F34">
      <w:pPr>
        <w:pStyle w:val="Text1"/>
        <w:rPr>
          <w:noProof/>
        </w:rPr>
      </w:pPr>
      <w:r w:rsidRPr="7CC317AF">
        <w:rPr>
          <w:noProof/>
        </w:rPr>
        <w:t>____________</w:t>
      </w:r>
    </w:p>
    <w:p w14:paraId="686EB113" w14:textId="649E1E1A" w:rsidR="007D5116" w:rsidRPr="007D5116" w:rsidRDefault="007D5116" w:rsidP="00197F34">
      <w:pPr>
        <w:pStyle w:val="Text1"/>
        <w:rPr>
          <w:noProof/>
        </w:rPr>
      </w:pPr>
      <w:r>
        <w:rPr>
          <w:noProof/>
        </w:rPr>
        <w:t>* Directive (EU) 2017/541 of the European Parliament and of the Council of 15 March 2017 on combating terrorism and replacing Council Framework Decision 2002/475/JHA and amending Council Decision 2005/671/JHA (OJ L 88, 31.3.2017, p. 6).”</w:t>
      </w:r>
      <w:r w:rsidR="00EF32C4">
        <w:rPr>
          <w:noProof/>
        </w:rPr>
        <w:t>;</w:t>
      </w:r>
    </w:p>
    <w:p w14:paraId="01FFD459" w14:textId="37CC9B6A" w:rsidR="00DF2E95" w:rsidRPr="00DF2E95" w:rsidRDefault="00306677" w:rsidP="00306677">
      <w:pPr>
        <w:pStyle w:val="Point0"/>
        <w:rPr>
          <w:noProof/>
        </w:rPr>
      </w:pPr>
      <w:r w:rsidRPr="00306677">
        <w:t>(5)</w:t>
      </w:r>
      <w:r w:rsidRPr="00306677">
        <w:tab/>
      </w:r>
      <w:r w:rsidR="00DF2E95" w:rsidRPr="00DF2E95">
        <w:rPr>
          <w:noProof/>
        </w:rPr>
        <w:t>the following Article</w:t>
      </w:r>
      <w:r w:rsidR="009F44C4">
        <w:rPr>
          <w:noProof/>
        </w:rPr>
        <w:t>s</w:t>
      </w:r>
      <w:r w:rsidR="00DF2E95" w:rsidRPr="00DF2E95">
        <w:rPr>
          <w:noProof/>
        </w:rPr>
        <w:t xml:space="preserve"> 22a</w:t>
      </w:r>
      <w:r w:rsidR="00EF6FAD">
        <w:rPr>
          <w:noProof/>
        </w:rPr>
        <w:t>,</w:t>
      </w:r>
      <w:r w:rsidR="00DF2E95" w:rsidRPr="00DF2E95">
        <w:rPr>
          <w:noProof/>
        </w:rPr>
        <w:t xml:space="preserve"> </w:t>
      </w:r>
      <w:r w:rsidR="00490DC9">
        <w:rPr>
          <w:noProof/>
        </w:rPr>
        <w:t>22b</w:t>
      </w:r>
      <w:r w:rsidR="00EF6FAD">
        <w:rPr>
          <w:noProof/>
        </w:rPr>
        <w:t xml:space="preserve"> and 22c</w:t>
      </w:r>
      <w:r w:rsidR="00490DC9">
        <w:rPr>
          <w:noProof/>
        </w:rPr>
        <w:t xml:space="preserve"> are</w:t>
      </w:r>
      <w:r w:rsidR="00DF2E95" w:rsidRPr="00DF2E95">
        <w:rPr>
          <w:noProof/>
        </w:rPr>
        <w:t xml:space="preserve"> inserted:</w:t>
      </w:r>
    </w:p>
    <w:p w14:paraId="4E8216CC" w14:textId="651C0A01" w:rsidR="00DF2E95" w:rsidRPr="00A75A07" w:rsidRDefault="00DF2E95" w:rsidP="160710AA">
      <w:pPr>
        <w:jc w:val="center"/>
        <w:rPr>
          <w:noProof/>
        </w:rPr>
      </w:pPr>
      <w:r w:rsidRPr="160710AA">
        <w:rPr>
          <w:i/>
          <w:iCs/>
          <w:noProof/>
        </w:rPr>
        <w:t>“Article 22a</w:t>
      </w:r>
    </w:p>
    <w:p w14:paraId="6FB1805A" w14:textId="6EC2568B" w:rsidR="00DF2E95" w:rsidRPr="00450CE1" w:rsidRDefault="00DF2E95">
      <w:pPr>
        <w:jc w:val="center"/>
        <w:rPr>
          <w:b/>
          <w:noProof/>
        </w:rPr>
      </w:pPr>
      <w:r w:rsidRPr="00450CE1">
        <w:rPr>
          <w:b/>
          <w:bCs/>
          <w:noProof/>
        </w:rPr>
        <w:t>Secure digital communication and data exchange between competent national authorities and Eurojust</w:t>
      </w:r>
    </w:p>
    <w:p w14:paraId="0795F14A" w14:textId="13F1A17B" w:rsidR="00DF2E95" w:rsidRPr="008E47AE" w:rsidRDefault="00306677" w:rsidP="00306677">
      <w:pPr>
        <w:pStyle w:val="ManualNumPar1"/>
        <w:rPr>
          <w:noProof/>
        </w:rPr>
      </w:pPr>
      <w:r w:rsidRPr="00306677">
        <w:t>1.</w:t>
      </w:r>
      <w:r w:rsidRPr="00306677">
        <w:tab/>
      </w:r>
      <w:r w:rsidR="00937679" w:rsidRPr="00937679">
        <w:rPr>
          <w:noProof/>
        </w:rPr>
        <w:t xml:space="preserve">The </w:t>
      </w:r>
      <w:r w:rsidR="00FE2273">
        <w:rPr>
          <w:noProof/>
        </w:rPr>
        <w:t>communication</w:t>
      </w:r>
      <w:r w:rsidR="00937679" w:rsidRPr="00937679">
        <w:rPr>
          <w:noProof/>
        </w:rPr>
        <w:t xml:space="preserve"> between the competent national authorities and Eurojust </w:t>
      </w:r>
      <w:r w:rsidR="00FE2273" w:rsidRPr="00FE2273">
        <w:rPr>
          <w:noProof/>
        </w:rPr>
        <w:t xml:space="preserve">under this Regulation </w:t>
      </w:r>
      <w:r w:rsidR="00DF2E95" w:rsidRPr="00E777D8">
        <w:rPr>
          <w:noProof/>
        </w:rPr>
        <w:t xml:space="preserve">shall be carried out through </w:t>
      </w:r>
      <w:r w:rsidR="00537298">
        <w:rPr>
          <w:noProof/>
        </w:rPr>
        <w:t xml:space="preserve">the </w:t>
      </w:r>
      <w:r w:rsidR="00DF2E95" w:rsidRPr="00E777D8">
        <w:rPr>
          <w:noProof/>
        </w:rPr>
        <w:t>decentralised IT system</w:t>
      </w:r>
      <w:r w:rsidR="00862E51">
        <w:rPr>
          <w:noProof/>
        </w:rPr>
        <w:t xml:space="preserve"> as </w:t>
      </w:r>
      <w:r w:rsidR="001B2863">
        <w:rPr>
          <w:noProof/>
        </w:rPr>
        <w:t>defined</w:t>
      </w:r>
      <w:r w:rsidR="00862E51">
        <w:rPr>
          <w:noProof/>
        </w:rPr>
        <w:t xml:space="preserve"> </w:t>
      </w:r>
      <w:r w:rsidR="00D00582">
        <w:rPr>
          <w:noProof/>
        </w:rPr>
        <w:t xml:space="preserve">in </w:t>
      </w:r>
      <w:r w:rsidR="00862E51">
        <w:rPr>
          <w:noProof/>
        </w:rPr>
        <w:t>Regulation (EU) [.../…]</w:t>
      </w:r>
      <w:r w:rsidR="00537298">
        <w:rPr>
          <w:noProof/>
        </w:rPr>
        <w:t xml:space="preserve"> of the European Parliament and of the Council</w:t>
      </w:r>
      <w:r w:rsidR="00537298" w:rsidRPr="7CC317AF">
        <w:rPr>
          <w:noProof/>
        </w:rPr>
        <w:t>*</w:t>
      </w:r>
      <w:r w:rsidR="00537298" w:rsidDel="00537298">
        <w:rPr>
          <w:rStyle w:val="FootnoteReference"/>
          <w:noProof/>
        </w:rPr>
        <w:t xml:space="preserve"> </w:t>
      </w:r>
      <w:r w:rsidR="00537298" w:rsidRPr="7CC317AF">
        <w:rPr>
          <w:noProof/>
        </w:rPr>
        <w:t>[</w:t>
      </w:r>
      <w:r w:rsidR="00537298" w:rsidRPr="006A0D14">
        <w:rPr>
          <w:i/>
          <w:iCs/>
          <w:noProof/>
        </w:rPr>
        <w:t>Regulation on the digitalisation of judicial cooperation</w:t>
      </w:r>
      <w:r w:rsidR="00537298" w:rsidRPr="7CC317AF">
        <w:rPr>
          <w:noProof/>
        </w:rPr>
        <w:t>]</w:t>
      </w:r>
      <w:r w:rsidR="00DF2E95" w:rsidRPr="7CC317AF">
        <w:rPr>
          <w:noProof/>
        </w:rPr>
        <w:t>.</w:t>
      </w:r>
    </w:p>
    <w:p w14:paraId="1E564946" w14:textId="1D384D13" w:rsidR="00264943" w:rsidRPr="00264943" w:rsidRDefault="00306677" w:rsidP="00306677">
      <w:pPr>
        <w:pStyle w:val="ManualNumPar1"/>
        <w:rPr>
          <w:noProof/>
        </w:rPr>
      </w:pPr>
      <w:r w:rsidRPr="00306677">
        <w:t>2.</w:t>
      </w:r>
      <w:r w:rsidRPr="00306677">
        <w:tab/>
      </w:r>
      <w:r w:rsidR="00264943" w:rsidRPr="002C63E1">
        <w:rPr>
          <w:noProof/>
        </w:rPr>
        <w:t xml:space="preserve">Where </w:t>
      </w:r>
      <w:r w:rsidR="00D00582" w:rsidRPr="002C63E1">
        <w:rPr>
          <w:noProof/>
        </w:rPr>
        <w:t>exchange of information</w:t>
      </w:r>
      <w:r w:rsidR="00264943" w:rsidRPr="002C63E1">
        <w:rPr>
          <w:noProof/>
        </w:rPr>
        <w:t xml:space="preserve"> in accordance with paragraph 1 is not possible due to the </w:t>
      </w:r>
      <w:r w:rsidR="00483345" w:rsidRPr="006121D0">
        <w:rPr>
          <w:noProof/>
        </w:rPr>
        <w:t>unavailability</w:t>
      </w:r>
      <w:r w:rsidR="00483345" w:rsidRPr="002C63E1">
        <w:rPr>
          <w:rFonts w:ascii="&amp;quot" w:hAnsi="&amp;quot"/>
          <w:noProof/>
        </w:rPr>
        <w:t xml:space="preserve"> </w:t>
      </w:r>
      <w:r w:rsidR="00264943" w:rsidRPr="002C63E1">
        <w:rPr>
          <w:noProof/>
        </w:rPr>
        <w:t>of the</w:t>
      </w:r>
      <w:r w:rsidR="00264943" w:rsidRPr="00805B56">
        <w:rPr>
          <w:noProof/>
        </w:rPr>
        <w:t xml:space="preserve"> decentralised IT system or due to exceptional circumstances, it shall be carried out by the swiftest, mos</w:t>
      </w:r>
      <w:r w:rsidR="001430C9" w:rsidRPr="006D3B69">
        <w:rPr>
          <w:noProof/>
        </w:rPr>
        <w:t>t appropriate alternative means. Member States and Eurojust shall ensure</w:t>
      </w:r>
      <w:r w:rsidR="00D00582" w:rsidRPr="006D3B69">
        <w:rPr>
          <w:noProof/>
        </w:rPr>
        <w:t xml:space="preserve"> that</w:t>
      </w:r>
      <w:r w:rsidR="001430C9" w:rsidRPr="006D3B69">
        <w:rPr>
          <w:noProof/>
        </w:rPr>
        <w:t xml:space="preserve"> the </w:t>
      </w:r>
      <w:r w:rsidR="001430C9" w:rsidRPr="00805B56">
        <w:rPr>
          <w:noProof/>
        </w:rPr>
        <w:t>alternat</w:t>
      </w:r>
      <w:r w:rsidR="00D00582" w:rsidRPr="00805B56">
        <w:rPr>
          <w:noProof/>
        </w:rPr>
        <w:t>iv</w:t>
      </w:r>
      <w:r w:rsidR="001430C9" w:rsidRPr="006D3B69">
        <w:rPr>
          <w:noProof/>
        </w:rPr>
        <w:t>e means of communication</w:t>
      </w:r>
      <w:r w:rsidR="00D00582" w:rsidRPr="006D3B69">
        <w:rPr>
          <w:noProof/>
        </w:rPr>
        <w:t xml:space="preserve"> are reliable and </w:t>
      </w:r>
      <w:r w:rsidR="00EF7254" w:rsidRPr="006D3B69">
        <w:rPr>
          <w:noProof/>
        </w:rPr>
        <w:t>provide an equival</w:t>
      </w:r>
      <w:r w:rsidR="009048AA">
        <w:rPr>
          <w:noProof/>
        </w:rPr>
        <w:t>en</w:t>
      </w:r>
      <w:r w:rsidR="00EF7254" w:rsidRPr="006D3B69">
        <w:rPr>
          <w:noProof/>
        </w:rPr>
        <w:t xml:space="preserve">t level of </w:t>
      </w:r>
      <w:r w:rsidR="00D00582" w:rsidRPr="006D3B69">
        <w:rPr>
          <w:noProof/>
        </w:rPr>
        <w:t>sec</w:t>
      </w:r>
      <w:r w:rsidR="00D00582" w:rsidRPr="001674C8">
        <w:rPr>
          <w:noProof/>
        </w:rPr>
        <w:t>ur</w:t>
      </w:r>
      <w:r w:rsidR="00EF7254" w:rsidRPr="001674C8">
        <w:rPr>
          <w:noProof/>
        </w:rPr>
        <w:t>ity</w:t>
      </w:r>
      <w:r w:rsidR="001430C9" w:rsidRPr="00E6804A">
        <w:rPr>
          <w:noProof/>
        </w:rPr>
        <w:t xml:space="preserve">. </w:t>
      </w:r>
    </w:p>
    <w:p w14:paraId="6F45CE68" w14:textId="67A0C1D1" w:rsidR="00F67BC0" w:rsidRDefault="00306677" w:rsidP="00306677">
      <w:pPr>
        <w:pStyle w:val="ManualNumPar1"/>
        <w:rPr>
          <w:noProof/>
        </w:rPr>
      </w:pPr>
      <w:r w:rsidRPr="00306677">
        <w:t>3.</w:t>
      </w:r>
      <w:r w:rsidRPr="00306677">
        <w:tab/>
      </w:r>
      <w:r w:rsidR="00DF2E95" w:rsidRPr="00805B56">
        <w:rPr>
          <w:noProof/>
        </w:rPr>
        <w:t>The competent national authorities shall transmit the information in accordance with Article</w:t>
      </w:r>
      <w:r w:rsidR="00D00582" w:rsidRPr="00805B56">
        <w:rPr>
          <w:noProof/>
        </w:rPr>
        <w:t>s</w:t>
      </w:r>
      <w:r w:rsidR="00DF2E95" w:rsidRPr="006D3B69">
        <w:rPr>
          <w:noProof/>
        </w:rPr>
        <w:t xml:space="preserve"> 21 and </w:t>
      </w:r>
      <w:r w:rsidR="00DF2E95" w:rsidRPr="00805B56">
        <w:rPr>
          <w:noProof/>
        </w:rPr>
        <w:t xml:space="preserve">21a to Eurojust </w:t>
      </w:r>
      <w:r w:rsidR="007F5CD0" w:rsidRPr="00805B56">
        <w:rPr>
          <w:noProof/>
        </w:rPr>
        <w:t xml:space="preserve">in a semi-automated manner from national registers and </w:t>
      </w:r>
      <w:r w:rsidR="00DF2E95" w:rsidRPr="006D3B69">
        <w:rPr>
          <w:noProof/>
        </w:rPr>
        <w:t>in a structur</w:t>
      </w:r>
      <w:r w:rsidR="007F5CD0" w:rsidRPr="006D3B69">
        <w:rPr>
          <w:noProof/>
        </w:rPr>
        <w:t>ed way determined by Eurojust</w:t>
      </w:r>
      <w:r w:rsidR="00DF2E95" w:rsidRPr="7CC317AF">
        <w:rPr>
          <w:noProof/>
        </w:rPr>
        <w:t xml:space="preserve">. </w:t>
      </w:r>
    </w:p>
    <w:p w14:paraId="362E6664" w14:textId="1019B669" w:rsidR="00537298" w:rsidRDefault="00537298" w:rsidP="00197F34">
      <w:pPr>
        <w:pStyle w:val="Text1"/>
        <w:rPr>
          <w:noProof/>
          <w:szCs w:val="24"/>
        </w:rPr>
      </w:pPr>
      <w:r w:rsidRPr="7CC317AF">
        <w:rPr>
          <w:noProof/>
        </w:rPr>
        <w:t>__________</w:t>
      </w:r>
    </w:p>
    <w:p w14:paraId="0E1EE09B" w14:textId="3CA0B541" w:rsidR="00490DC9" w:rsidRDefault="00537298" w:rsidP="00197F34">
      <w:pPr>
        <w:pStyle w:val="Text1"/>
        <w:rPr>
          <w:noProof/>
        </w:rPr>
      </w:pPr>
      <w:r w:rsidRPr="7CC317AF">
        <w:rPr>
          <w:noProof/>
        </w:rPr>
        <w:t xml:space="preserve">* </w:t>
      </w:r>
      <w:r w:rsidR="00B0081F">
        <w:rPr>
          <w:noProof/>
        </w:rPr>
        <w:t>[</w:t>
      </w:r>
      <w:r w:rsidRPr="002C63E1">
        <w:rPr>
          <w:i/>
          <w:noProof/>
        </w:rPr>
        <w:t xml:space="preserve">Regulation (EU) </w:t>
      </w:r>
      <w:r w:rsidR="00BE5431" w:rsidRPr="002C63E1">
        <w:rPr>
          <w:i/>
          <w:noProof/>
        </w:rPr>
        <w:t xml:space="preserve">[…/…] </w:t>
      </w:r>
      <w:r w:rsidRPr="002C63E1">
        <w:rPr>
          <w:i/>
          <w:noProof/>
        </w:rPr>
        <w:t>of the European Parliament and of the Council on the digitali</w:t>
      </w:r>
      <w:r w:rsidR="00943F7F" w:rsidRPr="002C63E1">
        <w:rPr>
          <w:i/>
          <w:noProof/>
        </w:rPr>
        <w:t>s</w:t>
      </w:r>
      <w:r w:rsidRPr="002C63E1">
        <w:rPr>
          <w:i/>
          <w:noProof/>
        </w:rPr>
        <w:t>ation of judicial cooperation</w:t>
      </w:r>
      <w:r w:rsidR="00B0081F">
        <w:rPr>
          <w:noProof/>
        </w:rPr>
        <w:t>]</w:t>
      </w:r>
      <w:r w:rsidR="00BE5431">
        <w:rPr>
          <w:noProof/>
        </w:rPr>
        <w:t>(</w:t>
      </w:r>
      <w:r w:rsidR="0091271D">
        <w:rPr>
          <w:noProof/>
        </w:rPr>
        <w:t>OJ L…).</w:t>
      </w:r>
    </w:p>
    <w:p w14:paraId="10612EA3" w14:textId="77777777" w:rsidR="00490DC9" w:rsidRPr="00490DC9" w:rsidRDefault="00490DC9" w:rsidP="00490DC9">
      <w:pPr>
        <w:shd w:val="clear" w:color="auto" w:fill="FFFFFF"/>
        <w:spacing w:after="0" w:line="312" w:lineRule="atLeast"/>
        <w:jc w:val="center"/>
        <w:rPr>
          <w:rFonts w:eastAsia="Times New Roman"/>
          <w:i/>
          <w:noProof/>
          <w:szCs w:val="24"/>
          <w:lang w:eastAsia="en-GB"/>
        </w:rPr>
      </w:pPr>
      <w:r w:rsidRPr="00490DC9">
        <w:rPr>
          <w:rFonts w:eastAsia="Times New Roman"/>
          <w:i/>
          <w:noProof/>
          <w:szCs w:val="24"/>
          <w:lang w:eastAsia="en-GB"/>
        </w:rPr>
        <w:t>Article 22b</w:t>
      </w:r>
    </w:p>
    <w:p w14:paraId="7B46D5CA" w14:textId="476B3C8E" w:rsidR="00490DC9" w:rsidRPr="00490DC9" w:rsidRDefault="00490DC9" w:rsidP="00490DC9">
      <w:pPr>
        <w:shd w:val="clear" w:color="auto" w:fill="FFFFFF"/>
        <w:spacing w:after="0" w:line="312" w:lineRule="atLeast"/>
        <w:jc w:val="center"/>
        <w:rPr>
          <w:rFonts w:eastAsia="Times New Roman"/>
          <w:b/>
          <w:noProof/>
          <w:szCs w:val="24"/>
          <w:lang w:eastAsia="en-GB"/>
        </w:rPr>
      </w:pPr>
      <w:r w:rsidRPr="00490DC9">
        <w:rPr>
          <w:rFonts w:eastAsia="Times New Roman"/>
          <w:b/>
          <w:noProof/>
          <w:szCs w:val="24"/>
          <w:lang w:eastAsia="en-GB"/>
        </w:rPr>
        <w:t xml:space="preserve">Adoption of implementing acts by the Commission </w:t>
      </w:r>
    </w:p>
    <w:p w14:paraId="67849786" w14:textId="32AB1065" w:rsidR="00490DC9" w:rsidRPr="00490DC9" w:rsidRDefault="00306677" w:rsidP="00306677">
      <w:pPr>
        <w:pStyle w:val="ManualNumPar1"/>
        <w:rPr>
          <w:noProof/>
          <w:lang w:eastAsia="en-GB"/>
        </w:rPr>
      </w:pPr>
      <w:r w:rsidRPr="00306677">
        <w:t>1.</w:t>
      </w:r>
      <w:r w:rsidRPr="00306677">
        <w:tab/>
      </w:r>
      <w:r w:rsidR="00490DC9" w:rsidRPr="00490DC9">
        <w:rPr>
          <w:noProof/>
          <w:lang w:eastAsia="en-GB"/>
        </w:rPr>
        <w:t>The Commission shall adopt the implementing acts necessary for the establishment and use of the decentralised IT system for communication under this Regulation, setting out the following:</w:t>
      </w:r>
    </w:p>
    <w:p w14:paraId="33F87478" w14:textId="00BECC2A" w:rsidR="00490DC9" w:rsidRDefault="00306677" w:rsidP="00306677">
      <w:pPr>
        <w:pStyle w:val="Point1"/>
        <w:rPr>
          <w:noProof/>
          <w:lang w:eastAsia="en-GB"/>
        </w:rPr>
      </w:pPr>
      <w:r w:rsidRPr="00306677">
        <w:t>(a)</w:t>
      </w:r>
      <w:r w:rsidRPr="00306677">
        <w:tab/>
      </w:r>
      <w:r w:rsidR="00490DC9" w:rsidRPr="00490DC9">
        <w:rPr>
          <w:noProof/>
          <w:lang w:eastAsia="en-GB"/>
        </w:rPr>
        <w:t>the technical specifications defining the methods of communication by electronic means for the purposes of the decentralised IT system;</w:t>
      </w:r>
    </w:p>
    <w:p w14:paraId="6BECA16F" w14:textId="05CF6769" w:rsidR="00490DC9" w:rsidRPr="00490DC9" w:rsidRDefault="00306677" w:rsidP="00306677">
      <w:pPr>
        <w:pStyle w:val="Point1"/>
        <w:rPr>
          <w:noProof/>
          <w:lang w:eastAsia="en-GB"/>
        </w:rPr>
      </w:pPr>
      <w:r w:rsidRPr="00306677">
        <w:t>(b)</w:t>
      </w:r>
      <w:r w:rsidRPr="00306677">
        <w:tab/>
      </w:r>
      <w:r w:rsidR="00490DC9" w:rsidRPr="00490DC9">
        <w:rPr>
          <w:noProof/>
          <w:lang w:eastAsia="en-GB"/>
        </w:rPr>
        <w:t>the technical specifications for communication protocols;</w:t>
      </w:r>
    </w:p>
    <w:p w14:paraId="1E668FF8" w14:textId="06159A5C" w:rsidR="00490DC9" w:rsidRPr="00490DC9" w:rsidRDefault="00306677" w:rsidP="00306677">
      <w:pPr>
        <w:pStyle w:val="Point1"/>
        <w:rPr>
          <w:noProof/>
          <w:lang w:eastAsia="en-GB"/>
        </w:rPr>
      </w:pPr>
      <w:r w:rsidRPr="00306677">
        <w:t>(c)</w:t>
      </w:r>
      <w:r w:rsidRPr="00306677">
        <w:tab/>
      </w:r>
      <w:r w:rsidR="00490DC9" w:rsidRPr="00490DC9">
        <w:rPr>
          <w:noProof/>
          <w:lang w:eastAsia="en-GB"/>
        </w:rPr>
        <w:t xml:space="preserve">the information security objectives and relevant technical measures ensuring minimum information security standards </w:t>
      </w:r>
      <w:r w:rsidR="0051581E">
        <w:rPr>
          <w:noProof/>
          <w:lang w:eastAsia="en-GB"/>
        </w:rPr>
        <w:t>and</w:t>
      </w:r>
      <w:r w:rsidR="00B52D62" w:rsidRPr="00B52D62">
        <w:rPr>
          <w:noProof/>
          <w:lang w:eastAsia="en-GB"/>
        </w:rPr>
        <w:t xml:space="preserve"> a high level of cybersecurity standards </w:t>
      </w:r>
      <w:r w:rsidR="00490DC9" w:rsidRPr="00490DC9">
        <w:rPr>
          <w:noProof/>
          <w:lang w:eastAsia="en-GB"/>
        </w:rPr>
        <w:t>for the processing and communication of information within the decentralised IT system;</w:t>
      </w:r>
    </w:p>
    <w:p w14:paraId="093B9FE0" w14:textId="73BBC8DC" w:rsidR="00490DC9" w:rsidRPr="00490DC9" w:rsidRDefault="00306677" w:rsidP="00306677">
      <w:pPr>
        <w:pStyle w:val="Point1"/>
        <w:rPr>
          <w:noProof/>
          <w:lang w:eastAsia="en-GB"/>
        </w:rPr>
      </w:pPr>
      <w:r w:rsidRPr="00306677">
        <w:t>(d)</w:t>
      </w:r>
      <w:r w:rsidRPr="00306677">
        <w:tab/>
      </w:r>
      <w:r w:rsidR="00490DC9" w:rsidRPr="00490DC9">
        <w:rPr>
          <w:noProof/>
          <w:lang w:eastAsia="en-GB"/>
        </w:rPr>
        <w:t>the minimum availability objectives and possible related technical requirements for the services provided by the decentralised IT system;</w:t>
      </w:r>
    </w:p>
    <w:p w14:paraId="226B7C6B" w14:textId="4F470C9D" w:rsidR="00490DC9" w:rsidRPr="00490DC9" w:rsidRDefault="00306677" w:rsidP="00306677">
      <w:pPr>
        <w:pStyle w:val="Point1"/>
        <w:rPr>
          <w:noProof/>
          <w:lang w:eastAsia="en-GB"/>
        </w:rPr>
      </w:pPr>
      <w:r w:rsidRPr="00306677">
        <w:t>(e)</w:t>
      </w:r>
      <w:r w:rsidRPr="00306677">
        <w:tab/>
      </w:r>
      <w:r w:rsidR="00490DC9" w:rsidRPr="00490DC9">
        <w:rPr>
          <w:noProof/>
          <w:lang w:eastAsia="en-GB"/>
        </w:rPr>
        <w:t>the establishment of a steering committee comprising representatives of the Member States to ensure the operation and maintenance of the decentralised IT system in order to meet the objectives of this Regulation.</w:t>
      </w:r>
    </w:p>
    <w:p w14:paraId="57E3ECE3" w14:textId="7E9FB09A" w:rsidR="0086392E" w:rsidRPr="00490DC9" w:rsidRDefault="00306677" w:rsidP="00306677">
      <w:pPr>
        <w:pStyle w:val="ManualNumPar1"/>
        <w:rPr>
          <w:noProof/>
          <w:lang w:eastAsia="en-GB"/>
        </w:rPr>
      </w:pPr>
      <w:r w:rsidRPr="00306677">
        <w:t>2.</w:t>
      </w:r>
      <w:r w:rsidRPr="00306677">
        <w:tab/>
      </w:r>
      <w:r w:rsidR="0086392E" w:rsidRPr="00490DC9">
        <w:rPr>
          <w:noProof/>
        </w:rPr>
        <w:t>The implementing acts referred to in paragraph 1 shall be adopted by [</w:t>
      </w:r>
      <w:r w:rsidR="0086392E" w:rsidRPr="007667B0">
        <w:rPr>
          <w:i/>
          <w:noProof/>
        </w:rPr>
        <w:t>2 years after entry into force</w:t>
      </w:r>
      <w:r w:rsidR="0086392E" w:rsidRPr="00490DC9">
        <w:rPr>
          <w:noProof/>
        </w:rPr>
        <w:t xml:space="preserve">] in accordance with the examination procedure referred to in </w:t>
      </w:r>
      <w:r w:rsidR="0086392E" w:rsidRPr="0086392E">
        <w:rPr>
          <w:noProof/>
        </w:rPr>
        <w:t>Article 22c</w:t>
      </w:r>
      <w:r w:rsidR="0086392E">
        <w:rPr>
          <w:noProof/>
        </w:rPr>
        <w:t>(2)</w:t>
      </w:r>
      <w:r w:rsidR="0086392E" w:rsidRPr="00490DC9">
        <w:rPr>
          <w:noProof/>
        </w:rPr>
        <w:t>.</w:t>
      </w:r>
    </w:p>
    <w:p w14:paraId="20111F11" w14:textId="16F1DFDB" w:rsidR="00430B03" w:rsidRPr="00490DC9" w:rsidRDefault="00430B03" w:rsidP="00430B03">
      <w:pPr>
        <w:shd w:val="clear" w:color="auto" w:fill="FFFFFF"/>
        <w:spacing w:after="0" w:line="312" w:lineRule="atLeast"/>
        <w:jc w:val="center"/>
        <w:rPr>
          <w:rFonts w:eastAsia="Times New Roman"/>
          <w:i/>
          <w:noProof/>
          <w:szCs w:val="24"/>
          <w:lang w:eastAsia="en-GB"/>
        </w:rPr>
      </w:pPr>
      <w:r>
        <w:rPr>
          <w:rFonts w:eastAsia="Times New Roman"/>
          <w:i/>
          <w:noProof/>
          <w:szCs w:val="24"/>
          <w:lang w:eastAsia="en-GB"/>
        </w:rPr>
        <w:t>Article 22c</w:t>
      </w:r>
    </w:p>
    <w:p w14:paraId="4BE18E57" w14:textId="0775E989" w:rsidR="00430B03" w:rsidRPr="00490DC9" w:rsidRDefault="00430B03" w:rsidP="00430B03">
      <w:pPr>
        <w:shd w:val="clear" w:color="auto" w:fill="FFFFFF"/>
        <w:spacing w:after="0" w:line="312" w:lineRule="atLeast"/>
        <w:jc w:val="center"/>
        <w:rPr>
          <w:rFonts w:eastAsia="Times New Roman"/>
          <w:b/>
          <w:noProof/>
          <w:szCs w:val="24"/>
          <w:lang w:eastAsia="en-GB"/>
        </w:rPr>
      </w:pPr>
      <w:r w:rsidRPr="00490DC9">
        <w:rPr>
          <w:rFonts w:eastAsia="Times New Roman"/>
          <w:b/>
          <w:noProof/>
          <w:szCs w:val="24"/>
          <w:lang w:eastAsia="en-GB"/>
        </w:rPr>
        <w:t>Committee Procedure</w:t>
      </w:r>
    </w:p>
    <w:p w14:paraId="77C079AD" w14:textId="5B91ACD1" w:rsidR="0086392E" w:rsidRDefault="00306677" w:rsidP="00306677">
      <w:pPr>
        <w:pStyle w:val="ManualNumPar1"/>
        <w:rPr>
          <w:noProof/>
          <w:lang w:eastAsia="en-GB"/>
        </w:rPr>
      </w:pPr>
      <w:r w:rsidRPr="00306677">
        <w:t>1.</w:t>
      </w:r>
      <w:r w:rsidRPr="00306677">
        <w:tab/>
      </w:r>
      <w:r w:rsidR="00490DC9" w:rsidRPr="00490DC9">
        <w:rPr>
          <w:noProof/>
          <w:lang w:eastAsia="en-GB"/>
        </w:rPr>
        <w:t>The Co</w:t>
      </w:r>
      <w:r w:rsidR="00560FF6">
        <w:rPr>
          <w:noProof/>
          <w:lang w:eastAsia="en-GB"/>
        </w:rPr>
        <w:t xml:space="preserve">mmission shall be assisted </w:t>
      </w:r>
      <w:r w:rsidR="00B0081F">
        <w:rPr>
          <w:noProof/>
          <w:lang w:eastAsia="en-GB"/>
        </w:rPr>
        <w:t xml:space="preserve">by </w:t>
      </w:r>
      <w:r w:rsidR="00D078C5">
        <w:rPr>
          <w:noProof/>
          <w:lang w:eastAsia="en-GB"/>
        </w:rPr>
        <w:t>a</w:t>
      </w:r>
      <w:r w:rsidR="00B0081F">
        <w:rPr>
          <w:noProof/>
          <w:lang w:eastAsia="en-GB"/>
        </w:rPr>
        <w:t xml:space="preserve"> committee</w:t>
      </w:r>
      <w:r w:rsidR="00490DC9" w:rsidRPr="00490DC9">
        <w:rPr>
          <w:noProof/>
          <w:lang w:eastAsia="en-GB"/>
        </w:rPr>
        <w:t xml:space="preserve">. </w:t>
      </w:r>
      <w:r w:rsidR="00490DC9" w:rsidRPr="00D078C5">
        <w:rPr>
          <w:noProof/>
        </w:rPr>
        <w:t xml:space="preserve">That committee shall be a committee within </w:t>
      </w:r>
      <w:r w:rsidR="00490DC9" w:rsidRPr="00560FF6">
        <w:rPr>
          <w:noProof/>
        </w:rPr>
        <w:t>the meaning of Regulation (EU) No 182/2011</w:t>
      </w:r>
      <w:r w:rsidR="00E84622" w:rsidRPr="00560FF6">
        <w:rPr>
          <w:noProof/>
        </w:rPr>
        <w:t xml:space="preserve"> of the European Parliament and of the Council</w:t>
      </w:r>
      <w:r w:rsidR="00490DC9" w:rsidRPr="00560FF6">
        <w:rPr>
          <w:noProof/>
        </w:rPr>
        <w:t>*</w:t>
      </w:r>
      <w:r w:rsidR="00490DC9" w:rsidRPr="00490DC9">
        <w:rPr>
          <w:noProof/>
          <w:lang w:eastAsia="en-GB"/>
        </w:rPr>
        <w:t xml:space="preserve">. </w:t>
      </w:r>
    </w:p>
    <w:p w14:paraId="1668EC8A" w14:textId="70006E3A" w:rsidR="0086392E" w:rsidRDefault="00306677" w:rsidP="00306677">
      <w:pPr>
        <w:pStyle w:val="ManualNumPar1"/>
        <w:rPr>
          <w:noProof/>
          <w:lang w:eastAsia="en-GB"/>
        </w:rPr>
      </w:pPr>
      <w:r w:rsidRPr="00306677">
        <w:t>2.</w:t>
      </w:r>
      <w:r w:rsidRPr="00306677">
        <w:tab/>
      </w:r>
      <w:r w:rsidR="0086392E" w:rsidRPr="0086392E">
        <w:rPr>
          <w:noProof/>
          <w:lang w:eastAsia="en-GB"/>
        </w:rPr>
        <w:t xml:space="preserve">Where reference is made to this paragraph, </w:t>
      </w:r>
      <w:r w:rsidR="00490DC9" w:rsidRPr="00490DC9">
        <w:rPr>
          <w:noProof/>
          <w:lang w:eastAsia="en-GB"/>
        </w:rPr>
        <w:t xml:space="preserve">Article 5 of Regulation (EU) No 182/2011 shall apply. </w:t>
      </w:r>
    </w:p>
    <w:p w14:paraId="309AC0C1" w14:textId="78C18CD8" w:rsidR="00490DC9" w:rsidRDefault="00490DC9" w:rsidP="00560FF6">
      <w:pPr>
        <w:pStyle w:val="Text1"/>
        <w:rPr>
          <w:noProof/>
          <w:lang w:eastAsia="en-GB"/>
        </w:rPr>
      </w:pPr>
      <w:r w:rsidRPr="00490DC9">
        <w:rPr>
          <w:noProof/>
          <w:lang w:eastAsia="en-GB"/>
        </w:rPr>
        <w:t>Where the committee delivers no opinion, the Commission shall not adopt the draft implementing act and Article 5(4)</w:t>
      </w:r>
      <w:r w:rsidR="00C71B01">
        <w:rPr>
          <w:noProof/>
          <w:lang w:eastAsia="en-GB"/>
        </w:rPr>
        <w:t>, third subparagraph,</w:t>
      </w:r>
      <w:r w:rsidRPr="00490DC9">
        <w:rPr>
          <w:noProof/>
          <w:lang w:eastAsia="en-GB"/>
        </w:rPr>
        <w:t xml:space="preserve"> of Regulation (EU) No 182/2011 shall apply.</w:t>
      </w:r>
    </w:p>
    <w:p w14:paraId="01CD7D8B" w14:textId="77777777" w:rsidR="00490DC9" w:rsidRPr="00490DC9" w:rsidRDefault="00490DC9" w:rsidP="00490DC9">
      <w:pPr>
        <w:ind w:firstLine="720"/>
        <w:rPr>
          <w:rFonts w:eastAsia="Calibri"/>
          <w:noProof/>
        </w:rPr>
      </w:pPr>
      <w:r w:rsidRPr="00490DC9">
        <w:rPr>
          <w:rFonts w:eastAsia="Calibri"/>
          <w:noProof/>
        </w:rPr>
        <w:t>__________</w:t>
      </w:r>
    </w:p>
    <w:p w14:paraId="49764AAE" w14:textId="487EC098" w:rsidR="00537298" w:rsidRPr="00490DC9" w:rsidRDefault="00490DC9" w:rsidP="006A0D14">
      <w:pPr>
        <w:ind w:left="720"/>
        <w:rPr>
          <w:rFonts w:eastAsia="Calibri"/>
          <w:noProof/>
        </w:rPr>
      </w:pPr>
      <w:r w:rsidRPr="00490DC9">
        <w:rPr>
          <w:rFonts w:eastAsia="Calibri"/>
          <w:noProof/>
        </w:rPr>
        <w:t>* Regulation (EU) No 182/2011 of the European Parliament and of the Council of 16 February 2011 laying down the rules and general principles concerning mechanisms for control by Member States of the Commission’s exercise of implementing powers (OJ L 55, 28.2.2011, p. 13).”</w:t>
      </w:r>
      <w:r w:rsidR="00EF32C4">
        <w:rPr>
          <w:rFonts w:eastAsia="Calibri"/>
          <w:noProof/>
        </w:rPr>
        <w:t>;</w:t>
      </w:r>
    </w:p>
    <w:p w14:paraId="640C4CA9" w14:textId="0F16928A" w:rsidR="00E11514" w:rsidRPr="00DF2E95" w:rsidRDefault="00306677" w:rsidP="00306677">
      <w:pPr>
        <w:pStyle w:val="Point0"/>
        <w:rPr>
          <w:noProof/>
        </w:rPr>
      </w:pPr>
      <w:r w:rsidRPr="00306677">
        <w:t>(6)</w:t>
      </w:r>
      <w:r w:rsidRPr="00306677">
        <w:tab/>
      </w:r>
      <w:r w:rsidR="00AB63ED" w:rsidRPr="00AB63ED">
        <w:rPr>
          <w:noProof/>
        </w:rPr>
        <w:t>Article</w:t>
      </w:r>
      <w:r w:rsidR="00D00582">
        <w:rPr>
          <w:noProof/>
        </w:rPr>
        <w:t>s</w:t>
      </w:r>
      <w:r w:rsidR="00AB63ED" w:rsidRPr="00AB63ED">
        <w:rPr>
          <w:noProof/>
        </w:rPr>
        <w:t xml:space="preserve"> 23</w:t>
      </w:r>
      <w:r w:rsidR="00D00582">
        <w:rPr>
          <w:noProof/>
        </w:rPr>
        <w:t>, 24 and 25</w:t>
      </w:r>
      <w:r w:rsidR="00AB63ED" w:rsidRPr="7CC317AF">
        <w:rPr>
          <w:noProof/>
        </w:rPr>
        <w:t xml:space="preserve"> </w:t>
      </w:r>
      <w:r w:rsidR="00D00582">
        <w:rPr>
          <w:noProof/>
        </w:rPr>
        <w:t>are</w:t>
      </w:r>
      <w:r w:rsidR="00AB63ED" w:rsidRPr="00AB63ED">
        <w:rPr>
          <w:noProof/>
        </w:rPr>
        <w:t xml:space="preserve"> </w:t>
      </w:r>
      <w:r w:rsidR="0086392E">
        <w:rPr>
          <w:noProof/>
        </w:rPr>
        <w:t>replaced by the following</w:t>
      </w:r>
      <w:r w:rsidR="0086392E" w:rsidRPr="00AB63ED">
        <w:rPr>
          <w:noProof/>
        </w:rPr>
        <w:t xml:space="preserve"> </w:t>
      </w:r>
      <w:r w:rsidR="00AB63ED" w:rsidRPr="00AB63ED">
        <w:rPr>
          <w:noProof/>
        </w:rPr>
        <w:t>:</w:t>
      </w:r>
    </w:p>
    <w:p w14:paraId="46E5EA5A" w14:textId="14EEFAEF" w:rsidR="00F44CB9" w:rsidRPr="00490DC9" w:rsidRDefault="00F44CB9" w:rsidP="00BE7C1D">
      <w:pPr>
        <w:jc w:val="center"/>
        <w:rPr>
          <w:i/>
          <w:noProof/>
        </w:rPr>
      </w:pPr>
      <w:r w:rsidRPr="00BD3BAC">
        <w:rPr>
          <w:noProof/>
        </w:rPr>
        <w:t>“</w:t>
      </w:r>
      <w:r w:rsidRPr="00490DC9">
        <w:rPr>
          <w:i/>
          <w:noProof/>
        </w:rPr>
        <w:t>Article 23</w:t>
      </w:r>
    </w:p>
    <w:p w14:paraId="7D5C5B4E" w14:textId="150E67EE" w:rsidR="00F44CB9" w:rsidRPr="00450CE1" w:rsidRDefault="00F44CB9" w:rsidP="00BE7C1D">
      <w:pPr>
        <w:jc w:val="center"/>
        <w:rPr>
          <w:b/>
          <w:noProof/>
        </w:rPr>
      </w:pPr>
      <w:r w:rsidRPr="00450CE1">
        <w:rPr>
          <w:b/>
          <w:noProof/>
        </w:rPr>
        <w:t>Case Management System</w:t>
      </w:r>
    </w:p>
    <w:p w14:paraId="5B27ACA8" w14:textId="43C8F2C7" w:rsidR="00F44CB9" w:rsidRPr="0061465F" w:rsidRDefault="00306677" w:rsidP="00306677">
      <w:pPr>
        <w:pStyle w:val="ManualNumPar1"/>
        <w:rPr>
          <w:noProof/>
        </w:rPr>
      </w:pPr>
      <w:r w:rsidRPr="00306677">
        <w:t>1.</w:t>
      </w:r>
      <w:r w:rsidRPr="00306677">
        <w:tab/>
      </w:r>
      <w:r w:rsidR="00F44CB9" w:rsidRPr="0061465F">
        <w:rPr>
          <w:noProof/>
        </w:rPr>
        <w:t xml:space="preserve">Eurojust shall establish a case management system for the processing of operational personal data </w:t>
      </w:r>
      <w:r w:rsidR="00D00582">
        <w:rPr>
          <w:noProof/>
        </w:rPr>
        <w:t>listed</w:t>
      </w:r>
      <w:r w:rsidR="00D00582" w:rsidRPr="7CC317AF">
        <w:rPr>
          <w:noProof/>
        </w:rPr>
        <w:t xml:space="preserve"> </w:t>
      </w:r>
      <w:r w:rsidR="00F44CB9" w:rsidRPr="0061465F">
        <w:rPr>
          <w:noProof/>
        </w:rPr>
        <w:t>in Annex II</w:t>
      </w:r>
      <w:r w:rsidR="00D01D15">
        <w:rPr>
          <w:noProof/>
        </w:rPr>
        <w:t>, the data listed in</w:t>
      </w:r>
      <w:r w:rsidR="00BF39A5">
        <w:rPr>
          <w:noProof/>
        </w:rPr>
        <w:t xml:space="preserve"> Annex III</w:t>
      </w:r>
      <w:r w:rsidR="00F44CB9" w:rsidRPr="0061465F">
        <w:rPr>
          <w:noProof/>
        </w:rPr>
        <w:t xml:space="preserve"> and non-personal data. </w:t>
      </w:r>
    </w:p>
    <w:p w14:paraId="1C178379" w14:textId="797976A1" w:rsidR="00F44CB9" w:rsidRPr="0061465F" w:rsidRDefault="00306677" w:rsidP="00306677">
      <w:pPr>
        <w:pStyle w:val="ManualNumPar1"/>
        <w:rPr>
          <w:noProof/>
        </w:rPr>
      </w:pPr>
      <w:r w:rsidRPr="00306677">
        <w:t>2.</w:t>
      </w:r>
      <w:r w:rsidRPr="00306677">
        <w:tab/>
      </w:r>
      <w:r w:rsidR="00F44CB9" w:rsidRPr="0061465F">
        <w:rPr>
          <w:noProof/>
        </w:rPr>
        <w:t>The purpose</w:t>
      </w:r>
      <w:r w:rsidR="00BC0FA1">
        <w:rPr>
          <w:noProof/>
        </w:rPr>
        <w:t>s</w:t>
      </w:r>
      <w:r w:rsidR="00F44CB9" w:rsidRPr="0061465F">
        <w:rPr>
          <w:noProof/>
        </w:rPr>
        <w:t xml:space="preserve"> of the case management system shall be to:</w:t>
      </w:r>
    </w:p>
    <w:p w14:paraId="4D1B75A6" w14:textId="62873E9A" w:rsidR="00F44CB9" w:rsidRPr="0061465F" w:rsidRDefault="00306677" w:rsidP="00306677">
      <w:pPr>
        <w:pStyle w:val="Point2"/>
        <w:rPr>
          <w:noProof/>
        </w:rPr>
      </w:pPr>
      <w:r w:rsidRPr="00306677">
        <w:t>(a)</w:t>
      </w:r>
      <w:r w:rsidRPr="00306677">
        <w:tab/>
      </w:r>
      <w:r w:rsidR="00F44CB9" w:rsidRPr="0061465F">
        <w:rPr>
          <w:noProof/>
        </w:rPr>
        <w:t>support the management and coordination of investigations and prosecutions for which Eurojust is providing assistance;</w:t>
      </w:r>
    </w:p>
    <w:p w14:paraId="317D4017" w14:textId="5F4B3042" w:rsidR="00AB63ED" w:rsidRDefault="00306677" w:rsidP="00306677">
      <w:pPr>
        <w:pStyle w:val="Point2"/>
        <w:rPr>
          <w:noProof/>
        </w:rPr>
      </w:pPr>
      <w:r w:rsidRPr="00306677">
        <w:t>(b)</w:t>
      </w:r>
      <w:r w:rsidRPr="00306677">
        <w:tab/>
      </w:r>
      <w:r w:rsidR="00F44CB9">
        <w:rPr>
          <w:noProof/>
        </w:rPr>
        <w:t>ensure</w:t>
      </w:r>
      <w:r w:rsidR="00F44CB9" w:rsidRPr="0061465F">
        <w:rPr>
          <w:noProof/>
        </w:rPr>
        <w:t xml:space="preserve"> secure access to and exchange of information on on-going investigations and prosecutions;</w:t>
      </w:r>
    </w:p>
    <w:p w14:paraId="2D108394" w14:textId="02DC7A44" w:rsidR="00AB63ED" w:rsidRDefault="00306677" w:rsidP="00306677">
      <w:pPr>
        <w:pStyle w:val="Point2"/>
        <w:rPr>
          <w:noProof/>
        </w:rPr>
      </w:pPr>
      <w:r w:rsidRPr="00306677">
        <w:t>(c)</w:t>
      </w:r>
      <w:r w:rsidRPr="00306677">
        <w:tab/>
      </w:r>
      <w:r w:rsidR="00F44CB9" w:rsidRPr="0061465F">
        <w:rPr>
          <w:noProof/>
        </w:rPr>
        <w:t xml:space="preserve">allow for the cross-checking of information </w:t>
      </w:r>
      <w:r w:rsidR="00F44CB9">
        <w:rPr>
          <w:noProof/>
        </w:rPr>
        <w:t>and</w:t>
      </w:r>
      <w:r w:rsidR="00F44CB9" w:rsidRPr="0061465F">
        <w:rPr>
          <w:noProof/>
        </w:rPr>
        <w:t xml:space="preserve"> </w:t>
      </w:r>
      <w:r w:rsidR="00F44CB9">
        <w:rPr>
          <w:noProof/>
        </w:rPr>
        <w:t>establishing cross-</w:t>
      </w:r>
      <w:r w:rsidR="00F44CB9" w:rsidRPr="0061465F">
        <w:rPr>
          <w:noProof/>
        </w:rPr>
        <w:t>links;</w:t>
      </w:r>
    </w:p>
    <w:p w14:paraId="6D949AB5" w14:textId="3907FF5E" w:rsidR="00AB63ED" w:rsidRPr="00AB63ED" w:rsidRDefault="00306677" w:rsidP="00306677">
      <w:pPr>
        <w:pStyle w:val="Point2"/>
        <w:rPr>
          <w:noProof/>
        </w:rPr>
      </w:pPr>
      <w:r w:rsidRPr="00306677">
        <w:t>(d)</w:t>
      </w:r>
      <w:r w:rsidRPr="00306677">
        <w:tab/>
      </w:r>
      <w:r w:rsidR="00F44CB9" w:rsidRPr="00AB63ED">
        <w:rPr>
          <w:noProof/>
        </w:rPr>
        <w:t>allow for the extraction of data for operational and statistical purposes;</w:t>
      </w:r>
    </w:p>
    <w:p w14:paraId="78FFF8B4" w14:textId="663276E4" w:rsidR="00F44CB9" w:rsidRPr="00AB63ED" w:rsidRDefault="00306677" w:rsidP="00306677">
      <w:pPr>
        <w:pStyle w:val="Point2"/>
        <w:rPr>
          <w:noProof/>
        </w:rPr>
      </w:pPr>
      <w:r w:rsidRPr="00306677">
        <w:t>(e)</w:t>
      </w:r>
      <w:r w:rsidRPr="00306677">
        <w:tab/>
      </w:r>
      <w:r w:rsidR="00F44CB9" w:rsidRPr="00AB63ED">
        <w:rPr>
          <w:noProof/>
        </w:rPr>
        <w:t>facilitate monitoring to ensure that the processing of operational personal data is lawful and complies with this Regulation and the ap</w:t>
      </w:r>
      <w:r w:rsidR="009253BB">
        <w:rPr>
          <w:noProof/>
        </w:rPr>
        <w:t>plicable data protection rules.</w:t>
      </w:r>
    </w:p>
    <w:p w14:paraId="0EF50169" w14:textId="379B91BB" w:rsidR="00F44CB9" w:rsidRDefault="00306677" w:rsidP="00306677">
      <w:pPr>
        <w:pStyle w:val="ManualNumPar1"/>
        <w:rPr>
          <w:noProof/>
        </w:rPr>
      </w:pPr>
      <w:r w:rsidRPr="00306677">
        <w:t>3.</w:t>
      </w:r>
      <w:r w:rsidRPr="00306677">
        <w:tab/>
      </w:r>
      <w:r w:rsidR="00F44CB9" w:rsidRPr="0061465F">
        <w:rPr>
          <w:noProof/>
        </w:rPr>
        <w:t>The case management system may be linked to the secure telecommunications connection referred to in Article 9 of Council Decision 2008/976/JHA</w:t>
      </w:r>
      <w:r w:rsidR="003D3A7C" w:rsidRPr="7CC317AF">
        <w:rPr>
          <w:noProof/>
        </w:rPr>
        <w:t>*</w:t>
      </w:r>
      <w:r w:rsidR="00B10821">
        <w:rPr>
          <w:noProof/>
        </w:rPr>
        <w:t xml:space="preserve"> </w:t>
      </w:r>
      <w:r w:rsidR="00F44CB9" w:rsidRPr="0061465F">
        <w:rPr>
          <w:noProof/>
        </w:rPr>
        <w:t xml:space="preserve">and other secure </w:t>
      </w:r>
      <w:r w:rsidR="00F44CB9">
        <w:rPr>
          <w:noProof/>
        </w:rPr>
        <w:t>communication channel</w:t>
      </w:r>
      <w:r w:rsidR="00DB590A" w:rsidRPr="7CC317AF">
        <w:rPr>
          <w:noProof/>
        </w:rPr>
        <w:t>(</w:t>
      </w:r>
      <w:r w:rsidR="00F44CB9">
        <w:rPr>
          <w:noProof/>
        </w:rPr>
        <w:t>s</w:t>
      </w:r>
      <w:r w:rsidR="00DB590A" w:rsidRPr="7CC317AF">
        <w:rPr>
          <w:noProof/>
        </w:rPr>
        <w:t>)</w:t>
      </w:r>
      <w:r w:rsidR="00F44CB9">
        <w:rPr>
          <w:noProof/>
        </w:rPr>
        <w:t xml:space="preserve"> in accordance with applicable Union law. </w:t>
      </w:r>
    </w:p>
    <w:p w14:paraId="72050C5F" w14:textId="71BE965E" w:rsidR="00D00582" w:rsidRDefault="00306677" w:rsidP="00306677">
      <w:pPr>
        <w:pStyle w:val="ManualNumPar1"/>
        <w:rPr>
          <w:noProof/>
        </w:rPr>
      </w:pPr>
      <w:r w:rsidRPr="00306677">
        <w:t>4.</w:t>
      </w:r>
      <w:r w:rsidRPr="00306677">
        <w:tab/>
      </w:r>
      <w:r w:rsidR="00F44CB9" w:rsidRPr="0061465F">
        <w:rPr>
          <w:noProof/>
        </w:rPr>
        <w:t>In the performance of their duties, national members may process personal data on the individual cases</w:t>
      </w:r>
      <w:r w:rsidR="003D3A7C" w:rsidRPr="7CC317AF">
        <w:rPr>
          <w:noProof/>
        </w:rPr>
        <w:t>,</w:t>
      </w:r>
      <w:r w:rsidR="00F44CB9" w:rsidRPr="0061465F">
        <w:rPr>
          <w:noProof/>
        </w:rPr>
        <w:t xml:space="preserve"> on which they are working</w:t>
      </w:r>
      <w:r w:rsidR="00C71B01">
        <w:rPr>
          <w:noProof/>
        </w:rPr>
        <w:t>,</w:t>
      </w:r>
      <w:r w:rsidR="00F44CB9" w:rsidRPr="0061465F">
        <w:rPr>
          <w:noProof/>
        </w:rPr>
        <w:t xml:space="preserve"> in accordance with this Regulation or other applicable instruments. </w:t>
      </w:r>
    </w:p>
    <w:p w14:paraId="6843E1E6" w14:textId="005FBD42" w:rsidR="00F44CB9" w:rsidRPr="0061465F" w:rsidRDefault="00F44CB9" w:rsidP="00197F34">
      <w:pPr>
        <w:pStyle w:val="Text1"/>
        <w:rPr>
          <w:noProof/>
        </w:rPr>
      </w:pPr>
      <w:r w:rsidRPr="0061465F">
        <w:rPr>
          <w:noProof/>
        </w:rPr>
        <w:t>They shall allow the Data Protection Officer to have access to the personal data processed in the case management system.</w:t>
      </w:r>
    </w:p>
    <w:p w14:paraId="488FD9F5" w14:textId="5D827B3C" w:rsidR="003D3A7C" w:rsidRDefault="00306677" w:rsidP="00306677">
      <w:pPr>
        <w:pStyle w:val="ManualNumPar1"/>
        <w:rPr>
          <w:noProof/>
        </w:rPr>
      </w:pPr>
      <w:r w:rsidRPr="00306677">
        <w:t>5.</w:t>
      </w:r>
      <w:r w:rsidRPr="00306677">
        <w:tab/>
      </w:r>
      <w:r w:rsidR="00F44CB9" w:rsidRPr="0061465F">
        <w:rPr>
          <w:noProof/>
        </w:rPr>
        <w:t xml:space="preserve">For the processing of operational personal data, Eurojust may not establish any automated data file other than the case management system. </w:t>
      </w:r>
    </w:p>
    <w:p w14:paraId="0F3E1CB5" w14:textId="47A58882" w:rsidR="00F44CB9" w:rsidRPr="0061465F" w:rsidRDefault="00F44CB9" w:rsidP="00197F34">
      <w:pPr>
        <w:pStyle w:val="Text1"/>
        <w:rPr>
          <w:noProof/>
        </w:rPr>
      </w:pPr>
      <w:r w:rsidRPr="0061465F">
        <w:rPr>
          <w:noProof/>
        </w:rPr>
        <w:t>The national members may, however, temporarily store and analyse personal data for the purpose of determining whether such data are relevant to Eurojust’s tasks and can be included in the operational data</w:t>
      </w:r>
      <w:r w:rsidRPr="0061465F" w:rsidDel="003C1931">
        <w:rPr>
          <w:noProof/>
        </w:rPr>
        <w:t xml:space="preserve"> </w:t>
      </w:r>
      <w:r w:rsidRPr="0061465F">
        <w:rPr>
          <w:noProof/>
        </w:rPr>
        <w:t>management system. That data may be held for up to three months.</w:t>
      </w:r>
    </w:p>
    <w:p w14:paraId="1B126C4B" w14:textId="094B07C3" w:rsidR="00AB63ED" w:rsidRPr="00450CE1" w:rsidRDefault="00AB63ED" w:rsidP="00BE7C1D">
      <w:pPr>
        <w:jc w:val="center"/>
        <w:rPr>
          <w:i/>
          <w:noProof/>
        </w:rPr>
      </w:pPr>
      <w:r w:rsidRPr="00450CE1">
        <w:rPr>
          <w:i/>
          <w:noProof/>
        </w:rPr>
        <w:t>Article 24</w:t>
      </w:r>
    </w:p>
    <w:p w14:paraId="2CD1424D" w14:textId="7AF53478" w:rsidR="00AB63ED" w:rsidRPr="00450CE1" w:rsidRDefault="00AB63ED" w:rsidP="00BE7C1D">
      <w:pPr>
        <w:jc w:val="center"/>
        <w:rPr>
          <w:b/>
          <w:noProof/>
        </w:rPr>
      </w:pPr>
      <w:r w:rsidRPr="00450CE1">
        <w:rPr>
          <w:b/>
          <w:noProof/>
        </w:rPr>
        <w:t>Management of the information in the case management system</w:t>
      </w:r>
    </w:p>
    <w:p w14:paraId="5F29910B" w14:textId="6DC5EF84" w:rsidR="00D00582" w:rsidRDefault="00306677" w:rsidP="00306677">
      <w:pPr>
        <w:pStyle w:val="ManualNumPar1"/>
        <w:rPr>
          <w:noProof/>
        </w:rPr>
      </w:pPr>
      <w:r w:rsidRPr="00306677">
        <w:t>1.</w:t>
      </w:r>
      <w:r w:rsidRPr="00306677">
        <w:tab/>
      </w:r>
      <w:r w:rsidR="00AB63ED" w:rsidRPr="00EE5838">
        <w:rPr>
          <w:noProof/>
        </w:rPr>
        <w:t xml:space="preserve">The national member shall store the information transmitted to </w:t>
      </w:r>
      <w:r w:rsidR="00D00582">
        <w:rPr>
          <w:noProof/>
        </w:rPr>
        <w:t>him or her</w:t>
      </w:r>
      <w:r w:rsidR="00AB63ED" w:rsidRPr="00EE5838">
        <w:rPr>
          <w:noProof/>
        </w:rPr>
        <w:t xml:space="preserve"> in accordance with this Regulation or other applicable instruments in the case management system. </w:t>
      </w:r>
    </w:p>
    <w:p w14:paraId="72E961A1" w14:textId="2E36E498" w:rsidR="00AB63ED" w:rsidRPr="00EE5838" w:rsidRDefault="00AB63ED" w:rsidP="00197F34">
      <w:pPr>
        <w:pStyle w:val="Text1"/>
        <w:rPr>
          <w:noProof/>
        </w:rPr>
      </w:pPr>
      <w:r w:rsidRPr="00EE5838">
        <w:rPr>
          <w:noProof/>
        </w:rPr>
        <w:t>The national member shall be responsible for the management of the data</w:t>
      </w:r>
      <w:r>
        <w:rPr>
          <w:noProof/>
        </w:rPr>
        <w:t xml:space="preserve"> processed</w:t>
      </w:r>
      <w:r w:rsidRPr="00EE5838">
        <w:rPr>
          <w:noProof/>
        </w:rPr>
        <w:t xml:space="preserve"> by that national member. </w:t>
      </w:r>
    </w:p>
    <w:p w14:paraId="7E535FA3" w14:textId="5FD79D99" w:rsidR="00AB63ED" w:rsidRPr="00EE5838" w:rsidRDefault="00306677" w:rsidP="00306677">
      <w:pPr>
        <w:pStyle w:val="ManualNumPar1"/>
        <w:rPr>
          <w:noProof/>
        </w:rPr>
      </w:pPr>
      <w:r w:rsidRPr="00306677">
        <w:t>2.</w:t>
      </w:r>
      <w:r w:rsidRPr="00306677">
        <w:tab/>
      </w:r>
      <w:r w:rsidR="00AB63ED">
        <w:rPr>
          <w:noProof/>
        </w:rPr>
        <w:t>The</w:t>
      </w:r>
      <w:r w:rsidR="00AB63ED" w:rsidRPr="00EE5838">
        <w:rPr>
          <w:noProof/>
        </w:rPr>
        <w:t xml:space="preserve"> national member shall decide, on a case-by-case basis, whether to keep access to the information restricted or to give access to it or to parts of it to other national members, to </w:t>
      </w:r>
      <w:r w:rsidR="00AB63ED">
        <w:rPr>
          <w:noProof/>
        </w:rPr>
        <w:t>liaison prosecutors s</w:t>
      </w:r>
      <w:r w:rsidR="00A40364">
        <w:rPr>
          <w:noProof/>
        </w:rPr>
        <w:t xml:space="preserve">econded to </w:t>
      </w:r>
      <w:r w:rsidR="00AB63ED">
        <w:rPr>
          <w:noProof/>
        </w:rPr>
        <w:t>Eurojust,</w:t>
      </w:r>
      <w:r w:rsidR="00AB63ED" w:rsidRPr="00EE5838">
        <w:rPr>
          <w:noProof/>
        </w:rPr>
        <w:t xml:space="preserve"> to authorised Eurojust staff or to any other person working on behalf of Eurojust who has received the necessary authorisation from the Administrative Director.</w:t>
      </w:r>
    </w:p>
    <w:p w14:paraId="5F88DDAF" w14:textId="4E66FBD3" w:rsidR="00AB63ED" w:rsidRPr="009A024F" w:rsidRDefault="00306677" w:rsidP="00306677">
      <w:pPr>
        <w:pStyle w:val="ManualNumPar1"/>
        <w:rPr>
          <w:noProof/>
        </w:rPr>
      </w:pPr>
      <w:r w:rsidRPr="00306677">
        <w:t>3.</w:t>
      </w:r>
      <w:r w:rsidRPr="00306677">
        <w:tab/>
      </w:r>
      <w:r w:rsidR="00AB63ED">
        <w:rPr>
          <w:noProof/>
        </w:rPr>
        <w:t>The</w:t>
      </w:r>
      <w:r w:rsidR="00AB63ED" w:rsidRPr="00EE5838">
        <w:rPr>
          <w:noProof/>
        </w:rPr>
        <w:t xml:space="preserve"> national member shall indicate, in general or specific terms, any restrictions on the further handling, access and transfer of the information </w:t>
      </w:r>
      <w:r w:rsidR="00AB63ED">
        <w:rPr>
          <w:noProof/>
        </w:rPr>
        <w:t>if</w:t>
      </w:r>
      <w:r w:rsidR="00AB63ED" w:rsidRPr="00EE5838">
        <w:rPr>
          <w:noProof/>
        </w:rPr>
        <w:t xml:space="preserve"> a </w:t>
      </w:r>
      <w:r w:rsidR="00AB63ED">
        <w:rPr>
          <w:noProof/>
        </w:rPr>
        <w:t>cross-</w:t>
      </w:r>
      <w:r w:rsidR="00AB63ED" w:rsidRPr="00EE5838">
        <w:rPr>
          <w:noProof/>
        </w:rPr>
        <w:t>link</w:t>
      </w:r>
      <w:r w:rsidR="00AB63ED" w:rsidRPr="7CC317AF">
        <w:rPr>
          <w:noProof/>
        </w:rPr>
        <w:t xml:space="preserve"> </w:t>
      </w:r>
      <w:r w:rsidR="00AB63ED" w:rsidRPr="00EE5838">
        <w:rPr>
          <w:noProof/>
        </w:rPr>
        <w:t>referred to in Article 23</w:t>
      </w:r>
      <w:r w:rsidR="00D00582">
        <w:rPr>
          <w:noProof/>
        </w:rPr>
        <w:t>(2),</w:t>
      </w:r>
      <w:r w:rsidR="00A40364">
        <w:rPr>
          <w:noProof/>
        </w:rPr>
        <w:t xml:space="preserve"> </w:t>
      </w:r>
      <w:r w:rsidR="00D00582">
        <w:rPr>
          <w:noProof/>
        </w:rPr>
        <w:t>point (c)</w:t>
      </w:r>
      <w:r w:rsidR="00D00582" w:rsidRPr="7CC317AF">
        <w:rPr>
          <w:noProof/>
        </w:rPr>
        <w:t>,</w:t>
      </w:r>
      <w:r w:rsidR="00AB63ED" w:rsidRPr="7CC317AF">
        <w:rPr>
          <w:noProof/>
        </w:rPr>
        <w:t xml:space="preserve"> </w:t>
      </w:r>
      <w:r w:rsidR="00AB63ED" w:rsidRPr="00EE5838">
        <w:rPr>
          <w:noProof/>
        </w:rPr>
        <w:t>has been identified.</w:t>
      </w:r>
    </w:p>
    <w:p w14:paraId="20AD6AF4" w14:textId="6BDD8F56" w:rsidR="00E11514" w:rsidRPr="00A40364" w:rsidRDefault="00E11514" w:rsidP="00BE7C1D">
      <w:pPr>
        <w:rPr>
          <w:i/>
          <w:noProof/>
        </w:rPr>
      </w:pPr>
    </w:p>
    <w:p w14:paraId="119E9CE4" w14:textId="27B2068F" w:rsidR="00E11514" w:rsidRPr="00A40364" w:rsidRDefault="00AF46FC">
      <w:pPr>
        <w:ind w:left="720"/>
        <w:jc w:val="center"/>
        <w:rPr>
          <w:i/>
          <w:noProof/>
        </w:rPr>
      </w:pPr>
      <w:r w:rsidRPr="00A40364">
        <w:rPr>
          <w:i/>
          <w:noProof/>
          <w:color w:val="000000" w:themeColor="text1"/>
        </w:rPr>
        <w:t>Article 25</w:t>
      </w:r>
    </w:p>
    <w:p w14:paraId="0CF5A103" w14:textId="77777777" w:rsidR="00484A0E" w:rsidRPr="00A40364" w:rsidRDefault="00484A0E">
      <w:pPr>
        <w:ind w:left="720"/>
        <w:jc w:val="center"/>
        <w:rPr>
          <w:b/>
          <w:noProof/>
        </w:rPr>
      </w:pPr>
      <w:r w:rsidRPr="00A40364">
        <w:rPr>
          <w:b/>
          <w:noProof/>
          <w:color w:val="000000" w:themeColor="text1"/>
        </w:rPr>
        <w:t>Access to the case management system at national level</w:t>
      </w:r>
    </w:p>
    <w:p w14:paraId="462E9CD2" w14:textId="5E506CB3" w:rsidR="00484A0E" w:rsidRPr="004B68C9" w:rsidRDefault="00306677" w:rsidP="00306677">
      <w:pPr>
        <w:pStyle w:val="ManualNumPar1"/>
        <w:rPr>
          <w:noProof/>
        </w:rPr>
      </w:pPr>
      <w:r w:rsidRPr="00306677">
        <w:t>1.</w:t>
      </w:r>
      <w:r w:rsidRPr="00306677">
        <w:tab/>
      </w:r>
      <w:r w:rsidR="00484A0E" w:rsidRPr="004B68C9">
        <w:rPr>
          <w:noProof/>
        </w:rPr>
        <w:t>In so far as they are connected to the case management system, persons referred to in Article 20(3) shall only have access to:</w:t>
      </w:r>
    </w:p>
    <w:p w14:paraId="05430EFE" w14:textId="561E2A7A" w:rsidR="00DB590A" w:rsidRPr="004B68C9" w:rsidRDefault="00306677" w:rsidP="00306677">
      <w:pPr>
        <w:pStyle w:val="Point2"/>
        <w:rPr>
          <w:noProof/>
        </w:rPr>
      </w:pPr>
      <w:r w:rsidRPr="00306677">
        <w:t>(a)</w:t>
      </w:r>
      <w:r w:rsidRPr="00306677">
        <w:tab/>
      </w:r>
      <w:r w:rsidR="003D3A7C">
        <w:rPr>
          <w:noProof/>
        </w:rPr>
        <w:t>d</w:t>
      </w:r>
      <w:r w:rsidR="00DB590A" w:rsidRPr="004B68C9">
        <w:rPr>
          <w:noProof/>
        </w:rPr>
        <w:t>ata controlled by the national member of their Member State, unless the national member</w:t>
      </w:r>
      <w:r w:rsidR="00B10821">
        <w:rPr>
          <w:noProof/>
        </w:rPr>
        <w:t>,</w:t>
      </w:r>
      <w:r w:rsidR="00DB590A" w:rsidRPr="004B68C9">
        <w:rPr>
          <w:noProof/>
        </w:rPr>
        <w:t xml:space="preserve"> who has decided to introduce the data in the </w:t>
      </w:r>
      <w:r w:rsidR="00862E51">
        <w:rPr>
          <w:noProof/>
        </w:rPr>
        <w:t>case management sys</w:t>
      </w:r>
      <w:r w:rsidR="00B10821">
        <w:rPr>
          <w:noProof/>
        </w:rPr>
        <w:t>t</w:t>
      </w:r>
      <w:r w:rsidR="00862E51">
        <w:rPr>
          <w:noProof/>
        </w:rPr>
        <w:t>em</w:t>
      </w:r>
      <w:r w:rsidR="0083191B">
        <w:rPr>
          <w:noProof/>
        </w:rPr>
        <w:t>,</w:t>
      </w:r>
      <w:r w:rsidR="009253BB">
        <w:rPr>
          <w:noProof/>
        </w:rPr>
        <w:t xml:space="preserve"> expressly denied such access;</w:t>
      </w:r>
    </w:p>
    <w:p w14:paraId="78A2CC8F" w14:textId="53FAC32B" w:rsidR="00DB590A" w:rsidRPr="004B68C9" w:rsidRDefault="00306677" w:rsidP="00306677">
      <w:pPr>
        <w:pStyle w:val="Point2"/>
        <w:rPr>
          <w:noProof/>
        </w:rPr>
      </w:pPr>
      <w:r w:rsidRPr="00306677">
        <w:t>(b)</w:t>
      </w:r>
      <w:r w:rsidRPr="00306677">
        <w:tab/>
      </w:r>
      <w:r w:rsidR="003D3A7C">
        <w:rPr>
          <w:noProof/>
        </w:rPr>
        <w:t>d</w:t>
      </w:r>
      <w:r w:rsidR="00DB590A" w:rsidRPr="004B68C9">
        <w:rPr>
          <w:noProof/>
        </w:rPr>
        <w:t>ata controlled by national members of other Member States and to which the national member of their Member State has received access, unless the national member who controls the dat</w:t>
      </w:r>
      <w:r w:rsidR="006C1CA7">
        <w:rPr>
          <w:noProof/>
        </w:rPr>
        <w:t>a expressly denied such access.</w:t>
      </w:r>
    </w:p>
    <w:p w14:paraId="188E8330" w14:textId="58551B07" w:rsidR="00DB590A" w:rsidRPr="004B68C9" w:rsidRDefault="00306677" w:rsidP="00306677">
      <w:pPr>
        <w:pStyle w:val="ManualNumPar1"/>
        <w:rPr>
          <w:noProof/>
        </w:rPr>
      </w:pPr>
      <w:r w:rsidRPr="00306677">
        <w:t>2.</w:t>
      </w:r>
      <w:r w:rsidRPr="00306677">
        <w:tab/>
      </w:r>
      <w:r w:rsidR="00DB590A" w:rsidRPr="004B68C9">
        <w:rPr>
          <w:noProof/>
        </w:rPr>
        <w:t xml:space="preserve">The national member shall, within the limitations provided for in paragraph 1 of this Article, decide on the extent of access, which is granted in </w:t>
      </w:r>
      <w:r w:rsidR="009253BB">
        <w:rPr>
          <w:noProof/>
        </w:rPr>
        <w:t xml:space="preserve">their </w:t>
      </w:r>
      <w:r w:rsidR="00DB590A" w:rsidRPr="004B68C9">
        <w:rPr>
          <w:noProof/>
        </w:rPr>
        <w:t>Member State to the persons referred to in Article 20(3) in so far as they are connected to the case management system.</w:t>
      </w:r>
    </w:p>
    <w:p w14:paraId="1B9F558A" w14:textId="209D9475" w:rsidR="003D3A7C" w:rsidRDefault="00306677" w:rsidP="00306677">
      <w:pPr>
        <w:pStyle w:val="ManualNumPar1"/>
        <w:rPr>
          <w:noProof/>
        </w:rPr>
      </w:pPr>
      <w:r w:rsidRPr="00306677">
        <w:t>3.</w:t>
      </w:r>
      <w:r w:rsidRPr="00306677">
        <w:tab/>
      </w:r>
      <w:r w:rsidR="00DB590A" w:rsidRPr="004B68C9">
        <w:rPr>
          <w:noProof/>
        </w:rPr>
        <w:t>Each Member State shall decide, after consultation with its national member, on the extent of access, which is granted in that Member State to the persons referred to in Article 20(3) in so far as they are connected</w:t>
      </w:r>
      <w:r w:rsidR="006C1CA7">
        <w:rPr>
          <w:noProof/>
        </w:rPr>
        <w:t xml:space="preserve"> to the case management system.</w:t>
      </w:r>
    </w:p>
    <w:p w14:paraId="4B4D2ED5" w14:textId="40B83F87" w:rsidR="003D3A7C" w:rsidRPr="00D271D9" w:rsidRDefault="00DB590A" w:rsidP="006121D0">
      <w:pPr>
        <w:pStyle w:val="Text1"/>
        <w:rPr>
          <w:noProof/>
        </w:rPr>
      </w:pPr>
      <w:r w:rsidRPr="004B68C9">
        <w:rPr>
          <w:noProof/>
        </w:rPr>
        <w:t xml:space="preserve">Member States shall notify Eurojust and the Commission of their decision regarding the implementation of </w:t>
      </w:r>
      <w:r w:rsidR="003D3A7C" w:rsidRPr="004B68C9">
        <w:rPr>
          <w:noProof/>
        </w:rPr>
        <w:t>th</w:t>
      </w:r>
      <w:r w:rsidR="003D3A7C">
        <w:rPr>
          <w:noProof/>
        </w:rPr>
        <w:t>e first</w:t>
      </w:r>
      <w:r w:rsidR="003D3A7C" w:rsidRPr="004B68C9">
        <w:rPr>
          <w:noProof/>
        </w:rPr>
        <w:t xml:space="preserve"> </w:t>
      </w:r>
      <w:r w:rsidR="003D3A7C">
        <w:rPr>
          <w:noProof/>
        </w:rPr>
        <w:t>sub</w:t>
      </w:r>
      <w:r w:rsidRPr="004B68C9">
        <w:rPr>
          <w:noProof/>
        </w:rPr>
        <w:t>paragraph. The Commission shall inform the other Member States thereof.</w:t>
      </w:r>
    </w:p>
    <w:p w14:paraId="2D0EBE8F" w14:textId="2A93264C" w:rsidR="003D3A7C" w:rsidRDefault="003D3A7C" w:rsidP="00197F34">
      <w:pPr>
        <w:pStyle w:val="Text1"/>
        <w:rPr>
          <w:noProof/>
        </w:rPr>
      </w:pPr>
      <w:r w:rsidRPr="7CC317AF">
        <w:rPr>
          <w:noProof/>
        </w:rPr>
        <w:t>___________</w:t>
      </w:r>
    </w:p>
    <w:p w14:paraId="20481868" w14:textId="751B5D42" w:rsidR="00AF46FC" w:rsidRPr="00E11514" w:rsidRDefault="003D3A7C" w:rsidP="00197F34">
      <w:pPr>
        <w:pStyle w:val="Text1"/>
        <w:rPr>
          <w:noProof/>
        </w:rPr>
      </w:pPr>
      <w:r w:rsidRPr="7CC317AF">
        <w:rPr>
          <w:noProof/>
        </w:rPr>
        <w:t xml:space="preserve">* </w:t>
      </w:r>
      <w:r w:rsidRPr="00DC23FD">
        <w:rPr>
          <w:noProof/>
        </w:rPr>
        <w:t>Council Decision 2008/976/JHA of 16 December 2008 on the European Judicial Network (OJ L 348, 24.12.2008, p. 130).</w:t>
      </w:r>
      <w:r w:rsidRPr="000A19FF">
        <w:rPr>
          <w:noProof/>
          <w:color w:val="000000" w:themeColor="text1"/>
        </w:rPr>
        <w:t>”</w:t>
      </w:r>
      <w:r w:rsidR="00EF32C4">
        <w:rPr>
          <w:noProof/>
          <w:color w:val="000000" w:themeColor="text1"/>
        </w:rPr>
        <w:t>;</w:t>
      </w:r>
    </w:p>
    <w:p w14:paraId="08DD174A" w14:textId="3E997801" w:rsidR="00862E51" w:rsidRDefault="00306677" w:rsidP="00306677">
      <w:pPr>
        <w:pStyle w:val="Point0"/>
        <w:rPr>
          <w:noProof/>
        </w:rPr>
      </w:pPr>
      <w:r w:rsidRPr="00306677">
        <w:t>(7)</w:t>
      </w:r>
      <w:r w:rsidRPr="00306677">
        <w:tab/>
      </w:r>
      <w:r w:rsidR="00862E51">
        <w:rPr>
          <w:noProof/>
        </w:rPr>
        <w:t>Article 27 is amended as follows:</w:t>
      </w:r>
    </w:p>
    <w:p w14:paraId="24D32CA1" w14:textId="25B22746" w:rsidR="00862E51" w:rsidRDefault="00306677" w:rsidP="00306677">
      <w:pPr>
        <w:pStyle w:val="Point1"/>
        <w:rPr>
          <w:noProof/>
        </w:rPr>
      </w:pPr>
      <w:r w:rsidRPr="00306677">
        <w:t>(a)</w:t>
      </w:r>
      <w:r w:rsidRPr="00306677">
        <w:tab/>
      </w:r>
      <w:r w:rsidR="00862E51">
        <w:rPr>
          <w:noProof/>
        </w:rPr>
        <w:t xml:space="preserve">paragraph 4 is </w:t>
      </w:r>
      <w:r w:rsidR="0092153D">
        <w:rPr>
          <w:noProof/>
        </w:rPr>
        <w:t>replaced by the following</w:t>
      </w:r>
      <w:r w:rsidR="00862E51" w:rsidRPr="7CC317AF">
        <w:rPr>
          <w:noProof/>
        </w:rPr>
        <w:t>:</w:t>
      </w:r>
    </w:p>
    <w:p w14:paraId="5463DF8C" w14:textId="35221709" w:rsidR="00003299" w:rsidRDefault="00862E51" w:rsidP="006A0D14">
      <w:pPr>
        <w:ind w:left="720"/>
        <w:rPr>
          <w:noProof/>
        </w:rPr>
      </w:pPr>
      <w:r>
        <w:rPr>
          <w:noProof/>
        </w:rPr>
        <w:t xml:space="preserve">“4. </w:t>
      </w:r>
      <w:r w:rsidRPr="00862E51">
        <w:rPr>
          <w:noProof/>
        </w:rPr>
        <w:t>Eurojust may process special categories of operational personal data in accordance with Article 76 of Regulation (EU) 2018/1725. Where such other data refer to witnesses or victims within the meaning of paragraph 2 of this Article, the decision to process them shall be taken by the national members concerned.</w:t>
      </w:r>
      <w:r w:rsidR="000F4E6A">
        <w:rPr>
          <w:noProof/>
        </w:rPr>
        <w:t>”</w:t>
      </w:r>
      <w:r w:rsidR="00EF32C4">
        <w:rPr>
          <w:noProof/>
        </w:rPr>
        <w:t>;</w:t>
      </w:r>
    </w:p>
    <w:p w14:paraId="1683ED81" w14:textId="17049418" w:rsidR="00862E51" w:rsidRDefault="00306677" w:rsidP="00306677">
      <w:pPr>
        <w:pStyle w:val="Point1"/>
        <w:rPr>
          <w:noProof/>
        </w:rPr>
      </w:pPr>
      <w:r w:rsidRPr="00306677">
        <w:t>(b)</w:t>
      </w:r>
      <w:r w:rsidRPr="00306677">
        <w:tab/>
      </w:r>
      <w:r w:rsidR="00E11514" w:rsidRPr="00AB63ED">
        <w:rPr>
          <w:noProof/>
        </w:rPr>
        <w:t>the following paragraph 5 is added:</w:t>
      </w:r>
    </w:p>
    <w:p w14:paraId="1E60DD4A" w14:textId="621DEB4E" w:rsidR="0092153D" w:rsidRDefault="00AF46FC" w:rsidP="006A0D14">
      <w:pPr>
        <w:ind w:left="720"/>
        <w:rPr>
          <w:noProof/>
        </w:rPr>
      </w:pPr>
      <w:r w:rsidRPr="00EE5838">
        <w:rPr>
          <w:noProof/>
        </w:rPr>
        <w:t>“5. Whe</w:t>
      </w:r>
      <w:r w:rsidR="0092153D">
        <w:rPr>
          <w:noProof/>
        </w:rPr>
        <w:t>re</w:t>
      </w:r>
      <w:r w:rsidRPr="00EE5838">
        <w:rPr>
          <w:noProof/>
        </w:rPr>
        <w:t xml:space="preserve"> operational personal data is transmitted in accordance with Article 21a, Eurojust may </w:t>
      </w:r>
      <w:r>
        <w:rPr>
          <w:noProof/>
        </w:rPr>
        <w:t>process the operational personal data listed in Annex II</w:t>
      </w:r>
      <w:r w:rsidR="006A27FE">
        <w:rPr>
          <w:noProof/>
        </w:rPr>
        <w:t>I</w:t>
      </w:r>
      <w:r w:rsidRPr="7CC317AF">
        <w:rPr>
          <w:noProof/>
        </w:rPr>
        <w:t xml:space="preserve"> </w:t>
      </w:r>
      <w:r>
        <w:rPr>
          <w:noProof/>
        </w:rPr>
        <w:t>of</w:t>
      </w:r>
      <w:r w:rsidR="0092153D">
        <w:rPr>
          <w:noProof/>
        </w:rPr>
        <w:t xml:space="preserve"> the following</w:t>
      </w:r>
      <w:r>
        <w:rPr>
          <w:noProof/>
        </w:rPr>
        <w:t xml:space="preserve"> persons</w:t>
      </w:r>
      <w:r w:rsidR="0092153D" w:rsidRPr="7CC317AF">
        <w:rPr>
          <w:noProof/>
        </w:rPr>
        <w:t>:</w:t>
      </w:r>
    </w:p>
    <w:p w14:paraId="2F1820E8" w14:textId="396FF486" w:rsidR="00197F34" w:rsidRPr="00197F34" w:rsidRDefault="00306677" w:rsidP="00306677">
      <w:pPr>
        <w:pStyle w:val="Point2"/>
        <w:rPr>
          <w:noProof/>
        </w:rPr>
      </w:pPr>
      <w:r w:rsidRPr="00306677">
        <w:t>(a)</w:t>
      </w:r>
      <w:r w:rsidRPr="00306677">
        <w:tab/>
      </w:r>
      <w:r w:rsidR="0083191B">
        <w:rPr>
          <w:noProof/>
        </w:rPr>
        <w:t>p</w:t>
      </w:r>
      <w:r w:rsidR="0092153D">
        <w:rPr>
          <w:noProof/>
        </w:rPr>
        <w:t xml:space="preserve">ersons to </w:t>
      </w:r>
      <w:r w:rsidR="00AF46FC">
        <w:rPr>
          <w:noProof/>
        </w:rPr>
        <w:t>who</w:t>
      </w:r>
      <w:r w:rsidR="0092153D">
        <w:rPr>
          <w:noProof/>
        </w:rPr>
        <w:t>m</w:t>
      </w:r>
      <w:r w:rsidR="00AF46FC" w:rsidRPr="7CC317AF">
        <w:rPr>
          <w:noProof/>
        </w:rPr>
        <w:t xml:space="preserve">, </w:t>
      </w:r>
      <w:r w:rsidR="0092153D">
        <w:rPr>
          <w:noProof/>
        </w:rPr>
        <w:t>in accordance with</w:t>
      </w:r>
      <w:r w:rsidR="00AF46FC">
        <w:rPr>
          <w:noProof/>
        </w:rPr>
        <w:t xml:space="preserve"> the national law of the Member State concerned, there are serious grounds for believing that they have committed or are about to commit a criminal offence in respect of which Eurojust is competent</w:t>
      </w:r>
      <w:r w:rsidR="0092153D" w:rsidRPr="7CC317AF">
        <w:rPr>
          <w:noProof/>
        </w:rPr>
        <w:t>;</w:t>
      </w:r>
    </w:p>
    <w:p w14:paraId="2E3F6E0A" w14:textId="2EFCF5D7" w:rsidR="00197F34" w:rsidRDefault="00306677" w:rsidP="00306677">
      <w:pPr>
        <w:pStyle w:val="Point2"/>
        <w:rPr>
          <w:noProof/>
        </w:rPr>
      </w:pPr>
      <w:r w:rsidRPr="00306677">
        <w:t>(b)</w:t>
      </w:r>
      <w:r w:rsidRPr="00306677">
        <w:tab/>
      </w:r>
      <w:r w:rsidR="0083191B">
        <w:rPr>
          <w:noProof/>
        </w:rPr>
        <w:t>p</w:t>
      </w:r>
      <w:r w:rsidR="0092153D">
        <w:rPr>
          <w:noProof/>
        </w:rPr>
        <w:t>ersons</w:t>
      </w:r>
      <w:r w:rsidR="0083191B">
        <w:rPr>
          <w:noProof/>
        </w:rPr>
        <w:t xml:space="preserve"> </w:t>
      </w:r>
      <w:r w:rsidR="00AF46FC">
        <w:rPr>
          <w:noProof/>
        </w:rPr>
        <w:t xml:space="preserve">who have </w:t>
      </w:r>
      <w:r w:rsidR="006C1CA7">
        <w:rPr>
          <w:noProof/>
        </w:rPr>
        <w:t>been convicted of such offence.</w:t>
      </w:r>
    </w:p>
    <w:p w14:paraId="212F6D9A" w14:textId="4AD594B1" w:rsidR="00E11514" w:rsidRPr="00AF46FC" w:rsidRDefault="00AF46FC" w:rsidP="00FE2273">
      <w:pPr>
        <w:pStyle w:val="Text1"/>
        <w:rPr>
          <w:noProof/>
        </w:rPr>
      </w:pPr>
      <w:r>
        <w:rPr>
          <w:noProof/>
        </w:rPr>
        <w:t xml:space="preserve">Eurojust may continue to </w:t>
      </w:r>
      <w:r w:rsidRPr="00EE5838">
        <w:rPr>
          <w:noProof/>
        </w:rPr>
        <w:t xml:space="preserve">process </w:t>
      </w:r>
      <w:r>
        <w:rPr>
          <w:noProof/>
        </w:rPr>
        <w:t xml:space="preserve">the operational personal </w:t>
      </w:r>
      <w:r w:rsidRPr="00EE5838">
        <w:rPr>
          <w:noProof/>
        </w:rPr>
        <w:t xml:space="preserve">data </w:t>
      </w:r>
      <w:r>
        <w:rPr>
          <w:noProof/>
        </w:rPr>
        <w:t xml:space="preserve">referred to in </w:t>
      </w:r>
      <w:r w:rsidR="00A848FA">
        <w:rPr>
          <w:noProof/>
        </w:rPr>
        <w:t xml:space="preserve">point (a) of the first subparagraph </w:t>
      </w:r>
      <w:r w:rsidR="0092153D">
        <w:rPr>
          <w:noProof/>
        </w:rPr>
        <w:t>also after the proceedings have been concluded under the national law of the Member State concerned</w:t>
      </w:r>
      <w:r w:rsidR="004F0B61">
        <w:rPr>
          <w:noProof/>
        </w:rPr>
        <w:t>, even in case of an acquittal</w:t>
      </w:r>
      <w:r w:rsidR="0092153D" w:rsidRPr="7CC317AF">
        <w:rPr>
          <w:noProof/>
        </w:rPr>
        <w:t xml:space="preserve">. </w:t>
      </w:r>
      <w:r w:rsidR="00FE2273">
        <w:rPr>
          <w:noProof/>
        </w:rPr>
        <w:t>Where the proceedings did not result in a conviction, processing</w:t>
      </w:r>
      <w:r w:rsidR="0092153D">
        <w:rPr>
          <w:noProof/>
        </w:rPr>
        <w:t xml:space="preserve"> of personal d</w:t>
      </w:r>
      <w:r>
        <w:rPr>
          <w:noProof/>
        </w:rPr>
        <w:t xml:space="preserve">ata </w:t>
      </w:r>
      <w:r w:rsidRPr="00EE5838">
        <w:rPr>
          <w:noProof/>
        </w:rPr>
        <w:t xml:space="preserve">may only </w:t>
      </w:r>
      <w:r w:rsidR="0092153D">
        <w:rPr>
          <w:noProof/>
        </w:rPr>
        <w:t>take place</w:t>
      </w:r>
      <w:r w:rsidRPr="00EE5838">
        <w:rPr>
          <w:noProof/>
        </w:rPr>
        <w:t xml:space="preserve"> in order to identify links with other ongoing or concluded investigations and prosecutions as referred to in Article 23</w:t>
      </w:r>
      <w:r w:rsidR="0092153D">
        <w:rPr>
          <w:noProof/>
        </w:rPr>
        <w:t>(2), point (c)</w:t>
      </w:r>
      <w:r w:rsidR="00526582">
        <w:rPr>
          <w:noProof/>
        </w:rPr>
        <w:t>.</w:t>
      </w:r>
      <w:r w:rsidR="009A024F" w:rsidRPr="7CC317AF">
        <w:rPr>
          <w:noProof/>
        </w:rPr>
        <w:t>”</w:t>
      </w:r>
      <w:r w:rsidR="00EF32C4">
        <w:rPr>
          <w:noProof/>
        </w:rPr>
        <w:t>;</w:t>
      </w:r>
    </w:p>
    <w:p w14:paraId="338C751A" w14:textId="2D4E46C0" w:rsidR="00AB63ED" w:rsidRDefault="00306677" w:rsidP="00306677">
      <w:pPr>
        <w:pStyle w:val="Point0"/>
        <w:rPr>
          <w:noProof/>
        </w:rPr>
      </w:pPr>
      <w:r w:rsidRPr="00306677">
        <w:t>(8)</w:t>
      </w:r>
      <w:r w:rsidRPr="00306677">
        <w:tab/>
      </w:r>
      <w:r w:rsidR="00E11514" w:rsidRPr="00AB63ED">
        <w:rPr>
          <w:noProof/>
        </w:rPr>
        <w:t>Article 29 is amended as follows:</w:t>
      </w:r>
    </w:p>
    <w:p w14:paraId="2E753D37" w14:textId="25579DD2" w:rsidR="00AF46FC" w:rsidRDefault="00306677" w:rsidP="00306677">
      <w:pPr>
        <w:pStyle w:val="Point1"/>
        <w:rPr>
          <w:noProof/>
        </w:rPr>
      </w:pPr>
      <w:r w:rsidRPr="00306677">
        <w:t>(a)</w:t>
      </w:r>
      <w:r w:rsidRPr="00306677">
        <w:tab/>
      </w:r>
      <w:r w:rsidR="00AF46FC" w:rsidRPr="00AF46FC">
        <w:rPr>
          <w:noProof/>
        </w:rPr>
        <w:t xml:space="preserve">the following paragraph 1a is </w:t>
      </w:r>
      <w:r w:rsidR="00F029EC">
        <w:rPr>
          <w:noProof/>
        </w:rPr>
        <w:t>inserted</w:t>
      </w:r>
      <w:r w:rsidR="00AF46FC" w:rsidRPr="7CC317AF">
        <w:rPr>
          <w:noProof/>
        </w:rPr>
        <w:t>:</w:t>
      </w:r>
    </w:p>
    <w:p w14:paraId="62BA277E" w14:textId="3FA9A235" w:rsidR="00AF46FC" w:rsidRDefault="00AF46FC" w:rsidP="00197F34">
      <w:pPr>
        <w:pStyle w:val="Text1"/>
        <w:rPr>
          <w:noProof/>
        </w:rPr>
      </w:pPr>
      <w:r>
        <w:rPr>
          <w:noProof/>
        </w:rPr>
        <w:t>“1a. Eurojust shall not store operational personal data transmitted in accordance with Article 21a beyond the first applicable date among the following dates:</w:t>
      </w:r>
    </w:p>
    <w:p w14:paraId="1A89F5AD" w14:textId="21A3D60E" w:rsidR="00AF46FC" w:rsidRDefault="00306677" w:rsidP="00306677">
      <w:pPr>
        <w:pStyle w:val="Point2"/>
        <w:rPr>
          <w:noProof/>
        </w:rPr>
      </w:pPr>
      <w:r w:rsidRPr="00306677">
        <w:t>(a)</w:t>
      </w:r>
      <w:r w:rsidRPr="00306677">
        <w:tab/>
      </w:r>
      <w:r w:rsidR="00AF46FC">
        <w:rPr>
          <w:noProof/>
        </w:rPr>
        <w:t>the date on which prosecution is barred under the statute of limitations of all the Member States concerned by the investigation and prosecutions;</w:t>
      </w:r>
    </w:p>
    <w:p w14:paraId="39A2ACB7" w14:textId="19A67359" w:rsidR="00AF46FC" w:rsidRPr="00AF46FC" w:rsidRDefault="00306677" w:rsidP="00306677">
      <w:pPr>
        <w:pStyle w:val="Point2"/>
        <w:rPr>
          <w:noProof/>
        </w:rPr>
      </w:pPr>
      <w:r w:rsidRPr="00306677">
        <w:t>(b)</w:t>
      </w:r>
      <w:r w:rsidRPr="00306677">
        <w:tab/>
      </w:r>
      <w:r w:rsidR="00AF46FC">
        <w:rPr>
          <w:noProof/>
        </w:rPr>
        <w:t>5 years after the date on which the judicial decision of the last of the Member States concerned by the investigation or prosecution became final, 3 years in case of an acquittal.</w:t>
      </w:r>
      <w:r w:rsidR="000F4E6A">
        <w:rPr>
          <w:noProof/>
        </w:rPr>
        <w:t>”</w:t>
      </w:r>
      <w:r w:rsidR="00EF32C4">
        <w:rPr>
          <w:noProof/>
        </w:rPr>
        <w:t>;</w:t>
      </w:r>
    </w:p>
    <w:p w14:paraId="30C8AB2B" w14:textId="730ECB9E" w:rsidR="00AF46FC" w:rsidRDefault="00306677" w:rsidP="00306677">
      <w:pPr>
        <w:pStyle w:val="Point1"/>
        <w:rPr>
          <w:noProof/>
        </w:rPr>
      </w:pPr>
      <w:r w:rsidRPr="00306677">
        <w:t>(b)</w:t>
      </w:r>
      <w:r w:rsidRPr="00306677">
        <w:tab/>
      </w:r>
      <w:r w:rsidR="00AF46FC" w:rsidRPr="00AF46FC">
        <w:rPr>
          <w:noProof/>
        </w:rPr>
        <w:t>paragraph</w:t>
      </w:r>
      <w:r w:rsidR="00F029EC">
        <w:rPr>
          <w:noProof/>
        </w:rPr>
        <w:t>s</w:t>
      </w:r>
      <w:r w:rsidR="00AF46FC" w:rsidRPr="00AF46FC">
        <w:rPr>
          <w:noProof/>
        </w:rPr>
        <w:t xml:space="preserve"> 2 </w:t>
      </w:r>
      <w:r w:rsidR="00F029EC">
        <w:rPr>
          <w:noProof/>
        </w:rPr>
        <w:t>and 3 are</w:t>
      </w:r>
      <w:r w:rsidR="00F029EC" w:rsidRPr="7CC317AF">
        <w:rPr>
          <w:noProof/>
        </w:rPr>
        <w:t xml:space="preserve"> </w:t>
      </w:r>
      <w:r w:rsidR="00AF46FC" w:rsidRPr="00AF46FC">
        <w:rPr>
          <w:noProof/>
        </w:rPr>
        <w:t>replaced by the following:</w:t>
      </w:r>
    </w:p>
    <w:p w14:paraId="260AC566" w14:textId="3C621E04" w:rsidR="00F029EC" w:rsidRDefault="00AF46FC" w:rsidP="160710AA">
      <w:pPr>
        <w:pStyle w:val="Text1"/>
        <w:rPr>
          <w:noProof/>
        </w:rPr>
      </w:pPr>
      <w:r w:rsidRPr="7CC317AF">
        <w:rPr>
          <w:noProof/>
        </w:rPr>
        <w:t>“</w:t>
      </w:r>
      <w:r>
        <w:rPr>
          <w:noProof/>
        </w:rPr>
        <w:t xml:space="preserve">2. </w:t>
      </w:r>
      <w:r w:rsidRPr="00AF46FC">
        <w:rPr>
          <w:noProof/>
        </w:rPr>
        <w:t>Observance of the storage deadlines referred to in paragraph</w:t>
      </w:r>
      <w:r w:rsidR="00F029EC">
        <w:rPr>
          <w:noProof/>
        </w:rPr>
        <w:t>s</w:t>
      </w:r>
      <w:r w:rsidRPr="00AF46FC">
        <w:rPr>
          <w:noProof/>
        </w:rPr>
        <w:t xml:space="preserve"> 1 and 1a of this Article shall be reviewed constantly by appropriate automated processing conducted by Eurojust, particularly from the moment in which Eurojust ceases to provide support. </w:t>
      </w:r>
    </w:p>
    <w:p w14:paraId="43D2DBDB" w14:textId="77777777" w:rsidR="00F029EC" w:rsidRDefault="00AF46FC" w:rsidP="160710AA">
      <w:pPr>
        <w:pStyle w:val="Text1"/>
        <w:rPr>
          <w:noProof/>
        </w:rPr>
      </w:pPr>
      <w:r w:rsidRPr="00AF46FC">
        <w:rPr>
          <w:noProof/>
        </w:rPr>
        <w:t>A review of the need to store the data shall also be carried out every three</w:t>
      </w:r>
      <w:r w:rsidR="009253BB">
        <w:rPr>
          <w:noProof/>
        </w:rPr>
        <w:t xml:space="preserve"> years after they were entered.</w:t>
      </w:r>
      <w:r w:rsidRPr="00AF46FC">
        <w:rPr>
          <w:noProof/>
        </w:rPr>
        <w:t xml:space="preserve"> </w:t>
      </w:r>
    </w:p>
    <w:p w14:paraId="1D5B5D6D" w14:textId="1B264729" w:rsidR="00AF46FC" w:rsidRPr="00AF46FC" w:rsidRDefault="00AF46FC" w:rsidP="00BE7C1D">
      <w:pPr>
        <w:pStyle w:val="Text1"/>
        <w:rPr>
          <w:noProof/>
        </w:rPr>
      </w:pPr>
      <w:r w:rsidRPr="00AF46FC">
        <w:rPr>
          <w:noProof/>
        </w:rPr>
        <w:t>If operational personal data referred to in Article 27(4) are stored for a period exceeding five years, the EDPS shall be informed</w:t>
      </w:r>
      <w:r w:rsidR="00F029EC">
        <w:rPr>
          <w:noProof/>
        </w:rPr>
        <w:t xml:space="preserve"> thereof</w:t>
      </w:r>
      <w:r w:rsidRPr="7CC317AF">
        <w:rPr>
          <w:noProof/>
        </w:rPr>
        <w:t>.</w:t>
      </w:r>
    </w:p>
    <w:p w14:paraId="67D82DBD" w14:textId="525CC0FF" w:rsidR="00F029EC" w:rsidRDefault="00AF46FC" w:rsidP="160710AA">
      <w:pPr>
        <w:pStyle w:val="Text1"/>
        <w:rPr>
          <w:noProof/>
        </w:rPr>
      </w:pPr>
      <w:r>
        <w:rPr>
          <w:noProof/>
        </w:rPr>
        <w:t xml:space="preserve">3. </w:t>
      </w:r>
      <w:r w:rsidRPr="00EE5838">
        <w:rPr>
          <w:noProof/>
        </w:rPr>
        <w:t>Before one of the storage deadlines referred to in paragraph</w:t>
      </w:r>
      <w:r w:rsidR="00F029EC">
        <w:rPr>
          <w:noProof/>
        </w:rPr>
        <w:t>s</w:t>
      </w:r>
      <w:r w:rsidRPr="00EE5838">
        <w:rPr>
          <w:noProof/>
        </w:rPr>
        <w:t xml:space="preserve"> 1 and</w:t>
      </w:r>
      <w:r w:rsidR="00F029EC" w:rsidRPr="0B5BAFE5">
        <w:rPr>
          <w:noProof/>
        </w:rPr>
        <w:t xml:space="preserve"> </w:t>
      </w:r>
      <w:r w:rsidRPr="00EE5838">
        <w:rPr>
          <w:noProof/>
        </w:rPr>
        <w:t xml:space="preserve">1a expires, Eurojust shall review the need for the continued storage of the operational personal data where and as long as this is necessary to perform its tasks. </w:t>
      </w:r>
    </w:p>
    <w:p w14:paraId="5D85FC9F" w14:textId="4B64CAA2" w:rsidR="00AB63ED" w:rsidRPr="00AF46FC" w:rsidRDefault="00AF46FC" w:rsidP="006A0D14">
      <w:pPr>
        <w:pStyle w:val="Text1"/>
        <w:rPr>
          <w:noProof/>
        </w:rPr>
      </w:pPr>
      <w:r w:rsidRPr="00EE5838">
        <w:rPr>
          <w:noProof/>
        </w:rPr>
        <w:t>It may decide by way of derogation to store those data until the following review. The reasons for the continued storage shall be justified and recorded. If no decision is taken on the continued storage of operational personal data at the time of the review, those data shall be deleted automatically.”</w:t>
      </w:r>
      <w:r w:rsidR="00EF32C4">
        <w:rPr>
          <w:noProof/>
        </w:rPr>
        <w:t>;</w:t>
      </w:r>
    </w:p>
    <w:p w14:paraId="783950D3" w14:textId="15F8562D" w:rsidR="00AB63ED" w:rsidRPr="00AB63ED" w:rsidRDefault="00306677" w:rsidP="00306677">
      <w:pPr>
        <w:pStyle w:val="Point0"/>
        <w:rPr>
          <w:noProof/>
        </w:rPr>
      </w:pPr>
      <w:r w:rsidRPr="00306677">
        <w:t>(9)</w:t>
      </w:r>
      <w:r w:rsidRPr="00306677">
        <w:tab/>
      </w:r>
      <w:r w:rsidR="00F029EC" w:rsidRPr="00805B56">
        <w:rPr>
          <w:noProof/>
        </w:rPr>
        <w:t>in Section III,</w:t>
      </w:r>
      <w:r w:rsidR="00E11514" w:rsidRPr="006D3B69">
        <w:rPr>
          <w:noProof/>
        </w:rPr>
        <w:t xml:space="preserve"> the following Article 54a is inserted:</w:t>
      </w:r>
    </w:p>
    <w:p w14:paraId="49DEB287" w14:textId="72A67A76" w:rsidR="00AF46FC" w:rsidRPr="00EE5838" w:rsidRDefault="00AF46FC" w:rsidP="00BE7C1D">
      <w:pPr>
        <w:jc w:val="center"/>
        <w:rPr>
          <w:noProof/>
        </w:rPr>
      </w:pPr>
      <w:r w:rsidRPr="00EE5838">
        <w:rPr>
          <w:noProof/>
        </w:rPr>
        <w:t>“</w:t>
      </w:r>
      <w:r w:rsidRPr="00A40364">
        <w:rPr>
          <w:i/>
          <w:noProof/>
        </w:rPr>
        <w:t>Article 54a</w:t>
      </w:r>
    </w:p>
    <w:p w14:paraId="7F73B2E4" w14:textId="75B4C42F" w:rsidR="00AF46FC" w:rsidRPr="00A40364" w:rsidRDefault="00AF46FC" w:rsidP="00BE7C1D">
      <w:pPr>
        <w:jc w:val="center"/>
        <w:rPr>
          <w:b/>
          <w:noProof/>
        </w:rPr>
      </w:pPr>
      <w:r w:rsidRPr="00A40364">
        <w:rPr>
          <w:b/>
          <w:noProof/>
        </w:rPr>
        <w:t>Third country liaison prosecutors</w:t>
      </w:r>
    </w:p>
    <w:p w14:paraId="14A2CA78" w14:textId="320C1E6F" w:rsidR="00AF46FC" w:rsidRDefault="00306677" w:rsidP="00306677">
      <w:pPr>
        <w:pStyle w:val="ManualNumPar1"/>
        <w:rPr>
          <w:noProof/>
        </w:rPr>
      </w:pPr>
      <w:r w:rsidRPr="00306677">
        <w:t>1.</w:t>
      </w:r>
      <w:r w:rsidRPr="00306677">
        <w:tab/>
      </w:r>
      <w:r w:rsidR="00AF46FC">
        <w:rPr>
          <w:noProof/>
        </w:rPr>
        <w:t>A l</w:t>
      </w:r>
      <w:r w:rsidR="00AF46FC" w:rsidRPr="00EE5838">
        <w:rPr>
          <w:noProof/>
        </w:rPr>
        <w:t>iaison pros</w:t>
      </w:r>
      <w:r w:rsidR="00AF46FC">
        <w:rPr>
          <w:noProof/>
        </w:rPr>
        <w:t>ecutor</w:t>
      </w:r>
      <w:r w:rsidR="00AF46FC" w:rsidRPr="00EE5838">
        <w:rPr>
          <w:noProof/>
        </w:rPr>
        <w:t xml:space="preserve"> from a third country may be seconded to Eurojust based on a cooperation agreement concluded before 12 December 2019 between Eurojust and that third country or an international agreement between the Union and the third country pursuant to Article 218 TFEU allowing for the secondment of a liaison prosecutor.</w:t>
      </w:r>
    </w:p>
    <w:p w14:paraId="443E17F7" w14:textId="70C0DDDB" w:rsidR="00AF46FC" w:rsidRPr="00AF46FC" w:rsidRDefault="00306677" w:rsidP="00306677">
      <w:pPr>
        <w:pStyle w:val="ManualNumPar1"/>
        <w:rPr>
          <w:noProof/>
        </w:rPr>
      </w:pPr>
      <w:r w:rsidRPr="00306677">
        <w:t>2.</w:t>
      </w:r>
      <w:r w:rsidRPr="00306677">
        <w:tab/>
      </w:r>
      <w:r w:rsidR="00AF46FC" w:rsidRPr="00805B56">
        <w:rPr>
          <w:noProof/>
        </w:rPr>
        <w:t xml:space="preserve">The rights and obligations of the liaison prosecutor </w:t>
      </w:r>
      <w:r w:rsidR="00100645" w:rsidRPr="00805B56">
        <w:rPr>
          <w:noProof/>
        </w:rPr>
        <w:t xml:space="preserve">shall be </w:t>
      </w:r>
      <w:r w:rsidR="00AF46FC" w:rsidRPr="006D3B69">
        <w:rPr>
          <w:noProof/>
        </w:rPr>
        <w:t>set out in the cooperation agreement</w:t>
      </w:r>
      <w:r w:rsidR="00100645" w:rsidRPr="006D3B69">
        <w:rPr>
          <w:noProof/>
        </w:rPr>
        <w:t xml:space="preserve"> or</w:t>
      </w:r>
      <w:r w:rsidR="00AF46FC" w:rsidRPr="00805B56">
        <w:rPr>
          <w:noProof/>
        </w:rPr>
        <w:t xml:space="preserve"> international agreement referred to in paragraph 1 or working arrangement </w:t>
      </w:r>
      <w:r w:rsidR="00100645" w:rsidRPr="00805B56">
        <w:rPr>
          <w:noProof/>
        </w:rPr>
        <w:t xml:space="preserve">concluded </w:t>
      </w:r>
      <w:r w:rsidR="00AF46FC" w:rsidRPr="006D3B69">
        <w:rPr>
          <w:noProof/>
        </w:rPr>
        <w:t>in accordance with Article 47</w:t>
      </w:r>
      <w:r w:rsidR="00100645" w:rsidRPr="00805B56">
        <w:rPr>
          <w:noProof/>
        </w:rPr>
        <w:t>(3)</w:t>
      </w:r>
      <w:r w:rsidR="00AF46FC" w:rsidRPr="7CC317AF">
        <w:rPr>
          <w:noProof/>
        </w:rPr>
        <w:t>.</w:t>
      </w:r>
    </w:p>
    <w:p w14:paraId="3A8318D9" w14:textId="4807DD48" w:rsidR="00100645" w:rsidRDefault="00306677" w:rsidP="00306677">
      <w:pPr>
        <w:pStyle w:val="ManualNumPar1"/>
        <w:rPr>
          <w:noProof/>
        </w:rPr>
      </w:pPr>
      <w:r w:rsidRPr="00306677">
        <w:t>3.</w:t>
      </w:r>
      <w:r w:rsidRPr="00306677">
        <w:tab/>
      </w:r>
      <w:r w:rsidR="00AF46FC" w:rsidRPr="00AF46FC">
        <w:rPr>
          <w:noProof/>
        </w:rPr>
        <w:t xml:space="preserve">Liaison prosecutors seconded to Eurojust shall be </w:t>
      </w:r>
      <w:r w:rsidR="00AF46FC" w:rsidRPr="00805B56">
        <w:rPr>
          <w:noProof/>
        </w:rPr>
        <w:t>granted access</w:t>
      </w:r>
      <w:r w:rsidR="00AF46FC" w:rsidRPr="00AF46FC">
        <w:rPr>
          <w:noProof/>
        </w:rPr>
        <w:t xml:space="preserve"> to the case management system </w:t>
      </w:r>
      <w:r w:rsidR="00AF46FC" w:rsidRPr="00805B56">
        <w:rPr>
          <w:noProof/>
        </w:rPr>
        <w:t xml:space="preserve">for the </w:t>
      </w:r>
      <w:r w:rsidR="00AF46FC" w:rsidRPr="00AF46FC">
        <w:rPr>
          <w:noProof/>
        </w:rPr>
        <w:t xml:space="preserve">secure </w:t>
      </w:r>
      <w:r w:rsidR="00AF46FC" w:rsidRPr="00805B56">
        <w:rPr>
          <w:noProof/>
        </w:rPr>
        <w:t xml:space="preserve">exchange </w:t>
      </w:r>
      <w:r w:rsidR="00040C7C">
        <w:rPr>
          <w:noProof/>
        </w:rPr>
        <w:t xml:space="preserve">of data. </w:t>
      </w:r>
    </w:p>
    <w:p w14:paraId="0D13A4DB" w14:textId="1B87FE0D" w:rsidR="00100645" w:rsidRDefault="00040C7C" w:rsidP="00197F34">
      <w:pPr>
        <w:pStyle w:val="Text1"/>
        <w:rPr>
          <w:noProof/>
          <w:szCs w:val="24"/>
        </w:rPr>
      </w:pPr>
      <w:r>
        <w:rPr>
          <w:noProof/>
        </w:rPr>
        <w:t>T</w:t>
      </w:r>
      <w:r w:rsidR="00B551A0">
        <w:rPr>
          <w:noProof/>
        </w:rPr>
        <w:t xml:space="preserve">ransfers </w:t>
      </w:r>
      <w:r>
        <w:rPr>
          <w:noProof/>
        </w:rPr>
        <w:t xml:space="preserve">of operational personal data </w:t>
      </w:r>
      <w:r w:rsidR="00B551A0">
        <w:rPr>
          <w:noProof/>
        </w:rPr>
        <w:t>to</w:t>
      </w:r>
      <w:r>
        <w:rPr>
          <w:noProof/>
        </w:rPr>
        <w:t xml:space="preserve"> third country</w:t>
      </w:r>
      <w:r w:rsidR="00B551A0">
        <w:rPr>
          <w:noProof/>
        </w:rPr>
        <w:t xml:space="preserve"> liaison prosecutors</w:t>
      </w:r>
      <w:r>
        <w:rPr>
          <w:noProof/>
        </w:rPr>
        <w:t xml:space="preserve"> through the case management system</w:t>
      </w:r>
      <w:r w:rsidR="00B551A0">
        <w:rPr>
          <w:noProof/>
        </w:rPr>
        <w:t xml:space="preserve"> may only take place under the</w:t>
      </w:r>
      <w:r>
        <w:rPr>
          <w:noProof/>
        </w:rPr>
        <w:t xml:space="preserve"> rules and</w:t>
      </w:r>
      <w:r w:rsidR="00B551A0">
        <w:rPr>
          <w:noProof/>
        </w:rPr>
        <w:t xml:space="preserve"> conditions set out in this Regulation,</w:t>
      </w:r>
      <w:r w:rsidR="00AF46FC" w:rsidRPr="00AF46FC">
        <w:rPr>
          <w:noProof/>
        </w:rPr>
        <w:t xml:space="preserve"> the agreement with the respective country or other</w:t>
      </w:r>
      <w:r>
        <w:rPr>
          <w:noProof/>
        </w:rPr>
        <w:t xml:space="preserve"> applicable</w:t>
      </w:r>
      <w:r w:rsidR="00AF46FC" w:rsidRPr="00AF46FC">
        <w:rPr>
          <w:noProof/>
        </w:rPr>
        <w:t xml:space="preserve"> legal instruments</w:t>
      </w:r>
      <w:r w:rsidR="00AF46FC" w:rsidRPr="00805B56">
        <w:rPr>
          <w:noProof/>
        </w:rPr>
        <w:t xml:space="preserve">. </w:t>
      </w:r>
    </w:p>
    <w:p w14:paraId="3E285C5F" w14:textId="26CF3EBB" w:rsidR="00100645" w:rsidRDefault="00AF46FC" w:rsidP="00197F34">
      <w:pPr>
        <w:pStyle w:val="Text1"/>
        <w:rPr>
          <w:noProof/>
        </w:rPr>
      </w:pPr>
      <w:r w:rsidRPr="00805B56">
        <w:rPr>
          <w:noProof/>
        </w:rPr>
        <w:t>Article</w:t>
      </w:r>
      <w:r w:rsidRPr="00AF46FC">
        <w:rPr>
          <w:noProof/>
        </w:rPr>
        <w:t xml:space="preserve"> 24</w:t>
      </w:r>
      <w:r w:rsidR="00100645">
        <w:rPr>
          <w:noProof/>
        </w:rPr>
        <w:t>(1), the second sentence and Article 24(2)</w:t>
      </w:r>
      <w:r w:rsidRPr="00AF46FC">
        <w:rPr>
          <w:noProof/>
        </w:rPr>
        <w:t xml:space="preserve"> shall </w:t>
      </w:r>
      <w:r w:rsidRPr="00805B56">
        <w:rPr>
          <w:noProof/>
        </w:rPr>
        <w:t xml:space="preserve">apply </w:t>
      </w:r>
      <w:r w:rsidRPr="160710AA">
        <w:rPr>
          <w:i/>
          <w:iCs/>
          <w:noProof/>
        </w:rPr>
        <w:t>mutatis mutandi</w:t>
      </w:r>
      <w:r w:rsidR="00100645" w:rsidRPr="160710AA">
        <w:rPr>
          <w:i/>
          <w:iCs/>
          <w:noProof/>
        </w:rPr>
        <w:t>s</w:t>
      </w:r>
      <w:r w:rsidR="00B551A0">
        <w:rPr>
          <w:noProof/>
        </w:rPr>
        <w:t xml:space="preserve"> to liaison prosecutors. </w:t>
      </w:r>
    </w:p>
    <w:p w14:paraId="63AEAB83" w14:textId="4134614C" w:rsidR="0083191B" w:rsidRDefault="00AF46FC" w:rsidP="00197F34">
      <w:pPr>
        <w:pStyle w:val="Text1"/>
        <w:rPr>
          <w:noProof/>
        </w:rPr>
      </w:pPr>
      <w:r w:rsidRPr="00AF46FC">
        <w:rPr>
          <w:noProof/>
        </w:rPr>
        <w:t xml:space="preserve">The College shall </w:t>
      </w:r>
      <w:r w:rsidR="00100645">
        <w:rPr>
          <w:noProof/>
        </w:rPr>
        <w:t>lay down the detailed conditions</w:t>
      </w:r>
      <w:r w:rsidRPr="00AF46FC">
        <w:rPr>
          <w:noProof/>
        </w:rPr>
        <w:t xml:space="preserve"> of access.</w:t>
      </w:r>
      <w:r w:rsidR="0083191B">
        <w:rPr>
          <w:noProof/>
        </w:rPr>
        <w:t>”</w:t>
      </w:r>
      <w:r w:rsidR="00EF32C4">
        <w:rPr>
          <w:noProof/>
        </w:rPr>
        <w:t>;</w:t>
      </w:r>
    </w:p>
    <w:p w14:paraId="7D36A68A" w14:textId="21475155" w:rsidR="00100645" w:rsidRDefault="00306677" w:rsidP="00306677">
      <w:pPr>
        <w:pStyle w:val="Point0"/>
        <w:rPr>
          <w:noProof/>
        </w:rPr>
      </w:pPr>
      <w:r w:rsidRPr="00306677">
        <w:t>(10)</w:t>
      </w:r>
      <w:r w:rsidRPr="00306677">
        <w:tab/>
      </w:r>
      <w:r w:rsidR="00100645">
        <w:rPr>
          <w:noProof/>
        </w:rPr>
        <w:t>In Article 80, the following paragraphs</w:t>
      </w:r>
      <w:r w:rsidR="00EF6FAD">
        <w:rPr>
          <w:noProof/>
        </w:rPr>
        <w:t xml:space="preserve"> 8, 9 and 10</w:t>
      </w:r>
      <w:r w:rsidR="00100645">
        <w:rPr>
          <w:noProof/>
        </w:rPr>
        <w:t xml:space="preserve"> are added:</w:t>
      </w:r>
    </w:p>
    <w:p w14:paraId="12A74771" w14:textId="494CD8B9" w:rsidR="00100645" w:rsidRDefault="00100645" w:rsidP="00197F34">
      <w:pPr>
        <w:pStyle w:val="Text1"/>
        <w:rPr>
          <w:noProof/>
        </w:rPr>
      </w:pPr>
      <w:r w:rsidRPr="7CC317AF">
        <w:rPr>
          <w:noProof/>
        </w:rPr>
        <w:t>“</w:t>
      </w:r>
      <w:r>
        <w:rPr>
          <w:noProof/>
        </w:rPr>
        <w:t>8</w:t>
      </w:r>
      <w:r w:rsidRPr="7CC317AF">
        <w:rPr>
          <w:noProof/>
        </w:rPr>
        <w:t xml:space="preserve">. </w:t>
      </w:r>
      <w:r w:rsidRPr="006A0D14">
        <w:rPr>
          <w:noProof/>
        </w:rPr>
        <w:t>Eurojust may continue to use the case management system composed of temporary work files and of an index until</w:t>
      </w:r>
      <w:r w:rsidRPr="7CC317AF">
        <w:rPr>
          <w:noProof/>
        </w:rPr>
        <w:t xml:space="preserve"> [</w:t>
      </w:r>
      <w:r w:rsidR="00526582" w:rsidRPr="00A052E2">
        <w:rPr>
          <w:i/>
          <w:noProof/>
        </w:rPr>
        <w:t>the first day of the month following the period of two years after the adoption of this Regulation</w:t>
      </w:r>
      <w:r w:rsidRPr="7CC317AF">
        <w:rPr>
          <w:noProof/>
        </w:rPr>
        <w:t>],</w:t>
      </w:r>
      <w:r>
        <w:rPr>
          <w:noProof/>
        </w:rPr>
        <w:t xml:space="preserve"> if the new case management system is not in place yet</w:t>
      </w:r>
      <w:r w:rsidRPr="7CC317AF">
        <w:rPr>
          <w:noProof/>
        </w:rPr>
        <w:t>.</w:t>
      </w:r>
    </w:p>
    <w:p w14:paraId="6EDFD07F" w14:textId="71BBC263" w:rsidR="00100645" w:rsidRDefault="00100645" w:rsidP="00197F34">
      <w:pPr>
        <w:pStyle w:val="Text1"/>
        <w:rPr>
          <w:noProof/>
        </w:rPr>
      </w:pPr>
      <w:r>
        <w:rPr>
          <w:noProof/>
        </w:rPr>
        <w:t xml:space="preserve">9. </w:t>
      </w:r>
      <w:r w:rsidRPr="00027100">
        <w:rPr>
          <w:noProof/>
        </w:rPr>
        <w:t>The competent authorities and Eurojust may continue to use other channels of communication than referred to in Article 22a</w:t>
      </w:r>
      <w:r>
        <w:rPr>
          <w:noProof/>
        </w:rPr>
        <w:t>(1)</w:t>
      </w:r>
      <w:r w:rsidRPr="00027100">
        <w:rPr>
          <w:noProof/>
        </w:rPr>
        <w:t xml:space="preserve"> until [</w:t>
      </w:r>
      <w:r w:rsidR="00526582" w:rsidRPr="00A052E2">
        <w:rPr>
          <w:i/>
          <w:noProof/>
        </w:rPr>
        <w:t>the first day of the month following the period of two years after the adoption of the implementing act referred to in Article 22b of this Regulation</w:t>
      </w:r>
      <w:r w:rsidRPr="00027100">
        <w:rPr>
          <w:noProof/>
        </w:rPr>
        <w:t>], if th</w:t>
      </w:r>
      <w:r>
        <w:rPr>
          <w:noProof/>
        </w:rPr>
        <w:t>o</w:t>
      </w:r>
      <w:r w:rsidRPr="00027100">
        <w:rPr>
          <w:noProof/>
        </w:rPr>
        <w:t>se channels of communication are not available for direct exchange between them yet.</w:t>
      </w:r>
    </w:p>
    <w:p w14:paraId="1BA512F1" w14:textId="3DCA5CAE" w:rsidR="00100645" w:rsidRPr="00100645" w:rsidRDefault="00100645" w:rsidP="00197F34">
      <w:pPr>
        <w:pStyle w:val="Text1"/>
        <w:rPr>
          <w:noProof/>
        </w:rPr>
      </w:pPr>
      <w:r>
        <w:rPr>
          <w:noProof/>
        </w:rPr>
        <w:t xml:space="preserve">10. </w:t>
      </w:r>
      <w:r w:rsidRPr="00027100">
        <w:rPr>
          <w:noProof/>
        </w:rPr>
        <w:t xml:space="preserve">The competent authorities may continue to provide information in other ways than semi-automatically </w:t>
      </w:r>
      <w:r w:rsidRPr="006A0D14">
        <w:rPr>
          <w:noProof/>
        </w:rPr>
        <w:t>in accordance with Article 22a(3)</w:t>
      </w:r>
      <w:r w:rsidRPr="00100645">
        <w:rPr>
          <w:noProof/>
        </w:rPr>
        <w:t xml:space="preserve"> until</w:t>
      </w:r>
      <w:r w:rsidRPr="00027100">
        <w:rPr>
          <w:noProof/>
        </w:rPr>
        <w:t xml:space="preserve"> [</w:t>
      </w:r>
      <w:r w:rsidR="00526582" w:rsidRPr="00A052E2">
        <w:rPr>
          <w:i/>
          <w:noProof/>
        </w:rPr>
        <w:t>the first day of the month following the period of two years after the adoption of the implementing act referred to in Article 22b of this Regulation</w:t>
      </w:r>
      <w:r w:rsidRPr="00027100">
        <w:rPr>
          <w:noProof/>
        </w:rPr>
        <w:t>], if the technical requirements are not in place yet.</w:t>
      </w:r>
      <w:r w:rsidRPr="7CC317AF">
        <w:rPr>
          <w:noProof/>
        </w:rPr>
        <w:t>”</w:t>
      </w:r>
      <w:r w:rsidR="00EF32C4">
        <w:rPr>
          <w:noProof/>
        </w:rPr>
        <w:t>;</w:t>
      </w:r>
    </w:p>
    <w:p w14:paraId="41FC739B" w14:textId="50A9E873" w:rsidR="00E11514" w:rsidRPr="00AB63ED" w:rsidRDefault="00306677" w:rsidP="00306677">
      <w:pPr>
        <w:pStyle w:val="Point0"/>
        <w:rPr>
          <w:noProof/>
        </w:rPr>
      </w:pPr>
      <w:r w:rsidRPr="00306677">
        <w:t>(11)</w:t>
      </w:r>
      <w:r w:rsidRPr="00306677">
        <w:tab/>
      </w:r>
      <w:r w:rsidR="00E11514" w:rsidRPr="00805B56">
        <w:rPr>
          <w:noProof/>
        </w:rPr>
        <w:t xml:space="preserve">the following </w:t>
      </w:r>
      <w:r w:rsidR="006A27FE" w:rsidRPr="00805B56">
        <w:rPr>
          <w:noProof/>
        </w:rPr>
        <w:t>Annex III</w:t>
      </w:r>
      <w:r w:rsidR="00E11514" w:rsidRPr="00805B56">
        <w:rPr>
          <w:noProof/>
        </w:rPr>
        <w:t xml:space="preserve"> is </w:t>
      </w:r>
      <w:r w:rsidR="00E81631" w:rsidRPr="00805B56">
        <w:rPr>
          <w:noProof/>
        </w:rPr>
        <w:t>added</w:t>
      </w:r>
      <w:r w:rsidR="00E11514" w:rsidRPr="7CC317AF">
        <w:rPr>
          <w:noProof/>
        </w:rPr>
        <w:t>:</w:t>
      </w:r>
    </w:p>
    <w:p w14:paraId="0CEBE258" w14:textId="66E2316F" w:rsidR="007B26CA" w:rsidRDefault="00AF46FC" w:rsidP="160710AA">
      <w:pPr>
        <w:rPr>
          <w:noProof/>
          <w:szCs w:val="24"/>
        </w:rPr>
      </w:pPr>
      <w:r w:rsidRPr="7CC317AF">
        <w:rPr>
          <w:noProof/>
        </w:rPr>
        <w:t>“</w:t>
      </w:r>
      <w:r w:rsidR="001674C8">
        <w:rPr>
          <w:noProof/>
        </w:rPr>
        <w:t>Annex III:</w:t>
      </w:r>
    </w:p>
    <w:p w14:paraId="50570610" w14:textId="7BB10215" w:rsidR="00AF46FC" w:rsidRPr="00A547DF" w:rsidRDefault="00306677" w:rsidP="00306677">
      <w:pPr>
        <w:pStyle w:val="Point0"/>
        <w:rPr>
          <w:noProof/>
        </w:rPr>
      </w:pPr>
      <w:r w:rsidRPr="00306677">
        <w:t>(a)</w:t>
      </w:r>
      <w:r w:rsidRPr="00306677">
        <w:tab/>
      </w:r>
      <w:r w:rsidR="00E81631">
        <w:rPr>
          <w:noProof/>
        </w:rPr>
        <w:t>i</w:t>
      </w:r>
      <w:r w:rsidR="00AF46FC" w:rsidRPr="00A547DF">
        <w:rPr>
          <w:noProof/>
        </w:rPr>
        <w:t xml:space="preserve">nformation to identify the suspect, accused, convicted or acquitted person: </w:t>
      </w:r>
    </w:p>
    <w:p w14:paraId="35906137" w14:textId="2F09E77A" w:rsidR="003C2FC0" w:rsidRDefault="00AF46FC" w:rsidP="00221FF8">
      <w:pPr>
        <w:pStyle w:val="Tiret1"/>
        <w:numPr>
          <w:ilvl w:val="0"/>
          <w:numId w:val="19"/>
        </w:numPr>
        <w:rPr>
          <w:noProof/>
        </w:rPr>
      </w:pPr>
      <w:r w:rsidRPr="003C2FC0">
        <w:rPr>
          <w:noProof/>
        </w:rPr>
        <w:t>surname (family name)</w:t>
      </w:r>
      <w:r w:rsidR="00E81631" w:rsidRPr="7CC317AF">
        <w:rPr>
          <w:noProof/>
        </w:rPr>
        <w:t>;</w:t>
      </w:r>
    </w:p>
    <w:p w14:paraId="7EEE46CE" w14:textId="2A01F76F" w:rsidR="003C2FC0" w:rsidRPr="003C2FC0" w:rsidRDefault="00AF46FC" w:rsidP="7CC317AF">
      <w:pPr>
        <w:pStyle w:val="Tiret1"/>
        <w:rPr>
          <w:noProof/>
        </w:rPr>
      </w:pPr>
      <w:r w:rsidRPr="003C2FC0">
        <w:rPr>
          <w:noProof/>
        </w:rPr>
        <w:t>first names (given name, alias)</w:t>
      </w:r>
      <w:r w:rsidR="00E81631" w:rsidRPr="7CC317AF">
        <w:rPr>
          <w:noProof/>
        </w:rPr>
        <w:t>;</w:t>
      </w:r>
    </w:p>
    <w:p w14:paraId="161F4626" w14:textId="287E1513" w:rsidR="003C2FC0" w:rsidRPr="003C2FC0" w:rsidRDefault="00AF46FC" w:rsidP="7CC317AF">
      <w:pPr>
        <w:pStyle w:val="Tiret1"/>
        <w:rPr>
          <w:noProof/>
        </w:rPr>
      </w:pPr>
      <w:r w:rsidRPr="003C2FC0">
        <w:rPr>
          <w:noProof/>
        </w:rPr>
        <w:t>date of birth</w:t>
      </w:r>
      <w:r w:rsidR="00E81631" w:rsidRPr="7CC317AF">
        <w:rPr>
          <w:noProof/>
        </w:rPr>
        <w:t>;</w:t>
      </w:r>
    </w:p>
    <w:p w14:paraId="48D2D647" w14:textId="07FB32C7" w:rsidR="003C2FC0" w:rsidRPr="003C2FC0" w:rsidRDefault="00AF46FC" w:rsidP="7CC317AF">
      <w:pPr>
        <w:pStyle w:val="Tiret1"/>
        <w:rPr>
          <w:noProof/>
        </w:rPr>
      </w:pPr>
      <w:r w:rsidRPr="003C2FC0">
        <w:rPr>
          <w:noProof/>
        </w:rPr>
        <w:t>place of birth (town and country)</w:t>
      </w:r>
      <w:r w:rsidR="00E81631" w:rsidRPr="7CC317AF">
        <w:rPr>
          <w:noProof/>
        </w:rPr>
        <w:t>;</w:t>
      </w:r>
    </w:p>
    <w:p w14:paraId="5B733DA7" w14:textId="4AD7AA99" w:rsidR="003C2FC0" w:rsidRPr="003C2FC0" w:rsidRDefault="00AF46FC" w:rsidP="7CC317AF">
      <w:pPr>
        <w:pStyle w:val="Tiret1"/>
        <w:rPr>
          <w:noProof/>
        </w:rPr>
      </w:pPr>
      <w:r w:rsidRPr="003C2FC0">
        <w:rPr>
          <w:noProof/>
        </w:rPr>
        <w:t>nationality or nationalities</w:t>
      </w:r>
      <w:r w:rsidR="00E81631" w:rsidRPr="7CC317AF">
        <w:rPr>
          <w:noProof/>
        </w:rPr>
        <w:t>;</w:t>
      </w:r>
    </w:p>
    <w:p w14:paraId="6F112407" w14:textId="77777777" w:rsidR="003C2FC0" w:rsidRPr="003C2FC0" w:rsidRDefault="00AF46FC" w:rsidP="003C2FC0">
      <w:pPr>
        <w:pStyle w:val="Tiret1"/>
        <w:rPr>
          <w:noProof/>
        </w:rPr>
      </w:pPr>
      <w:r w:rsidRPr="003C2FC0">
        <w:rPr>
          <w:noProof/>
        </w:rPr>
        <w:t>identification document,</w:t>
      </w:r>
    </w:p>
    <w:p w14:paraId="7FA0241D" w14:textId="77777777" w:rsidR="00AF46FC" w:rsidRDefault="00AF46FC" w:rsidP="003C2FC0">
      <w:pPr>
        <w:pStyle w:val="Tiret1"/>
        <w:rPr>
          <w:noProof/>
        </w:rPr>
      </w:pPr>
      <w:r w:rsidRPr="003C2FC0">
        <w:rPr>
          <w:noProof/>
        </w:rPr>
        <w:t>gender;</w:t>
      </w:r>
    </w:p>
    <w:p w14:paraId="3D966B3D" w14:textId="44EAB866" w:rsidR="007B26CA" w:rsidRPr="007B26CA" w:rsidRDefault="00306677" w:rsidP="00306677">
      <w:pPr>
        <w:pStyle w:val="Point0"/>
        <w:rPr>
          <w:noProof/>
        </w:rPr>
      </w:pPr>
      <w:r w:rsidRPr="00306677">
        <w:t>(b)</w:t>
      </w:r>
      <w:r w:rsidRPr="00306677">
        <w:tab/>
      </w:r>
      <w:r w:rsidR="00E81631">
        <w:rPr>
          <w:noProof/>
        </w:rPr>
        <w:t>i</w:t>
      </w:r>
      <w:r w:rsidR="007B26CA" w:rsidRPr="007B26CA">
        <w:rPr>
          <w:noProof/>
        </w:rPr>
        <w:t>nformation on the terrorist offence:</w:t>
      </w:r>
    </w:p>
    <w:p w14:paraId="4E9CE2FE" w14:textId="0582F476" w:rsidR="007B26CA" w:rsidRPr="00FE7E61" w:rsidRDefault="00E81631" w:rsidP="7CC317AF">
      <w:pPr>
        <w:pStyle w:val="Tiret1"/>
        <w:rPr>
          <w:noProof/>
        </w:rPr>
      </w:pPr>
      <w:r>
        <w:rPr>
          <w:noProof/>
        </w:rPr>
        <w:t>l</w:t>
      </w:r>
      <w:r w:rsidR="007B26CA" w:rsidRPr="00FE7E61">
        <w:rPr>
          <w:noProof/>
        </w:rPr>
        <w:t>egal qualification of the offence under national law</w:t>
      </w:r>
      <w:r w:rsidRPr="7CC317AF">
        <w:rPr>
          <w:noProof/>
        </w:rPr>
        <w:t>;</w:t>
      </w:r>
    </w:p>
    <w:p w14:paraId="73BD1053" w14:textId="5A7477D3" w:rsidR="007B26CA" w:rsidRPr="00FE7E61" w:rsidRDefault="00E81631" w:rsidP="7CC317AF">
      <w:pPr>
        <w:pStyle w:val="Tiret1"/>
        <w:rPr>
          <w:noProof/>
        </w:rPr>
      </w:pPr>
      <w:r>
        <w:rPr>
          <w:noProof/>
        </w:rPr>
        <w:t>a</w:t>
      </w:r>
      <w:r w:rsidR="007B26CA" w:rsidRPr="00FE7E61">
        <w:rPr>
          <w:noProof/>
        </w:rPr>
        <w:t xml:space="preserve">pplicable </w:t>
      </w:r>
      <w:r>
        <w:rPr>
          <w:noProof/>
        </w:rPr>
        <w:t xml:space="preserve">form of serious </w:t>
      </w:r>
      <w:r w:rsidR="007B26CA" w:rsidRPr="00FE7E61">
        <w:rPr>
          <w:noProof/>
        </w:rPr>
        <w:t>crime</w:t>
      </w:r>
      <w:r>
        <w:rPr>
          <w:noProof/>
        </w:rPr>
        <w:t xml:space="preserve"> from the list referred to</w:t>
      </w:r>
      <w:r w:rsidR="007B26CA" w:rsidRPr="00FE7E61">
        <w:rPr>
          <w:noProof/>
        </w:rPr>
        <w:t xml:space="preserve"> in Annex I</w:t>
      </w:r>
      <w:r w:rsidRPr="7CC317AF">
        <w:rPr>
          <w:noProof/>
        </w:rPr>
        <w:t>;</w:t>
      </w:r>
    </w:p>
    <w:p w14:paraId="37282921" w14:textId="4125C7DF" w:rsidR="007B26CA" w:rsidRPr="00FE7E61" w:rsidRDefault="007B26CA" w:rsidP="7CC317AF">
      <w:pPr>
        <w:pStyle w:val="Tiret1"/>
        <w:rPr>
          <w:noProof/>
        </w:rPr>
      </w:pPr>
      <w:r w:rsidRPr="00FE7E61">
        <w:rPr>
          <w:noProof/>
        </w:rPr>
        <w:t>affiliation with terrorist group</w:t>
      </w:r>
      <w:r w:rsidR="00E81631" w:rsidRPr="7CC317AF">
        <w:rPr>
          <w:noProof/>
        </w:rPr>
        <w:t>;</w:t>
      </w:r>
    </w:p>
    <w:p w14:paraId="0261B118" w14:textId="5DC50310" w:rsidR="0083191B" w:rsidRPr="00FE7E61" w:rsidRDefault="007B26CA" w:rsidP="160710AA">
      <w:pPr>
        <w:pStyle w:val="Tiret1"/>
        <w:rPr>
          <w:noProof/>
        </w:rPr>
      </w:pPr>
      <w:r w:rsidRPr="00FE7E61">
        <w:rPr>
          <w:noProof/>
        </w:rPr>
        <w:t>type of terrorism</w:t>
      </w:r>
      <w:r w:rsidR="006A27FE">
        <w:rPr>
          <w:noProof/>
        </w:rPr>
        <w:t xml:space="preserve">, such as </w:t>
      </w:r>
      <w:r w:rsidR="00FE1D59">
        <w:rPr>
          <w:noProof/>
        </w:rPr>
        <w:t>jihadist, separatist, left-wing, right-wing</w:t>
      </w:r>
      <w:r w:rsidR="00E81631" w:rsidRPr="7CC317AF">
        <w:rPr>
          <w:noProof/>
        </w:rPr>
        <w:t>;</w:t>
      </w:r>
    </w:p>
    <w:p w14:paraId="73A4684F" w14:textId="6A136436" w:rsidR="0083191B" w:rsidRPr="00FE7E61" w:rsidRDefault="007B26CA" w:rsidP="160710AA">
      <w:pPr>
        <w:pStyle w:val="Tiret1"/>
        <w:rPr>
          <w:noProof/>
        </w:rPr>
      </w:pPr>
      <w:r w:rsidRPr="00FE7E61">
        <w:rPr>
          <w:noProof/>
        </w:rPr>
        <w:t>brief summary of the case;</w:t>
      </w:r>
    </w:p>
    <w:p w14:paraId="1B1BE06A" w14:textId="75687F5B" w:rsidR="007B26CA" w:rsidRPr="007B26CA" w:rsidRDefault="00306677" w:rsidP="00306677">
      <w:pPr>
        <w:pStyle w:val="Point0"/>
        <w:rPr>
          <w:noProof/>
        </w:rPr>
      </w:pPr>
      <w:r w:rsidRPr="00306677">
        <w:t>(c)</w:t>
      </w:r>
      <w:r w:rsidRPr="00306677">
        <w:tab/>
      </w:r>
      <w:r w:rsidR="00FC6272">
        <w:rPr>
          <w:noProof/>
        </w:rPr>
        <w:t>i</w:t>
      </w:r>
      <w:r w:rsidR="007B26CA" w:rsidRPr="007B26CA">
        <w:rPr>
          <w:noProof/>
        </w:rPr>
        <w:t>nformation on the national proceedings:</w:t>
      </w:r>
    </w:p>
    <w:p w14:paraId="177CF9CF" w14:textId="475EBF34" w:rsidR="007B26CA" w:rsidRPr="00FE7E61" w:rsidRDefault="007B26CA" w:rsidP="7CC317AF">
      <w:pPr>
        <w:pStyle w:val="Tiret1"/>
        <w:rPr>
          <w:noProof/>
        </w:rPr>
      </w:pPr>
      <w:r w:rsidRPr="00FE7E61">
        <w:rPr>
          <w:noProof/>
        </w:rPr>
        <w:t>status of the national proceedings</w:t>
      </w:r>
      <w:r w:rsidR="00E81631" w:rsidRPr="7CC317AF">
        <w:rPr>
          <w:noProof/>
        </w:rPr>
        <w:t>;</w:t>
      </w:r>
    </w:p>
    <w:p w14:paraId="30882FA0" w14:textId="18DA1991" w:rsidR="007B26CA" w:rsidRPr="00FE7E61" w:rsidRDefault="007B26CA" w:rsidP="7CC317AF">
      <w:pPr>
        <w:pStyle w:val="Tiret1"/>
        <w:rPr>
          <w:noProof/>
        </w:rPr>
      </w:pPr>
      <w:r w:rsidRPr="00FE7E61">
        <w:rPr>
          <w:noProof/>
        </w:rPr>
        <w:t>responsible public prosecutor’s office</w:t>
      </w:r>
      <w:r w:rsidR="00E81631" w:rsidRPr="7CC317AF">
        <w:rPr>
          <w:noProof/>
        </w:rPr>
        <w:t>;</w:t>
      </w:r>
    </w:p>
    <w:p w14:paraId="7397D427" w14:textId="021383D4" w:rsidR="007B26CA" w:rsidRPr="00FE7E61" w:rsidRDefault="007B26CA" w:rsidP="7CC317AF">
      <w:pPr>
        <w:pStyle w:val="Tiret1"/>
        <w:rPr>
          <w:noProof/>
        </w:rPr>
      </w:pPr>
      <w:r w:rsidRPr="00FE7E61">
        <w:rPr>
          <w:noProof/>
        </w:rPr>
        <w:t>case number</w:t>
      </w:r>
      <w:r w:rsidR="00E81631" w:rsidRPr="7CC317AF">
        <w:rPr>
          <w:noProof/>
        </w:rPr>
        <w:t>;</w:t>
      </w:r>
    </w:p>
    <w:p w14:paraId="22B2E3DD" w14:textId="27495738" w:rsidR="007B26CA" w:rsidRDefault="007B26CA" w:rsidP="160710AA">
      <w:pPr>
        <w:pStyle w:val="Tiret1"/>
        <w:rPr>
          <w:noProof/>
        </w:rPr>
      </w:pPr>
      <w:r w:rsidRPr="00FE7E61">
        <w:rPr>
          <w:noProof/>
        </w:rPr>
        <w:t>date of open</w:t>
      </w:r>
      <w:r>
        <w:rPr>
          <w:noProof/>
        </w:rPr>
        <w:t>ing formal judicial proceedings;</w:t>
      </w:r>
    </w:p>
    <w:p w14:paraId="738297D0" w14:textId="386577A9" w:rsidR="0083191B" w:rsidRDefault="0083191B" w:rsidP="160710AA">
      <w:pPr>
        <w:pStyle w:val="Tiret1"/>
        <w:rPr>
          <w:noProof/>
        </w:rPr>
      </w:pPr>
      <w:r>
        <w:rPr>
          <w:noProof/>
        </w:rPr>
        <w:t>links with other relevant cases;</w:t>
      </w:r>
    </w:p>
    <w:p w14:paraId="7A5AF366" w14:textId="400AB257" w:rsidR="00AF46FC" w:rsidRPr="007B26CA" w:rsidRDefault="00306677" w:rsidP="00306677">
      <w:pPr>
        <w:pStyle w:val="Point0"/>
        <w:rPr>
          <w:noProof/>
        </w:rPr>
      </w:pPr>
      <w:r w:rsidRPr="00306677">
        <w:t>(d)</w:t>
      </w:r>
      <w:r w:rsidRPr="00306677">
        <w:tab/>
      </w:r>
      <w:r w:rsidR="00FC6272">
        <w:rPr>
          <w:noProof/>
        </w:rPr>
        <w:t>i</w:t>
      </w:r>
      <w:r w:rsidR="00AF46FC" w:rsidRPr="007B26CA">
        <w:rPr>
          <w:noProof/>
        </w:rPr>
        <w:t xml:space="preserve">nformation </w:t>
      </w:r>
      <w:r w:rsidR="007B26CA">
        <w:rPr>
          <w:noProof/>
        </w:rPr>
        <w:t>to identify the suspect</w:t>
      </w:r>
      <w:r w:rsidR="00E81631">
        <w:rPr>
          <w:noProof/>
        </w:rPr>
        <w:t>, where</w:t>
      </w:r>
      <w:r w:rsidR="001674C8" w:rsidRPr="7CC317AF">
        <w:rPr>
          <w:noProof/>
        </w:rPr>
        <w:t xml:space="preserve"> </w:t>
      </w:r>
      <w:r w:rsidR="00AF46FC" w:rsidRPr="007B26CA">
        <w:rPr>
          <w:noProof/>
        </w:rPr>
        <w:t>available</w:t>
      </w:r>
      <w:r w:rsidR="00E81631" w:rsidRPr="7CC317AF">
        <w:rPr>
          <w:noProof/>
        </w:rPr>
        <w:t>,</w:t>
      </w:r>
      <w:r w:rsidR="00AF46FC" w:rsidRPr="007B26CA">
        <w:rPr>
          <w:noProof/>
        </w:rPr>
        <w:t xml:space="preserve"> for the national competent au</w:t>
      </w:r>
      <w:r w:rsidR="000F4E6A">
        <w:rPr>
          <w:noProof/>
        </w:rPr>
        <w:t>thorities</w:t>
      </w:r>
      <w:r w:rsidR="00AF46FC" w:rsidRPr="7CC317AF">
        <w:rPr>
          <w:noProof/>
        </w:rPr>
        <w:t>:</w:t>
      </w:r>
    </w:p>
    <w:p w14:paraId="0E387FA0" w14:textId="73485AB3" w:rsidR="00AF46FC" w:rsidRPr="003C2FC0" w:rsidRDefault="00AF46FC" w:rsidP="7CC317AF">
      <w:pPr>
        <w:pStyle w:val="Tiret1"/>
        <w:rPr>
          <w:noProof/>
        </w:rPr>
      </w:pPr>
      <w:r w:rsidRPr="003C2FC0">
        <w:rPr>
          <w:noProof/>
        </w:rPr>
        <w:t>fingerprint data that have been collected in accordance with national law during criminal proceedings</w:t>
      </w:r>
      <w:r w:rsidR="00E81631" w:rsidRPr="7CC317AF">
        <w:rPr>
          <w:noProof/>
        </w:rPr>
        <w:t>;</w:t>
      </w:r>
    </w:p>
    <w:p w14:paraId="0CEF96D7" w14:textId="39CC76B2" w:rsidR="00E11514" w:rsidRPr="00F96E01" w:rsidRDefault="007B26CA" w:rsidP="006A0D14">
      <w:pPr>
        <w:pStyle w:val="Tiret1"/>
        <w:rPr>
          <w:noProof/>
        </w:rPr>
      </w:pPr>
      <w:r>
        <w:rPr>
          <w:noProof/>
        </w:rPr>
        <w:t>photographs.”</w:t>
      </w:r>
      <w:r w:rsidR="00EF32C4">
        <w:rPr>
          <w:noProof/>
        </w:rPr>
        <w:t>.</w:t>
      </w:r>
    </w:p>
    <w:p w14:paraId="5E7A79C4" w14:textId="77777777" w:rsidR="00E11514" w:rsidRDefault="00E11514" w:rsidP="00AB63ED">
      <w:pPr>
        <w:pStyle w:val="Titrearticle"/>
        <w:rPr>
          <w:noProof/>
        </w:rPr>
      </w:pPr>
      <w:r>
        <w:rPr>
          <w:noProof/>
        </w:rPr>
        <w:t>Article 2</w:t>
      </w:r>
    </w:p>
    <w:p w14:paraId="1B9E2EDE" w14:textId="5CAD947C" w:rsidR="00FD753D" w:rsidRPr="006A0D14" w:rsidRDefault="00FD753D">
      <w:pPr>
        <w:jc w:val="center"/>
        <w:rPr>
          <w:b/>
          <w:bCs/>
          <w:noProof/>
        </w:rPr>
      </w:pPr>
      <w:r w:rsidRPr="00805B56">
        <w:rPr>
          <w:b/>
          <w:bCs/>
          <w:noProof/>
        </w:rPr>
        <w:t>Amendments to</w:t>
      </w:r>
      <w:r w:rsidR="0087726B">
        <w:rPr>
          <w:b/>
          <w:bCs/>
          <w:noProof/>
        </w:rPr>
        <w:t xml:space="preserve"> </w:t>
      </w:r>
      <w:r w:rsidRPr="00805B56">
        <w:rPr>
          <w:b/>
          <w:bCs/>
          <w:noProof/>
        </w:rPr>
        <w:t>Decision 2005/671/JHA</w:t>
      </w:r>
    </w:p>
    <w:p w14:paraId="1E78CC3F" w14:textId="77777777" w:rsidR="00FD753D" w:rsidRPr="00EE5838" w:rsidRDefault="00FD753D" w:rsidP="160710AA">
      <w:pPr>
        <w:rPr>
          <w:noProof/>
          <w:szCs w:val="24"/>
        </w:rPr>
      </w:pPr>
      <w:r w:rsidRPr="00805B56">
        <w:rPr>
          <w:noProof/>
        </w:rPr>
        <w:t>Decision 2005/671/JHA is amended as follows:</w:t>
      </w:r>
    </w:p>
    <w:p w14:paraId="1E805226" w14:textId="796558C0" w:rsidR="00E81631" w:rsidRDefault="00306677" w:rsidP="00306677">
      <w:pPr>
        <w:pStyle w:val="Point0"/>
        <w:rPr>
          <w:noProof/>
        </w:rPr>
      </w:pPr>
      <w:r w:rsidRPr="00306677">
        <w:t>(1)</w:t>
      </w:r>
      <w:r w:rsidRPr="00306677">
        <w:tab/>
      </w:r>
      <w:r w:rsidR="00E81631">
        <w:rPr>
          <w:noProof/>
        </w:rPr>
        <w:t xml:space="preserve">in </w:t>
      </w:r>
      <w:r w:rsidR="00FD753D" w:rsidRPr="00EE5838">
        <w:rPr>
          <w:noProof/>
        </w:rPr>
        <w:t xml:space="preserve">Article 1 </w:t>
      </w:r>
      <w:r w:rsidR="00E81631">
        <w:rPr>
          <w:noProof/>
        </w:rPr>
        <w:t xml:space="preserve">point </w:t>
      </w:r>
      <w:r w:rsidR="00E81631" w:rsidRPr="7CC317AF">
        <w:rPr>
          <w:noProof/>
        </w:rPr>
        <w:t>(</w:t>
      </w:r>
      <w:r w:rsidR="00E81631">
        <w:rPr>
          <w:noProof/>
        </w:rPr>
        <w:t>c</w:t>
      </w:r>
      <w:r w:rsidR="00E81631" w:rsidRPr="7CC317AF">
        <w:rPr>
          <w:noProof/>
        </w:rPr>
        <w:t>)</w:t>
      </w:r>
      <w:r w:rsidR="00E81631">
        <w:rPr>
          <w:noProof/>
        </w:rPr>
        <w:t xml:space="preserve"> is deleted.</w:t>
      </w:r>
    </w:p>
    <w:p w14:paraId="5D49B904" w14:textId="48622D01" w:rsidR="00FD753D" w:rsidRPr="00461608" w:rsidRDefault="00306677" w:rsidP="00306677">
      <w:pPr>
        <w:pStyle w:val="Point0"/>
        <w:rPr>
          <w:noProof/>
        </w:rPr>
      </w:pPr>
      <w:r w:rsidRPr="00306677">
        <w:t>(2)</w:t>
      </w:r>
      <w:r w:rsidRPr="00306677">
        <w:tab/>
      </w:r>
      <w:r w:rsidR="00FD753D" w:rsidRPr="00FD753D">
        <w:rPr>
          <w:noProof/>
        </w:rPr>
        <w:t xml:space="preserve">Article 2 is amended as follows: </w:t>
      </w:r>
    </w:p>
    <w:p w14:paraId="704BC776" w14:textId="673DC958" w:rsidR="00FD753D" w:rsidRDefault="00306677" w:rsidP="00306677">
      <w:pPr>
        <w:pStyle w:val="Point1"/>
        <w:rPr>
          <w:noProof/>
        </w:rPr>
      </w:pPr>
      <w:r w:rsidRPr="00306677">
        <w:t>(a)</w:t>
      </w:r>
      <w:r w:rsidRPr="00306677">
        <w:tab/>
      </w:r>
      <w:r w:rsidR="00EF32C4">
        <w:rPr>
          <w:noProof/>
        </w:rPr>
        <w:t>paragraph 2 is deleted;</w:t>
      </w:r>
    </w:p>
    <w:p w14:paraId="262FE11F" w14:textId="50DA716A" w:rsidR="00FD753D" w:rsidRPr="00461608" w:rsidRDefault="00306677" w:rsidP="00306677">
      <w:pPr>
        <w:pStyle w:val="Point1"/>
        <w:rPr>
          <w:noProof/>
        </w:rPr>
      </w:pPr>
      <w:r w:rsidRPr="00306677">
        <w:t>(b)</w:t>
      </w:r>
      <w:r w:rsidRPr="00306677">
        <w:tab/>
      </w:r>
      <w:r w:rsidR="00FD753D" w:rsidRPr="00EE5838">
        <w:rPr>
          <w:noProof/>
        </w:rPr>
        <w:t>paragraph 3</w:t>
      </w:r>
      <w:r w:rsidR="00FD753D">
        <w:rPr>
          <w:noProof/>
        </w:rPr>
        <w:t xml:space="preserve"> is replaced by the following</w:t>
      </w:r>
      <w:r w:rsidR="00FD753D" w:rsidRPr="00EE5838">
        <w:rPr>
          <w:noProof/>
        </w:rPr>
        <w:t xml:space="preserve">: </w:t>
      </w:r>
    </w:p>
    <w:p w14:paraId="15DC216E" w14:textId="65C9AB74" w:rsidR="00FD753D" w:rsidRDefault="00FD753D" w:rsidP="160710AA">
      <w:pPr>
        <w:pStyle w:val="Text2"/>
        <w:rPr>
          <w:noProof/>
        </w:rPr>
      </w:pPr>
      <w:r>
        <w:rPr>
          <w:noProof/>
        </w:rPr>
        <w:t>“3</w:t>
      </w:r>
      <w:r w:rsidR="0083191B">
        <w:rPr>
          <w:noProof/>
        </w:rPr>
        <w:t>.</w:t>
      </w:r>
      <w:r>
        <w:rPr>
          <w:noProof/>
        </w:rPr>
        <w:t xml:space="preserve"> </w:t>
      </w:r>
      <w:r w:rsidRPr="007E4735">
        <w:rPr>
          <w:noProof/>
        </w:rPr>
        <w:t xml:space="preserve">Each Member State shall take the necessary measures to ensure that at least the information referred to in paragraph 4 concerning criminal investigations for terrorist offences which affect or may affect two or more Member States, gathered by the relevant </w:t>
      </w:r>
      <w:r>
        <w:rPr>
          <w:noProof/>
        </w:rPr>
        <w:t xml:space="preserve">authority, is transmitted to </w:t>
      </w:r>
      <w:r w:rsidRPr="00EE5838">
        <w:rPr>
          <w:noProof/>
        </w:rPr>
        <w:t xml:space="preserve">Europol, in accordance with national law and with </w:t>
      </w:r>
      <w:r>
        <w:rPr>
          <w:noProof/>
        </w:rPr>
        <w:t>Regulation</w:t>
      </w:r>
      <w:r w:rsidR="003335A9">
        <w:rPr>
          <w:noProof/>
        </w:rPr>
        <w:t xml:space="preserve"> (EU) 2016/794 of the European Parliament and of the Council</w:t>
      </w:r>
      <w:r w:rsidR="003335A9" w:rsidRPr="7CC317AF">
        <w:rPr>
          <w:noProof/>
        </w:rPr>
        <w:t xml:space="preserve"> </w:t>
      </w:r>
      <w:r w:rsidR="00942508" w:rsidRPr="7CC317AF">
        <w:rPr>
          <w:noProof/>
        </w:rPr>
        <w:t>*</w:t>
      </w:r>
      <w:r w:rsidR="00E81631" w:rsidRPr="7CC317AF">
        <w:rPr>
          <w:noProof/>
        </w:rPr>
        <w:t>.</w:t>
      </w:r>
    </w:p>
    <w:p w14:paraId="3948CD5A" w14:textId="77777777" w:rsidR="00942508" w:rsidRDefault="00942508" w:rsidP="160710AA">
      <w:pPr>
        <w:pStyle w:val="Text2"/>
        <w:rPr>
          <w:noProof/>
        </w:rPr>
      </w:pPr>
      <w:r w:rsidRPr="7CC317AF">
        <w:rPr>
          <w:noProof/>
        </w:rPr>
        <w:t>_____________</w:t>
      </w:r>
    </w:p>
    <w:p w14:paraId="14EEAD4C" w14:textId="1CF639C8" w:rsidR="00942508" w:rsidRDefault="00942508" w:rsidP="00553E3B">
      <w:pPr>
        <w:pStyle w:val="Text2"/>
        <w:rPr>
          <w:noProof/>
        </w:rPr>
      </w:pPr>
      <w:r w:rsidRPr="0B5BAFE5">
        <w:rPr>
          <w:noProof/>
        </w:rPr>
        <w:t xml:space="preserve">* </w:t>
      </w:r>
      <w:r w:rsidRPr="00EE5838">
        <w:rPr>
          <w:noProof/>
        </w:rPr>
        <w:t>Regulation (EU) 2016/794 of the European Parliament and of the Council of 11 May 2016 on the European Union Agency for Law Enforcement Cooperation (Europol)</w:t>
      </w:r>
      <w:r>
        <w:rPr>
          <w:noProof/>
        </w:rPr>
        <w:t xml:space="preserve"> (OJ L 135, 24.5.2016, p. 53).”</w:t>
      </w:r>
      <w:r w:rsidR="00EF32C4">
        <w:rPr>
          <w:noProof/>
        </w:rPr>
        <w:t>;</w:t>
      </w:r>
    </w:p>
    <w:p w14:paraId="07D3AFAC" w14:textId="53AA8C6F" w:rsidR="00AB63ED" w:rsidRPr="00FD753D" w:rsidRDefault="00306677" w:rsidP="00306677">
      <w:pPr>
        <w:pStyle w:val="Point1"/>
        <w:rPr>
          <w:noProof/>
          <w:lang w:val="en-US"/>
        </w:rPr>
      </w:pPr>
      <w:r w:rsidRPr="00306677">
        <w:t>(c)</w:t>
      </w:r>
      <w:r w:rsidRPr="00306677">
        <w:tab/>
      </w:r>
      <w:r w:rsidR="00FD753D" w:rsidRPr="007E4735">
        <w:rPr>
          <w:noProof/>
        </w:rPr>
        <w:t>paragraph 5 is delet</w:t>
      </w:r>
      <w:r w:rsidR="00FD753D">
        <w:rPr>
          <w:noProof/>
        </w:rPr>
        <w:t>ed.</w:t>
      </w:r>
      <w:r w:rsidR="00FD753D" w:rsidRPr="007E4735">
        <w:rPr>
          <w:noProof/>
        </w:rPr>
        <w:t xml:space="preserve"> </w:t>
      </w:r>
    </w:p>
    <w:p w14:paraId="58C3FF86" w14:textId="28CE8053" w:rsidR="00FD753D" w:rsidRDefault="00FD753D" w:rsidP="00FD753D">
      <w:pPr>
        <w:pStyle w:val="Titrearticle"/>
        <w:rPr>
          <w:noProof/>
        </w:rPr>
      </w:pPr>
      <w:r>
        <w:rPr>
          <w:noProof/>
        </w:rPr>
        <w:t xml:space="preserve">Article </w:t>
      </w:r>
      <w:r w:rsidR="00942508">
        <w:rPr>
          <w:noProof/>
        </w:rPr>
        <w:t>3</w:t>
      </w:r>
    </w:p>
    <w:p w14:paraId="722E982F" w14:textId="151DAD4C" w:rsidR="00FD753D" w:rsidRPr="00FC6272" w:rsidRDefault="00FD753D">
      <w:pPr>
        <w:jc w:val="center"/>
        <w:rPr>
          <w:noProof/>
        </w:rPr>
      </w:pPr>
      <w:r w:rsidRPr="00805B56">
        <w:rPr>
          <w:b/>
          <w:bCs/>
          <w:noProof/>
        </w:rPr>
        <w:t xml:space="preserve">Entry into force </w:t>
      </w:r>
    </w:p>
    <w:p w14:paraId="0091417C" w14:textId="77777777" w:rsidR="00EB0A3C" w:rsidRPr="00FD753D" w:rsidRDefault="00EB0A3C" w:rsidP="00715ADE">
      <w:pPr>
        <w:rPr>
          <w:noProof/>
        </w:rPr>
      </w:pPr>
      <w:r w:rsidRPr="00FD753D">
        <w:rPr>
          <w:noProof/>
        </w:rPr>
        <w:t xml:space="preserve">This Regulation shall enter into force on the </w:t>
      </w:r>
      <w:r w:rsidR="00E11514" w:rsidRPr="006D0ACA">
        <w:rPr>
          <w:noProof/>
        </w:rPr>
        <w:t>twentieth</w:t>
      </w:r>
      <w:r w:rsidRPr="00FD753D">
        <w:rPr>
          <w:noProof/>
        </w:rPr>
        <w:t xml:space="preserve"> day following that of its publication in the </w:t>
      </w:r>
      <w:r w:rsidRPr="160710AA">
        <w:rPr>
          <w:i/>
          <w:iCs/>
          <w:noProof/>
        </w:rPr>
        <w:t>Official Journal of the European Union</w:t>
      </w:r>
      <w:r w:rsidRPr="00FD753D">
        <w:rPr>
          <w:noProof/>
        </w:rPr>
        <w:t>.</w:t>
      </w:r>
    </w:p>
    <w:p w14:paraId="5F89CFA4" w14:textId="77777777" w:rsidR="00E11514" w:rsidRPr="00FD753D" w:rsidRDefault="00EB0A3C" w:rsidP="00E11514">
      <w:pPr>
        <w:pStyle w:val="Applicationdirecte"/>
        <w:rPr>
          <w:noProof/>
        </w:rPr>
      </w:pPr>
      <w:r w:rsidRPr="00FD753D">
        <w:rPr>
          <w:noProof/>
        </w:rPr>
        <w:t>This Regulation shall be binding in its entirety and directly applicable in the Member States in accordance with the Treaties.</w:t>
      </w:r>
    </w:p>
    <w:p w14:paraId="44EFBD1E" w14:textId="5F80A4B8" w:rsidR="00EB0A3C" w:rsidRPr="00FD753D" w:rsidRDefault="007C6575" w:rsidP="003B21D7">
      <w:pPr>
        <w:pStyle w:val="Fait"/>
        <w:rPr>
          <w:noProof/>
        </w:rPr>
      </w:pPr>
      <w:r w:rsidRPr="007C6575">
        <w:t>Done at Brussels,</w:t>
      </w:r>
    </w:p>
    <w:p w14:paraId="3C36F47A" w14:textId="77777777" w:rsidR="00EB0A3C" w:rsidRDefault="00EB0A3C" w:rsidP="003B21D7">
      <w:pPr>
        <w:pStyle w:val="Institutionquisigne"/>
        <w:rPr>
          <w:noProof/>
        </w:rPr>
      </w:pPr>
      <w:r w:rsidRPr="00FD753D">
        <w:rPr>
          <w:noProof/>
        </w:rPr>
        <w:t>For the European Parliament</w:t>
      </w:r>
      <w:r w:rsidRPr="00EB0A3C">
        <w:rPr>
          <w:noProof/>
        </w:rPr>
        <w:tab/>
        <w:t>For the Council</w:t>
      </w:r>
    </w:p>
    <w:p w14:paraId="234DB83A" w14:textId="77777777" w:rsidR="00436363" w:rsidRDefault="00CB46BF" w:rsidP="00CB46BF">
      <w:pPr>
        <w:pStyle w:val="Personnequisigne"/>
        <w:rPr>
          <w:noProof/>
        </w:rPr>
        <w:sectPr w:rsidR="00436363" w:rsidSect="00A618F2">
          <w:pgSz w:w="12240" w:h="15840"/>
          <w:pgMar w:top="794" w:right="1467" w:bottom="851" w:left="1361" w:header="510" w:footer="454" w:gutter="0"/>
          <w:cols w:space="720"/>
          <w:docGrid w:linePitch="326"/>
        </w:sectPr>
      </w:pPr>
      <w:r>
        <w:rPr>
          <w:noProof/>
        </w:rPr>
        <w:t>The President</w:t>
      </w:r>
      <w:r>
        <w:rPr>
          <w:noProof/>
        </w:rPr>
        <w:tab/>
        <w:t>The President</w:t>
      </w:r>
    </w:p>
    <w:p w14:paraId="77A13C9E" w14:textId="77777777" w:rsidR="00436363" w:rsidRDefault="00436363" w:rsidP="00864CD8">
      <w:pPr>
        <w:pStyle w:val="Fichefinanciretitre"/>
        <w:rPr>
          <w:noProof/>
        </w:rPr>
      </w:pPr>
      <w:r w:rsidRPr="00175197">
        <w:rPr>
          <w:noProof/>
        </w:rPr>
        <w:t>LEGISLATIVE FINANCIAL STATEMENT</w:t>
      </w:r>
    </w:p>
    <w:p w14:paraId="7F9F7866" w14:textId="77777777" w:rsidR="00B44ABF" w:rsidRDefault="00B44ABF" w:rsidP="00ED2926">
      <w:pPr>
        <w:jc w:val="center"/>
        <w:rPr>
          <w:noProof/>
        </w:rPr>
      </w:pPr>
    </w:p>
    <w:sdt>
      <w:sdtPr>
        <w:rPr>
          <w:b w:val="0"/>
          <w:noProof/>
          <w:sz w:val="24"/>
        </w:rPr>
        <w:id w:val="1751233503"/>
        <w:docPartObj>
          <w:docPartGallery w:val="Table of Contents"/>
          <w:docPartUnique/>
        </w:docPartObj>
      </w:sdtPr>
      <w:sdtEndPr>
        <w:rPr>
          <w:bCs/>
        </w:rPr>
      </w:sdtEndPr>
      <w:sdtContent>
        <w:p w14:paraId="23DADCC3" w14:textId="77777777" w:rsidR="00B44ABF" w:rsidRPr="00B44ABF" w:rsidRDefault="00B44ABF" w:rsidP="00B44ABF">
          <w:pPr>
            <w:pStyle w:val="TOCHeading"/>
            <w:rPr>
              <w:b w:val="0"/>
              <w:noProof/>
              <w:sz w:val="24"/>
              <w:szCs w:val="24"/>
            </w:rPr>
          </w:pPr>
          <w:r w:rsidRPr="00B44ABF">
            <w:rPr>
              <w:b w:val="0"/>
              <w:noProof/>
              <w:sz w:val="24"/>
              <w:szCs w:val="24"/>
            </w:rPr>
            <w:t>Contents</w:t>
          </w:r>
          <w:r w:rsidRPr="00B44ABF">
            <w:rPr>
              <w:b w:val="0"/>
              <w:noProof/>
              <w:sz w:val="24"/>
              <w:szCs w:val="24"/>
            </w:rPr>
            <w:fldChar w:fldCharType="begin"/>
          </w:r>
          <w:r w:rsidRPr="00B44ABF">
            <w:rPr>
              <w:b w:val="0"/>
              <w:noProof/>
              <w:sz w:val="24"/>
              <w:szCs w:val="24"/>
            </w:rPr>
            <w:instrText xml:space="preserve"> TOC \o "1-3" \h \z \u </w:instrText>
          </w:r>
          <w:r w:rsidRPr="00B44ABF">
            <w:rPr>
              <w:b w:val="0"/>
              <w:noProof/>
              <w:sz w:val="24"/>
              <w:szCs w:val="24"/>
            </w:rPr>
            <w:fldChar w:fldCharType="separate"/>
          </w:r>
        </w:p>
        <w:p w14:paraId="1E53FA7C" w14:textId="22512FC4" w:rsidR="00B44ABF" w:rsidRPr="00B44ABF" w:rsidRDefault="003B21D7" w:rsidP="00B44ABF">
          <w:pPr>
            <w:pStyle w:val="TOC1"/>
            <w:rPr>
              <w:rFonts w:asciiTheme="minorHAnsi" w:eastAsiaTheme="minorEastAsia" w:hAnsiTheme="minorHAnsi" w:cstheme="minorBidi"/>
              <w:noProof/>
              <w:szCs w:val="24"/>
              <w:lang w:val="fr-BE" w:eastAsia="fr-BE"/>
            </w:rPr>
          </w:pPr>
          <w:hyperlink w:anchor="_Toc84517572" w:history="1">
            <w:r w:rsidR="00B44ABF" w:rsidRPr="00B44ABF">
              <w:rPr>
                <w:rStyle w:val="Hyperlink"/>
                <w:noProof/>
                <w:szCs w:val="24"/>
              </w:rPr>
              <w:t>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FRAMEWORK OF THE PROPOSAL/INITIATIVE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_Toc84517572 \h </w:instrText>
            </w:r>
            <w:r w:rsidR="00B44ABF" w:rsidRPr="00B44ABF">
              <w:rPr>
                <w:noProof/>
                <w:webHidden/>
                <w:szCs w:val="24"/>
              </w:rPr>
            </w:r>
            <w:r w:rsidR="00B44ABF" w:rsidRPr="00B44ABF">
              <w:rPr>
                <w:noProof/>
                <w:webHidden/>
                <w:szCs w:val="24"/>
              </w:rPr>
              <w:fldChar w:fldCharType="separate"/>
            </w:r>
            <w:r w:rsidR="00EF1EB6">
              <w:rPr>
                <w:noProof/>
                <w:webHidden/>
                <w:szCs w:val="24"/>
              </w:rPr>
              <w:t>26</w:t>
            </w:r>
            <w:r w:rsidR="00B44ABF" w:rsidRPr="00B44ABF">
              <w:rPr>
                <w:noProof/>
                <w:webHidden/>
                <w:szCs w:val="24"/>
              </w:rPr>
              <w:fldChar w:fldCharType="end"/>
            </w:r>
          </w:hyperlink>
        </w:p>
        <w:p w14:paraId="16BD3221" w14:textId="7E8DAB33"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73" w:history="1">
            <w:r w:rsidR="00B44ABF" w:rsidRPr="00B44ABF">
              <w:rPr>
                <w:rStyle w:val="Hyperlink"/>
                <w:noProof/>
                <w:szCs w:val="24"/>
              </w:rPr>
              <w:t>1.1.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Title of the proposal/initiative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_Toc84517573 \h </w:instrText>
            </w:r>
            <w:r w:rsidR="00B44ABF" w:rsidRPr="00B44ABF">
              <w:rPr>
                <w:noProof/>
                <w:webHidden/>
                <w:szCs w:val="24"/>
              </w:rPr>
            </w:r>
            <w:r w:rsidR="00B44ABF" w:rsidRPr="00B44ABF">
              <w:rPr>
                <w:noProof/>
                <w:webHidden/>
                <w:szCs w:val="24"/>
              </w:rPr>
              <w:fldChar w:fldCharType="separate"/>
            </w:r>
            <w:r w:rsidR="00EF1EB6">
              <w:rPr>
                <w:noProof/>
                <w:webHidden/>
                <w:szCs w:val="24"/>
              </w:rPr>
              <w:t>26</w:t>
            </w:r>
            <w:r w:rsidR="00B44ABF" w:rsidRPr="00B44ABF">
              <w:rPr>
                <w:noProof/>
                <w:webHidden/>
                <w:szCs w:val="24"/>
              </w:rPr>
              <w:fldChar w:fldCharType="end"/>
            </w:r>
          </w:hyperlink>
        </w:p>
        <w:p w14:paraId="7338CF9C" w14:textId="6590C628"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74" w:history="1">
            <w:r w:rsidR="00B44ABF" w:rsidRPr="006A0D14">
              <w:rPr>
                <w:rStyle w:val="Hyperlink"/>
                <w:noProof/>
                <w:szCs w:val="24"/>
              </w:rPr>
              <w:t>1.2</w:t>
            </w:r>
            <w:r w:rsidR="00B44ABF" w:rsidRPr="00B44ABF">
              <w:rPr>
                <w:rStyle w:val="Hyperlink"/>
                <w:i/>
                <w:noProof/>
                <w:szCs w:val="24"/>
              </w:rPr>
              <w:t>.</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Policy area(s) concerned</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_Toc84517574 \h </w:instrText>
            </w:r>
            <w:r w:rsidR="00B44ABF" w:rsidRPr="00B44ABF">
              <w:rPr>
                <w:noProof/>
                <w:webHidden/>
                <w:szCs w:val="24"/>
              </w:rPr>
            </w:r>
            <w:r w:rsidR="00B44ABF" w:rsidRPr="00B44ABF">
              <w:rPr>
                <w:noProof/>
                <w:webHidden/>
                <w:szCs w:val="24"/>
              </w:rPr>
              <w:fldChar w:fldCharType="separate"/>
            </w:r>
            <w:r w:rsidR="00EF1EB6">
              <w:rPr>
                <w:noProof/>
                <w:webHidden/>
                <w:szCs w:val="24"/>
              </w:rPr>
              <w:t>26</w:t>
            </w:r>
            <w:r w:rsidR="00B44ABF" w:rsidRPr="00B44ABF">
              <w:rPr>
                <w:noProof/>
                <w:webHidden/>
                <w:szCs w:val="24"/>
              </w:rPr>
              <w:fldChar w:fldCharType="end"/>
            </w:r>
          </w:hyperlink>
        </w:p>
        <w:p w14:paraId="658199A4" w14:textId="48DE322E"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75" w:history="1">
            <w:r w:rsidR="00B44ABF" w:rsidRPr="00B44ABF">
              <w:rPr>
                <w:rStyle w:val="Hyperlink"/>
                <w:noProof/>
                <w:szCs w:val="24"/>
              </w:rPr>
              <w:t>1.3.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The proposal/initiative relates to:</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_Toc84517575 \h </w:instrText>
            </w:r>
            <w:r w:rsidR="00B44ABF" w:rsidRPr="00B44ABF">
              <w:rPr>
                <w:noProof/>
                <w:webHidden/>
                <w:szCs w:val="24"/>
              </w:rPr>
            </w:r>
            <w:r w:rsidR="00B44ABF" w:rsidRPr="00B44ABF">
              <w:rPr>
                <w:noProof/>
                <w:webHidden/>
                <w:szCs w:val="24"/>
              </w:rPr>
              <w:fldChar w:fldCharType="separate"/>
            </w:r>
            <w:r w:rsidR="00EF1EB6">
              <w:rPr>
                <w:noProof/>
                <w:webHidden/>
                <w:szCs w:val="24"/>
              </w:rPr>
              <w:t>26</w:t>
            </w:r>
            <w:r w:rsidR="00B44ABF" w:rsidRPr="00B44ABF">
              <w:rPr>
                <w:noProof/>
                <w:webHidden/>
                <w:szCs w:val="24"/>
              </w:rPr>
              <w:fldChar w:fldCharType="end"/>
            </w:r>
          </w:hyperlink>
        </w:p>
        <w:p w14:paraId="37F02017" w14:textId="3033D067"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76" w:history="1">
            <w:r w:rsidR="00B44ABF" w:rsidRPr="00B44ABF">
              <w:rPr>
                <w:rStyle w:val="Hyperlink"/>
                <w:noProof/>
                <w:szCs w:val="24"/>
              </w:rPr>
              <w:t>1.4.</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Objective(s)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_Toc84517576 \h </w:instrText>
            </w:r>
            <w:r w:rsidR="00B44ABF" w:rsidRPr="00B44ABF">
              <w:rPr>
                <w:noProof/>
                <w:webHidden/>
                <w:szCs w:val="24"/>
              </w:rPr>
            </w:r>
            <w:r w:rsidR="00B44ABF" w:rsidRPr="00B44ABF">
              <w:rPr>
                <w:noProof/>
                <w:webHidden/>
                <w:szCs w:val="24"/>
              </w:rPr>
              <w:fldChar w:fldCharType="separate"/>
            </w:r>
            <w:r w:rsidR="00EF1EB6">
              <w:rPr>
                <w:noProof/>
                <w:webHidden/>
                <w:szCs w:val="24"/>
              </w:rPr>
              <w:t>26</w:t>
            </w:r>
            <w:r w:rsidR="00B44ABF" w:rsidRPr="00B44ABF">
              <w:rPr>
                <w:noProof/>
                <w:webHidden/>
                <w:szCs w:val="24"/>
              </w:rPr>
              <w:fldChar w:fldCharType="end"/>
            </w:r>
          </w:hyperlink>
        </w:p>
        <w:p w14:paraId="120BE155" w14:textId="21609888"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77" w:history="1">
            <w:r w:rsidR="00B44ABF" w:rsidRPr="00B44ABF">
              <w:rPr>
                <w:rStyle w:val="Hyperlink"/>
                <w:noProof/>
                <w:szCs w:val="24"/>
              </w:rPr>
              <w:t>1.4.1.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General objective(s)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_Toc84517577 \h </w:instrText>
            </w:r>
            <w:r w:rsidR="00B44ABF" w:rsidRPr="00B44ABF">
              <w:rPr>
                <w:noProof/>
                <w:webHidden/>
                <w:szCs w:val="24"/>
              </w:rPr>
            </w:r>
            <w:r w:rsidR="00B44ABF" w:rsidRPr="00B44ABF">
              <w:rPr>
                <w:noProof/>
                <w:webHidden/>
                <w:szCs w:val="24"/>
              </w:rPr>
              <w:fldChar w:fldCharType="separate"/>
            </w:r>
            <w:r w:rsidR="00EF1EB6">
              <w:rPr>
                <w:noProof/>
                <w:webHidden/>
                <w:szCs w:val="24"/>
              </w:rPr>
              <w:t>26</w:t>
            </w:r>
            <w:r w:rsidR="00B44ABF" w:rsidRPr="00B44ABF">
              <w:rPr>
                <w:noProof/>
                <w:webHidden/>
                <w:szCs w:val="24"/>
              </w:rPr>
              <w:fldChar w:fldCharType="end"/>
            </w:r>
          </w:hyperlink>
        </w:p>
        <w:p w14:paraId="6CD03E96" w14:textId="246DD5D4"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78" w:history="1">
            <w:r w:rsidR="00B44ABF" w:rsidRPr="00B44ABF">
              <w:rPr>
                <w:rStyle w:val="Hyperlink"/>
                <w:noProof/>
                <w:szCs w:val="24"/>
              </w:rPr>
              <w:t>1.4.2.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Specific objective(s)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_Toc84517578 \h </w:instrText>
            </w:r>
            <w:r w:rsidR="00B44ABF" w:rsidRPr="00B44ABF">
              <w:rPr>
                <w:noProof/>
                <w:webHidden/>
                <w:szCs w:val="24"/>
              </w:rPr>
            </w:r>
            <w:r w:rsidR="00B44ABF" w:rsidRPr="00B44ABF">
              <w:rPr>
                <w:noProof/>
                <w:webHidden/>
                <w:szCs w:val="24"/>
              </w:rPr>
              <w:fldChar w:fldCharType="separate"/>
            </w:r>
            <w:r w:rsidR="00EF1EB6">
              <w:rPr>
                <w:noProof/>
                <w:webHidden/>
                <w:szCs w:val="24"/>
              </w:rPr>
              <w:t>27</w:t>
            </w:r>
            <w:r w:rsidR="00B44ABF" w:rsidRPr="00B44ABF">
              <w:rPr>
                <w:noProof/>
                <w:webHidden/>
                <w:szCs w:val="24"/>
              </w:rPr>
              <w:fldChar w:fldCharType="end"/>
            </w:r>
          </w:hyperlink>
        </w:p>
        <w:p w14:paraId="0BFDEFFD" w14:textId="38FBB2F9"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79" w:history="1">
            <w:r w:rsidR="00B44ABF" w:rsidRPr="00B44ABF">
              <w:rPr>
                <w:rStyle w:val="Hyperlink"/>
                <w:noProof/>
                <w:szCs w:val="24"/>
              </w:rPr>
              <w:t>1.4.3.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Expected result(s) and impact</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_Toc84517579 \h </w:instrText>
            </w:r>
            <w:r w:rsidR="00B44ABF" w:rsidRPr="00B44ABF">
              <w:rPr>
                <w:noProof/>
                <w:webHidden/>
                <w:szCs w:val="24"/>
              </w:rPr>
            </w:r>
            <w:r w:rsidR="00B44ABF" w:rsidRPr="00B44ABF">
              <w:rPr>
                <w:noProof/>
                <w:webHidden/>
                <w:szCs w:val="24"/>
              </w:rPr>
              <w:fldChar w:fldCharType="separate"/>
            </w:r>
            <w:r w:rsidR="00EF1EB6">
              <w:rPr>
                <w:noProof/>
                <w:webHidden/>
                <w:szCs w:val="24"/>
              </w:rPr>
              <w:t>28</w:t>
            </w:r>
            <w:r w:rsidR="00B44ABF" w:rsidRPr="00B44ABF">
              <w:rPr>
                <w:noProof/>
                <w:webHidden/>
                <w:szCs w:val="24"/>
              </w:rPr>
              <w:fldChar w:fldCharType="end"/>
            </w:r>
          </w:hyperlink>
        </w:p>
        <w:p w14:paraId="27EC7B2D" w14:textId="7224531D"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80" w:history="1">
            <w:r w:rsidR="00B44ABF" w:rsidRPr="00B44ABF">
              <w:rPr>
                <w:rStyle w:val="Hyperlink"/>
                <w:noProof/>
                <w:szCs w:val="24"/>
              </w:rPr>
              <w:t>1.4.4.</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Indicators of performance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_Toc84517580 \h </w:instrText>
            </w:r>
            <w:r w:rsidR="00B44ABF" w:rsidRPr="00B44ABF">
              <w:rPr>
                <w:noProof/>
                <w:webHidden/>
                <w:szCs w:val="24"/>
              </w:rPr>
            </w:r>
            <w:r w:rsidR="00B44ABF" w:rsidRPr="00B44ABF">
              <w:rPr>
                <w:noProof/>
                <w:webHidden/>
                <w:szCs w:val="24"/>
              </w:rPr>
              <w:fldChar w:fldCharType="separate"/>
            </w:r>
            <w:r w:rsidR="00EF1EB6">
              <w:rPr>
                <w:noProof/>
                <w:webHidden/>
                <w:szCs w:val="24"/>
              </w:rPr>
              <w:t>28</w:t>
            </w:r>
            <w:r w:rsidR="00B44ABF" w:rsidRPr="00B44ABF">
              <w:rPr>
                <w:noProof/>
                <w:webHidden/>
                <w:szCs w:val="24"/>
              </w:rPr>
              <w:fldChar w:fldCharType="end"/>
            </w:r>
          </w:hyperlink>
        </w:p>
        <w:p w14:paraId="363E4504" w14:textId="049FB2E6"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81" w:history="1">
            <w:r w:rsidR="00B44ABF" w:rsidRPr="00B44ABF">
              <w:rPr>
                <w:rStyle w:val="Hyperlink"/>
                <w:noProof/>
                <w:szCs w:val="24"/>
              </w:rPr>
              <w:t>1.5.</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Grounds for the proposal/initiative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_Toc84517581 \h </w:instrText>
            </w:r>
            <w:r w:rsidR="00B44ABF" w:rsidRPr="00B44ABF">
              <w:rPr>
                <w:noProof/>
                <w:webHidden/>
                <w:szCs w:val="24"/>
              </w:rPr>
            </w:r>
            <w:r w:rsidR="00B44ABF" w:rsidRPr="00B44ABF">
              <w:rPr>
                <w:noProof/>
                <w:webHidden/>
                <w:szCs w:val="24"/>
              </w:rPr>
              <w:fldChar w:fldCharType="separate"/>
            </w:r>
            <w:r w:rsidR="00EF1EB6">
              <w:rPr>
                <w:noProof/>
                <w:webHidden/>
                <w:szCs w:val="24"/>
              </w:rPr>
              <w:t>28</w:t>
            </w:r>
            <w:r w:rsidR="00B44ABF" w:rsidRPr="00B44ABF">
              <w:rPr>
                <w:noProof/>
                <w:webHidden/>
                <w:szCs w:val="24"/>
              </w:rPr>
              <w:fldChar w:fldCharType="end"/>
            </w:r>
          </w:hyperlink>
        </w:p>
        <w:p w14:paraId="0DEA71DD" w14:textId="160C7C8C"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82" w:history="1">
            <w:r w:rsidR="00B44ABF" w:rsidRPr="00B44ABF">
              <w:rPr>
                <w:rStyle w:val="Hyperlink"/>
                <w:noProof/>
                <w:szCs w:val="24"/>
              </w:rPr>
              <w:t>1.5.1.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Requirement(s) to be met in the short or long term including a detailed timeline for roll-out of the implementation of the initiative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_Toc84517582 \h </w:instrText>
            </w:r>
            <w:r w:rsidR="00B44ABF" w:rsidRPr="00B44ABF">
              <w:rPr>
                <w:noProof/>
                <w:webHidden/>
                <w:szCs w:val="24"/>
              </w:rPr>
            </w:r>
            <w:r w:rsidR="00B44ABF" w:rsidRPr="00B44ABF">
              <w:rPr>
                <w:noProof/>
                <w:webHidden/>
                <w:szCs w:val="24"/>
              </w:rPr>
              <w:fldChar w:fldCharType="separate"/>
            </w:r>
            <w:r w:rsidR="00EF1EB6">
              <w:rPr>
                <w:noProof/>
                <w:webHidden/>
                <w:szCs w:val="24"/>
              </w:rPr>
              <w:t>28</w:t>
            </w:r>
            <w:r w:rsidR="00B44ABF" w:rsidRPr="00B44ABF">
              <w:rPr>
                <w:noProof/>
                <w:webHidden/>
                <w:szCs w:val="24"/>
              </w:rPr>
              <w:fldChar w:fldCharType="end"/>
            </w:r>
          </w:hyperlink>
        </w:p>
        <w:p w14:paraId="761EE2BB" w14:textId="19BAD2D7"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83" w:history="1">
            <w:r w:rsidR="00B44ABF" w:rsidRPr="00B44ABF">
              <w:rPr>
                <w:rStyle w:val="Hyperlink"/>
                <w:noProof/>
                <w:szCs w:val="24"/>
              </w:rPr>
              <w:t>1.5.2.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_Toc84517583 \h </w:instrText>
            </w:r>
            <w:r w:rsidR="00B44ABF" w:rsidRPr="00B44ABF">
              <w:rPr>
                <w:noProof/>
                <w:webHidden/>
                <w:szCs w:val="24"/>
              </w:rPr>
            </w:r>
            <w:r w:rsidR="00B44ABF" w:rsidRPr="00B44ABF">
              <w:rPr>
                <w:noProof/>
                <w:webHidden/>
                <w:szCs w:val="24"/>
              </w:rPr>
              <w:fldChar w:fldCharType="separate"/>
            </w:r>
            <w:r w:rsidR="00EF1EB6">
              <w:rPr>
                <w:noProof/>
                <w:webHidden/>
                <w:szCs w:val="24"/>
              </w:rPr>
              <w:t>29</w:t>
            </w:r>
            <w:r w:rsidR="00B44ABF" w:rsidRPr="00B44ABF">
              <w:rPr>
                <w:noProof/>
                <w:webHidden/>
                <w:szCs w:val="24"/>
              </w:rPr>
              <w:fldChar w:fldCharType="end"/>
            </w:r>
          </w:hyperlink>
        </w:p>
        <w:p w14:paraId="19ED09A9" w14:textId="0274BA35"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84" w:history="1">
            <w:r w:rsidR="00B44ABF" w:rsidRPr="00B44ABF">
              <w:rPr>
                <w:rStyle w:val="Hyperlink"/>
                <w:noProof/>
                <w:szCs w:val="24"/>
              </w:rPr>
              <w:t>1.5.3.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Lessons learned from similar experiences in the past</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_Toc84517584 \h </w:instrText>
            </w:r>
            <w:r w:rsidR="00B44ABF" w:rsidRPr="00B44ABF">
              <w:rPr>
                <w:noProof/>
                <w:webHidden/>
                <w:szCs w:val="24"/>
              </w:rPr>
            </w:r>
            <w:r w:rsidR="00B44ABF" w:rsidRPr="00B44ABF">
              <w:rPr>
                <w:noProof/>
                <w:webHidden/>
                <w:szCs w:val="24"/>
              </w:rPr>
              <w:fldChar w:fldCharType="separate"/>
            </w:r>
            <w:r w:rsidR="00EF1EB6">
              <w:rPr>
                <w:noProof/>
                <w:webHidden/>
                <w:szCs w:val="24"/>
              </w:rPr>
              <w:t>29</w:t>
            </w:r>
            <w:r w:rsidR="00B44ABF" w:rsidRPr="00B44ABF">
              <w:rPr>
                <w:noProof/>
                <w:webHidden/>
                <w:szCs w:val="24"/>
              </w:rPr>
              <w:fldChar w:fldCharType="end"/>
            </w:r>
          </w:hyperlink>
        </w:p>
        <w:p w14:paraId="35985743" w14:textId="6B05D408"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85" w:history="1">
            <w:r w:rsidR="00B44ABF" w:rsidRPr="00B44ABF">
              <w:rPr>
                <w:rStyle w:val="Hyperlink"/>
                <w:noProof/>
                <w:szCs w:val="24"/>
              </w:rPr>
              <w:t>1.5.4.</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Compatibility with the Multiannual Financial Framework and possible synergies with other appropriate instruments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_Toc84517585 \h </w:instrText>
            </w:r>
            <w:r w:rsidR="00B44ABF" w:rsidRPr="00B44ABF">
              <w:rPr>
                <w:noProof/>
                <w:webHidden/>
                <w:szCs w:val="24"/>
              </w:rPr>
            </w:r>
            <w:r w:rsidR="00B44ABF" w:rsidRPr="00B44ABF">
              <w:rPr>
                <w:noProof/>
                <w:webHidden/>
                <w:szCs w:val="24"/>
              </w:rPr>
              <w:fldChar w:fldCharType="separate"/>
            </w:r>
            <w:r w:rsidR="00EF1EB6">
              <w:rPr>
                <w:noProof/>
                <w:webHidden/>
                <w:szCs w:val="24"/>
              </w:rPr>
              <w:t>30</w:t>
            </w:r>
            <w:r w:rsidR="00B44ABF" w:rsidRPr="00B44ABF">
              <w:rPr>
                <w:noProof/>
                <w:webHidden/>
                <w:szCs w:val="24"/>
              </w:rPr>
              <w:fldChar w:fldCharType="end"/>
            </w:r>
          </w:hyperlink>
        </w:p>
        <w:p w14:paraId="30586807" w14:textId="74EE0787"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86" w:history="1">
            <w:r w:rsidR="00B44ABF" w:rsidRPr="00B44ABF">
              <w:rPr>
                <w:rStyle w:val="Hyperlink"/>
                <w:noProof/>
                <w:szCs w:val="24"/>
              </w:rPr>
              <w:t>1.5.5.</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Assessment of the different available financing options, including scope for redeployment</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_Toc84517586 \h </w:instrText>
            </w:r>
            <w:r w:rsidR="00B44ABF" w:rsidRPr="00B44ABF">
              <w:rPr>
                <w:noProof/>
                <w:webHidden/>
                <w:szCs w:val="24"/>
              </w:rPr>
            </w:r>
            <w:r w:rsidR="00B44ABF" w:rsidRPr="00B44ABF">
              <w:rPr>
                <w:noProof/>
                <w:webHidden/>
                <w:szCs w:val="24"/>
              </w:rPr>
              <w:fldChar w:fldCharType="separate"/>
            </w:r>
            <w:r w:rsidR="00EF1EB6">
              <w:rPr>
                <w:noProof/>
                <w:webHidden/>
                <w:szCs w:val="24"/>
              </w:rPr>
              <w:t>31</w:t>
            </w:r>
            <w:r w:rsidR="00B44ABF" w:rsidRPr="00B44ABF">
              <w:rPr>
                <w:noProof/>
                <w:webHidden/>
                <w:szCs w:val="24"/>
              </w:rPr>
              <w:fldChar w:fldCharType="end"/>
            </w:r>
          </w:hyperlink>
        </w:p>
        <w:p w14:paraId="4A9BA158" w14:textId="6E425DA0"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87" w:history="1">
            <w:r w:rsidR="00B44ABF" w:rsidRPr="00B44ABF">
              <w:rPr>
                <w:rStyle w:val="Hyperlink"/>
                <w:noProof/>
                <w:szCs w:val="24"/>
              </w:rPr>
              <w:t>1.6.</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Duration and financial impact of the proposal/initiative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_Toc84517587 \h </w:instrText>
            </w:r>
            <w:r w:rsidR="00B44ABF" w:rsidRPr="00B44ABF">
              <w:rPr>
                <w:noProof/>
                <w:webHidden/>
                <w:szCs w:val="24"/>
              </w:rPr>
            </w:r>
            <w:r w:rsidR="00B44ABF" w:rsidRPr="00B44ABF">
              <w:rPr>
                <w:noProof/>
                <w:webHidden/>
                <w:szCs w:val="24"/>
              </w:rPr>
              <w:fldChar w:fldCharType="separate"/>
            </w:r>
            <w:r w:rsidR="00EF1EB6">
              <w:rPr>
                <w:noProof/>
                <w:webHidden/>
                <w:szCs w:val="24"/>
              </w:rPr>
              <w:t>32</w:t>
            </w:r>
            <w:r w:rsidR="00B44ABF" w:rsidRPr="00B44ABF">
              <w:rPr>
                <w:noProof/>
                <w:webHidden/>
                <w:szCs w:val="24"/>
              </w:rPr>
              <w:fldChar w:fldCharType="end"/>
            </w:r>
          </w:hyperlink>
        </w:p>
        <w:p w14:paraId="4F898DC7" w14:textId="3F56BCF7"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88" w:history="1">
            <w:r w:rsidR="00B44ABF" w:rsidRPr="00B44ABF">
              <w:rPr>
                <w:rStyle w:val="Hyperlink"/>
                <w:noProof/>
                <w:szCs w:val="24"/>
              </w:rPr>
              <w:t>1.7.</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Management mode(s) planned</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_Toc84517588 \h </w:instrText>
            </w:r>
            <w:r w:rsidR="00B44ABF" w:rsidRPr="00B44ABF">
              <w:rPr>
                <w:noProof/>
                <w:webHidden/>
                <w:szCs w:val="24"/>
              </w:rPr>
            </w:r>
            <w:r w:rsidR="00B44ABF" w:rsidRPr="00B44ABF">
              <w:rPr>
                <w:noProof/>
                <w:webHidden/>
                <w:szCs w:val="24"/>
              </w:rPr>
              <w:fldChar w:fldCharType="separate"/>
            </w:r>
            <w:r w:rsidR="00EF1EB6">
              <w:rPr>
                <w:noProof/>
                <w:webHidden/>
                <w:szCs w:val="24"/>
              </w:rPr>
              <w:t>32</w:t>
            </w:r>
            <w:r w:rsidR="00B44ABF" w:rsidRPr="00B44ABF">
              <w:rPr>
                <w:noProof/>
                <w:webHidden/>
                <w:szCs w:val="24"/>
              </w:rPr>
              <w:fldChar w:fldCharType="end"/>
            </w:r>
          </w:hyperlink>
        </w:p>
        <w:p w14:paraId="6B10D8D7" w14:textId="6E7E253B" w:rsidR="00B44ABF" w:rsidRPr="00B44ABF" w:rsidRDefault="003B21D7" w:rsidP="00B44ABF">
          <w:pPr>
            <w:pStyle w:val="TOC1"/>
            <w:rPr>
              <w:rFonts w:asciiTheme="minorHAnsi" w:eastAsiaTheme="minorEastAsia" w:hAnsiTheme="minorHAnsi" w:cstheme="minorBidi"/>
              <w:noProof/>
              <w:szCs w:val="24"/>
              <w:lang w:val="fr-BE" w:eastAsia="fr-BE"/>
            </w:rPr>
          </w:pPr>
          <w:hyperlink w:anchor="_Toc84517589" w:history="1">
            <w:r w:rsidR="00B44ABF" w:rsidRPr="00B44ABF">
              <w:rPr>
                <w:rStyle w:val="Hyperlink"/>
                <w:noProof/>
                <w:szCs w:val="24"/>
              </w:rPr>
              <w:t>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MANAGEMENT MEASURES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_Toc84517589 \h </w:instrText>
            </w:r>
            <w:r w:rsidR="00B44ABF" w:rsidRPr="00B44ABF">
              <w:rPr>
                <w:noProof/>
                <w:webHidden/>
                <w:szCs w:val="24"/>
              </w:rPr>
            </w:r>
            <w:r w:rsidR="00B44ABF" w:rsidRPr="00B44ABF">
              <w:rPr>
                <w:noProof/>
                <w:webHidden/>
                <w:szCs w:val="24"/>
              </w:rPr>
              <w:fldChar w:fldCharType="separate"/>
            </w:r>
            <w:r w:rsidR="00EF1EB6">
              <w:rPr>
                <w:noProof/>
                <w:webHidden/>
                <w:szCs w:val="24"/>
              </w:rPr>
              <w:t>33</w:t>
            </w:r>
            <w:r w:rsidR="00B44ABF" w:rsidRPr="00B44ABF">
              <w:rPr>
                <w:noProof/>
                <w:webHidden/>
                <w:szCs w:val="24"/>
              </w:rPr>
              <w:fldChar w:fldCharType="end"/>
            </w:r>
          </w:hyperlink>
        </w:p>
        <w:p w14:paraId="005BB03D" w14:textId="6FB59BA5"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90" w:history="1">
            <w:r w:rsidR="00B44ABF" w:rsidRPr="00B44ABF">
              <w:rPr>
                <w:rStyle w:val="Hyperlink"/>
                <w:noProof/>
                <w:szCs w:val="24"/>
              </w:rPr>
              <w:t>2.1.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Monitoring and reporting rules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_Toc84517590 \h </w:instrText>
            </w:r>
            <w:r w:rsidR="00B44ABF" w:rsidRPr="00B44ABF">
              <w:rPr>
                <w:noProof/>
                <w:webHidden/>
                <w:szCs w:val="24"/>
              </w:rPr>
            </w:r>
            <w:r w:rsidR="00B44ABF" w:rsidRPr="00B44ABF">
              <w:rPr>
                <w:noProof/>
                <w:webHidden/>
                <w:szCs w:val="24"/>
              </w:rPr>
              <w:fldChar w:fldCharType="separate"/>
            </w:r>
            <w:r w:rsidR="00EF1EB6">
              <w:rPr>
                <w:noProof/>
                <w:webHidden/>
                <w:szCs w:val="24"/>
              </w:rPr>
              <w:t>33</w:t>
            </w:r>
            <w:r w:rsidR="00B44ABF" w:rsidRPr="00B44ABF">
              <w:rPr>
                <w:noProof/>
                <w:webHidden/>
                <w:szCs w:val="24"/>
              </w:rPr>
              <w:fldChar w:fldCharType="end"/>
            </w:r>
          </w:hyperlink>
        </w:p>
        <w:p w14:paraId="5884B8A6" w14:textId="308BE25F"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91" w:history="1">
            <w:r w:rsidR="00B44ABF" w:rsidRPr="00B44ABF">
              <w:rPr>
                <w:rStyle w:val="Hyperlink"/>
                <w:noProof/>
                <w:szCs w:val="24"/>
              </w:rPr>
              <w:t>2.2.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Management and control system(s)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_Toc84517591 \h </w:instrText>
            </w:r>
            <w:r w:rsidR="00B44ABF" w:rsidRPr="00B44ABF">
              <w:rPr>
                <w:noProof/>
                <w:webHidden/>
                <w:szCs w:val="24"/>
              </w:rPr>
            </w:r>
            <w:r w:rsidR="00B44ABF" w:rsidRPr="00B44ABF">
              <w:rPr>
                <w:noProof/>
                <w:webHidden/>
                <w:szCs w:val="24"/>
              </w:rPr>
              <w:fldChar w:fldCharType="separate"/>
            </w:r>
            <w:r w:rsidR="00EF1EB6">
              <w:rPr>
                <w:noProof/>
                <w:webHidden/>
                <w:szCs w:val="24"/>
              </w:rPr>
              <w:t>33</w:t>
            </w:r>
            <w:r w:rsidR="00B44ABF" w:rsidRPr="00B44ABF">
              <w:rPr>
                <w:noProof/>
                <w:webHidden/>
                <w:szCs w:val="24"/>
              </w:rPr>
              <w:fldChar w:fldCharType="end"/>
            </w:r>
          </w:hyperlink>
        </w:p>
        <w:p w14:paraId="76ACA3C0" w14:textId="15FA8FE0"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92" w:history="1">
            <w:r w:rsidR="00B44ABF" w:rsidRPr="00B44ABF">
              <w:rPr>
                <w:rStyle w:val="Hyperlink"/>
                <w:noProof/>
                <w:szCs w:val="24"/>
              </w:rPr>
              <w:t>2.2.1.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Justification of the management mode(s), the funding implementation mechanism(s), the payment modalities and the control strategy proposed</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_Toc84517592 \h </w:instrText>
            </w:r>
            <w:r w:rsidR="00B44ABF" w:rsidRPr="00B44ABF">
              <w:rPr>
                <w:noProof/>
                <w:webHidden/>
                <w:szCs w:val="24"/>
              </w:rPr>
            </w:r>
            <w:r w:rsidR="00B44ABF" w:rsidRPr="00B44ABF">
              <w:rPr>
                <w:noProof/>
                <w:webHidden/>
                <w:szCs w:val="24"/>
              </w:rPr>
              <w:fldChar w:fldCharType="separate"/>
            </w:r>
            <w:r w:rsidR="00EF1EB6">
              <w:rPr>
                <w:noProof/>
                <w:webHidden/>
                <w:szCs w:val="24"/>
              </w:rPr>
              <w:t>33</w:t>
            </w:r>
            <w:r w:rsidR="00B44ABF" w:rsidRPr="00B44ABF">
              <w:rPr>
                <w:noProof/>
                <w:webHidden/>
                <w:szCs w:val="24"/>
              </w:rPr>
              <w:fldChar w:fldCharType="end"/>
            </w:r>
          </w:hyperlink>
        </w:p>
        <w:p w14:paraId="5812F71B" w14:textId="06FC6C27"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93" w:history="1">
            <w:r w:rsidR="00B44ABF" w:rsidRPr="00B44ABF">
              <w:rPr>
                <w:rStyle w:val="Hyperlink"/>
                <w:noProof/>
                <w:szCs w:val="24"/>
              </w:rPr>
              <w:t>2.2.2.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Information concerning the risks identified and the internal control system(s) set up to mitigate them</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_Toc84517593 \h </w:instrText>
            </w:r>
            <w:r w:rsidR="00B44ABF" w:rsidRPr="00B44ABF">
              <w:rPr>
                <w:noProof/>
                <w:webHidden/>
                <w:szCs w:val="24"/>
              </w:rPr>
            </w:r>
            <w:r w:rsidR="00B44ABF" w:rsidRPr="00B44ABF">
              <w:rPr>
                <w:noProof/>
                <w:webHidden/>
                <w:szCs w:val="24"/>
              </w:rPr>
              <w:fldChar w:fldCharType="separate"/>
            </w:r>
            <w:r w:rsidR="00EF1EB6">
              <w:rPr>
                <w:noProof/>
                <w:webHidden/>
                <w:szCs w:val="24"/>
              </w:rPr>
              <w:t>34</w:t>
            </w:r>
            <w:r w:rsidR="00B44ABF" w:rsidRPr="00B44ABF">
              <w:rPr>
                <w:noProof/>
                <w:webHidden/>
                <w:szCs w:val="24"/>
              </w:rPr>
              <w:fldChar w:fldCharType="end"/>
            </w:r>
          </w:hyperlink>
        </w:p>
        <w:p w14:paraId="6A9EB879" w14:textId="2DC864E1"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94" w:history="1">
            <w:r w:rsidR="00B44ABF" w:rsidRPr="00B44ABF">
              <w:rPr>
                <w:rStyle w:val="Hyperlink"/>
                <w:noProof/>
                <w:szCs w:val="24"/>
              </w:rPr>
              <w:t>2.2.3.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Estimation and justification of the cost-effectiveness of the controls (ratio of "control costs ÷ value of the related funds managed"), and assessment of the expected levels of risk of error (at payment &amp; at closure)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_Toc84517594 \h </w:instrText>
            </w:r>
            <w:r w:rsidR="00B44ABF" w:rsidRPr="00B44ABF">
              <w:rPr>
                <w:noProof/>
                <w:webHidden/>
                <w:szCs w:val="24"/>
              </w:rPr>
            </w:r>
            <w:r w:rsidR="00B44ABF" w:rsidRPr="00B44ABF">
              <w:rPr>
                <w:noProof/>
                <w:webHidden/>
                <w:szCs w:val="24"/>
              </w:rPr>
              <w:fldChar w:fldCharType="separate"/>
            </w:r>
            <w:r w:rsidR="00EF1EB6">
              <w:rPr>
                <w:noProof/>
                <w:webHidden/>
                <w:szCs w:val="24"/>
              </w:rPr>
              <w:t>34</w:t>
            </w:r>
            <w:r w:rsidR="00B44ABF" w:rsidRPr="00B44ABF">
              <w:rPr>
                <w:noProof/>
                <w:webHidden/>
                <w:szCs w:val="24"/>
              </w:rPr>
              <w:fldChar w:fldCharType="end"/>
            </w:r>
          </w:hyperlink>
        </w:p>
        <w:p w14:paraId="6617E8D9" w14:textId="124C3A3C"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95" w:history="1">
            <w:r w:rsidR="00B44ABF" w:rsidRPr="00B44ABF">
              <w:rPr>
                <w:rStyle w:val="Hyperlink"/>
                <w:noProof/>
                <w:szCs w:val="24"/>
              </w:rPr>
              <w:t>2.3.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Measures to prevent fraud and irregularities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_Toc84517595 \h </w:instrText>
            </w:r>
            <w:r w:rsidR="00B44ABF" w:rsidRPr="00B44ABF">
              <w:rPr>
                <w:noProof/>
                <w:webHidden/>
                <w:szCs w:val="24"/>
              </w:rPr>
            </w:r>
            <w:r w:rsidR="00B44ABF" w:rsidRPr="00B44ABF">
              <w:rPr>
                <w:noProof/>
                <w:webHidden/>
                <w:szCs w:val="24"/>
              </w:rPr>
              <w:fldChar w:fldCharType="separate"/>
            </w:r>
            <w:r w:rsidR="00EF1EB6">
              <w:rPr>
                <w:noProof/>
                <w:webHidden/>
                <w:szCs w:val="24"/>
              </w:rPr>
              <w:t>34</w:t>
            </w:r>
            <w:r w:rsidR="00B44ABF" w:rsidRPr="00B44ABF">
              <w:rPr>
                <w:noProof/>
                <w:webHidden/>
                <w:szCs w:val="24"/>
              </w:rPr>
              <w:fldChar w:fldCharType="end"/>
            </w:r>
          </w:hyperlink>
        </w:p>
        <w:p w14:paraId="3E4CC671" w14:textId="2A78FCB9" w:rsidR="00B44ABF" w:rsidRPr="00B44ABF" w:rsidRDefault="003B21D7" w:rsidP="00B44ABF">
          <w:pPr>
            <w:pStyle w:val="TOC1"/>
            <w:rPr>
              <w:rFonts w:asciiTheme="minorHAnsi" w:eastAsiaTheme="minorEastAsia" w:hAnsiTheme="minorHAnsi" w:cstheme="minorBidi"/>
              <w:noProof/>
              <w:szCs w:val="24"/>
              <w:lang w:val="fr-BE" w:eastAsia="fr-BE"/>
            </w:rPr>
          </w:pPr>
          <w:hyperlink w:anchor="_Toc84517596" w:history="1">
            <w:r w:rsidR="00B44ABF" w:rsidRPr="00B44ABF">
              <w:rPr>
                <w:rStyle w:val="Hyperlink"/>
                <w:noProof/>
                <w:szCs w:val="24"/>
              </w:rPr>
              <w:t>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ESTIMATED FINANCIAL IMPACT OF THE PROPOSAL/INITIATIVE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_Toc84517596 \h </w:instrText>
            </w:r>
            <w:r w:rsidR="00B44ABF" w:rsidRPr="00B44ABF">
              <w:rPr>
                <w:noProof/>
                <w:webHidden/>
                <w:szCs w:val="24"/>
              </w:rPr>
            </w:r>
            <w:r w:rsidR="00B44ABF" w:rsidRPr="00B44ABF">
              <w:rPr>
                <w:noProof/>
                <w:webHidden/>
                <w:szCs w:val="24"/>
              </w:rPr>
              <w:fldChar w:fldCharType="separate"/>
            </w:r>
            <w:r w:rsidR="00EF1EB6">
              <w:rPr>
                <w:noProof/>
                <w:webHidden/>
                <w:szCs w:val="24"/>
              </w:rPr>
              <w:t>35</w:t>
            </w:r>
            <w:r w:rsidR="00B44ABF" w:rsidRPr="00B44ABF">
              <w:rPr>
                <w:noProof/>
                <w:webHidden/>
                <w:szCs w:val="24"/>
              </w:rPr>
              <w:fldChar w:fldCharType="end"/>
            </w:r>
          </w:hyperlink>
        </w:p>
        <w:p w14:paraId="2265AF53" w14:textId="4536F78C"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97" w:history="1">
            <w:r w:rsidR="00B44ABF" w:rsidRPr="00B44ABF">
              <w:rPr>
                <w:rStyle w:val="Hyperlink"/>
                <w:noProof/>
                <w:szCs w:val="24"/>
              </w:rPr>
              <w:t>3.1.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Heading(s) of the multiannual financial framework and expenditure budget line(s) affected</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_Toc84517597 \h </w:instrText>
            </w:r>
            <w:r w:rsidR="00B44ABF" w:rsidRPr="00B44ABF">
              <w:rPr>
                <w:noProof/>
                <w:webHidden/>
                <w:szCs w:val="24"/>
              </w:rPr>
            </w:r>
            <w:r w:rsidR="00B44ABF" w:rsidRPr="00B44ABF">
              <w:rPr>
                <w:noProof/>
                <w:webHidden/>
                <w:szCs w:val="24"/>
              </w:rPr>
              <w:fldChar w:fldCharType="separate"/>
            </w:r>
            <w:r w:rsidR="00EF1EB6">
              <w:rPr>
                <w:noProof/>
                <w:webHidden/>
                <w:szCs w:val="24"/>
              </w:rPr>
              <w:t>35</w:t>
            </w:r>
            <w:r w:rsidR="00B44ABF" w:rsidRPr="00B44ABF">
              <w:rPr>
                <w:noProof/>
                <w:webHidden/>
                <w:szCs w:val="24"/>
              </w:rPr>
              <w:fldChar w:fldCharType="end"/>
            </w:r>
          </w:hyperlink>
        </w:p>
        <w:p w14:paraId="3203C790" w14:textId="10346991"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598" w:history="1">
            <w:r w:rsidR="00B44ABF" w:rsidRPr="00B44ABF">
              <w:rPr>
                <w:rStyle w:val="Hyperlink"/>
                <w:noProof/>
                <w:szCs w:val="24"/>
              </w:rPr>
              <w:t>3.2.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Estimated financial impact of the proposal on appropriations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_Toc84517598 \h </w:instrText>
            </w:r>
            <w:r w:rsidR="00B44ABF" w:rsidRPr="00B44ABF">
              <w:rPr>
                <w:noProof/>
                <w:webHidden/>
                <w:szCs w:val="24"/>
              </w:rPr>
            </w:r>
            <w:r w:rsidR="00B44ABF" w:rsidRPr="00B44ABF">
              <w:rPr>
                <w:noProof/>
                <w:webHidden/>
                <w:szCs w:val="24"/>
              </w:rPr>
              <w:fldChar w:fldCharType="separate"/>
            </w:r>
            <w:r w:rsidR="00EF1EB6">
              <w:rPr>
                <w:noProof/>
                <w:webHidden/>
                <w:szCs w:val="24"/>
              </w:rPr>
              <w:t>36</w:t>
            </w:r>
            <w:r w:rsidR="00B44ABF" w:rsidRPr="00B44ABF">
              <w:rPr>
                <w:noProof/>
                <w:webHidden/>
                <w:szCs w:val="24"/>
              </w:rPr>
              <w:fldChar w:fldCharType="end"/>
            </w:r>
          </w:hyperlink>
        </w:p>
        <w:p w14:paraId="560BB2EE" w14:textId="6510C2C0"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599" w:history="1">
            <w:r w:rsidR="00B44ABF" w:rsidRPr="00B44ABF">
              <w:rPr>
                <w:rStyle w:val="Hyperlink"/>
                <w:noProof/>
                <w:szCs w:val="24"/>
              </w:rPr>
              <w:t>3.2.1.</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Summary of estimated impact on operational appropriations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_Toc84517599 \h </w:instrText>
            </w:r>
            <w:r w:rsidR="00B44ABF" w:rsidRPr="00B44ABF">
              <w:rPr>
                <w:noProof/>
                <w:webHidden/>
                <w:szCs w:val="24"/>
              </w:rPr>
            </w:r>
            <w:r w:rsidR="00B44ABF" w:rsidRPr="00B44ABF">
              <w:rPr>
                <w:noProof/>
                <w:webHidden/>
                <w:szCs w:val="24"/>
              </w:rPr>
              <w:fldChar w:fldCharType="separate"/>
            </w:r>
            <w:r w:rsidR="00EF1EB6">
              <w:rPr>
                <w:noProof/>
                <w:webHidden/>
                <w:szCs w:val="24"/>
              </w:rPr>
              <w:t>36</w:t>
            </w:r>
            <w:r w:rsidR="00B44ABF" w:rsidRPr="00B44ABF">
              <w:rPr>
                <w:noProof/>
                <w:webHidden/>
                <w:szCs w:val="24"/>
              </w:rPr>
              <w:fldChar w:fldCharType="end"/>
            </w:r>
          </w:hyperlink>
        </w:p>
        <w:p w14:paraId="19DC4994" w14:textId="23AF0F61"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600" w:history="1">
            <w:r w:rsidR="00B44ABF" w:rsidRPr="00B44ABF">
              <w:rPr>
                <w:rStyle w:val="Hyperlink"/>
                <w:noProof/>
                <w:szCs w:val="24"/>
              </w:rPr>
              <w:t>3.2.2.</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Estimated output funded with operational appropriations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_Toc84517600 \h </w:instrText>
            </w:r>
            <w:r w:rsidR="00B44ABF" w:rsidRPr="00B44ABF">
              <w:rPr>
                <w:noProof/>
                <w:webHidden/>
                <w:szCs w:val="24"/>
              </w:rPr>
            </w:r>
            <w:r w:rsidR="00B44ABF" w:rsidRPr="00B44ABF">
              <w:rPr>
                <w:noProof/>
                <w:webHidden/>
                <w:szCs w:val="24"/>
              </w:rPr>
              <w:fldChar w:fldCharType="separate"/>
            </w:r>
            <w:r w:rsidR="00EF1EB6">
              <w:rPr>
                <w:noProof/>
                <w:webHidden/>
                <w:szCs w:val="24"/>
              </w:rPr>
              <w:t>38</w:t>
            </w:r>
            <w:r w:rsidR="00B44ABF" w:rsidRPr="00B44ABF">
              <w:rPr>
                <w:noProof/>
                <w:webHidden/>
                <w:szCs w:val="24"/>
              </w:rPr>
              <w:fldChar w:fldCharType="end"/>
            </w:r>
          </w:hyperlink>
        </w:p>
        <w:p w14:paraId="32FF6292" w14:textId="0C43BD4C"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601" w:history="1">
            <w:r w:rsidR="00B44ABF" w:rsidRPr="00B44ABF">
              <w:rPr>
                <w:rStyle w:val="Hyperlink"/>
                <w:noProof/>
                <w:szCs w:val="24"/>
              </w:rPr>
              <w:t>3.2.3.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Summary of estimated impact on administrative appropriations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_Toc84517601 \h </w:instrText>
            </w:r>
            <w:r w:rsidR="00B44ABF" w:rsidRPr="00B44ABF">
              <w:rPr>
                <w:noProof/>
                <w:webHidden/>
                <w:szCs w:val="24"/>
              </w:rPr>
            </w:r>
            <w:r w:rsidR="00B44ABF" w:rsidRPr="00B44ABF">
              <w:rPr>
                <w:noProof/>
                <w:webHidden/>
                <w:szCs w:val="24"/>
              </w:rPr>
              <w:fldChar w:fldCharType="separate"/>
            </w:r>
            <w:r w:rsidR="00EF1EB6">
              <w:rPr>
                <w:noProof/>
                <w:webHidden/>
                <w:szCs w:val="24"/>
              </w:rPr>
              <w:t>40</w:t>
            </w:r>
            <w:r w:rsidR="00B44ABF" w:rsidRPr="00B44ABF">
              <w:rPr>
                <w:noProof/>
                <w:webHidden/>
                <w:szCs w:val="24"/>
              </w:rPr>
              <w:fldChar w:fldCharType="end"/>
            </w:r>
          </w:hyperlink>
        </w:p>
        <w:p w14:paraId="0A755089" w14:textId="433CCD88"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602" w:history="1">
            <w:r w:rsidR="00B44ABF" w:rsidRPr="00B44ABF">
              <w:rPr>
                <w:rStyle w:val="Hyperlink"/>
                <w:noProof/>
                <w:szCs w:val="24"/>
              </w:rPr>
              <w:t>3.2.4.</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Compatibility with the current multiannual financial framework</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_Toc84517602 \h </w:instrText>
            </w:r>
            <w:r w:rsidR="00B44ABF" w:rsidRPr="00B44ABF">
              <w:rPr>
                <w:noProof/>
                <w:webHidden/>
                <w:szCs w:val="24"/>
              </w:rPr>
            </w:r>
            <w:r w:rsidR="00B44ABF" w:rsidRPr="00B44ABF">
              <w:rPr>
                <w:noProof/>
                <w:webHidden/>
                <w:szCs w:val="24"/>
              </w:rPr>
              <w:fldChar w:fldCharType="separate"/>
            </w:r>
            <w:r w:rsidR="00EF1EB6">
              <w:rPr>
                <w:noProof/>
                <w:webHidden/>
                <w:szCs w:val="24"/>
              </w:rPr>
              <w:t>46</w:t>
            </w:r>
            <w:r w:rsidR="00B44ABF" w:rsidRPr="00B44ABF">
              <w:rPr>
                <w:noProof/>
                <w:webHidden/>
                <w:szCs w:val="24"/>
              </w:rPr>
              <w:fldChar w:fldCharType="end"/>
            </w:r>
          </w:hyperlink>
        </w:p>
        <w:p w14:paraId="519F54E9" w14:textId="05308212" w:rsidR="00B44ABF" w:rsidRPr="00B44ABF" w:rsidRDefault="003B21D7" w:rsidP="00B44ABF">
          <w:pPr>
            <w:pStyle w:val="TOC3"/>
            <w:rPr>
              <w:rFonts w:asciiTheme="minorHAnsi" w:eastAsiaTheme="minorEastAsia" w:hAnsiTheme="minorHAnsi" w:cstheme="minorBidi"/>
              <w:noProof/>
              <w:szCs w:val="24"/>
              <w:lang w:val="fr-BE" w:eastAsia="fr-BE"/>
            </w:rPr>
          </w:pPr>
          <w:hyperlink w:anchor="_Toc84517603" w:history="1">
            <w:r w:rsidR="00B44ABF" w:rsidRPr="00B44ABF">
              <w:rPr>
                <w:rStyle w:val="Hyperlink"/>
                <w:noProof/>
                <w:szCs w:val="24"/>
              </w:rPr>
              <w:t>3.2.5.</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Third-party contributions</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_Toc84517603 \h </w:instrText>
            </w:r>
            <w:r w:rsidR="00B44ABF" w:rsidRPr="00B44ABF">
              <w:rPr>
                <w:noProof/>
                <w:webHidden/>
                <w:szCs w:val="24"/>
              </w:rPr>
            </w:r>
            <w:r w:rsidR="00B44ABF" w:rsidRPr="00B44ABF">
              <w:rPr>
                <w:noProof/>
                <w:webHidden/>
                <w:szCs w:val="24"/>
              </w:rPr>
              <w:fldChar w:fldCharType="separate"/>
            </w:r>
            <w:r w:rsidR="00EF1EB6">
              <w:rPr>
                <w:noProof/>
                <w:webHidden/>
                <w:szCs w:val="24"/>
              </w:rPr>
              <w:t>46</w:t>
            </w:r>
            <w:r w:rsidR="00B44ABF" w:rsidRPr="00B44ABF">
              <w:rPr>
                <w:noProof/>
                <w:webHidden/>
                <w:szCs w:val="24"/>
              </w:rPr>
              <w:fldChar w:fldCharType="end"/>
            </w:r>
          </w:hyperlink>
        </w:p>
        <w:p w14:paraId="688950E0" w14:textId="788C6669" w:rsidR="00B44ABF" w:rsidRPr="00B44ABF" w:rsidRDefault="003B21D7" w:rsidP="00B44ABF">
          <w:pPr>
            <w:pStyle w:val="TOC2"/>
            <w:rPr>
              <w:rFonts w:asciiTheme="minorHAnsi" w:eastAsiaTheme="minorEastAsia" w:hAnsiTheme="minorHAnsi" w:cstheme="minorBidi"/>
              <w:noProof/>
              <w:szCs w:val="24"/>
              <w:lang w:val="fr-BE" w:eastAsia="fr-BE"/>
            </w:rPr>
          </w:pPr>
          <w:hyperlink w:anchor="_Toc84517604" w:history="1">
            <w:r w:rsidR="00B44ABF" w:rsidRPr="00B44ABF">
              <w:rPr>
                <w:rStyle w:val="Hyperlink"/>
                <w:noProof/>
                <w:szCs w:val="24"/>
              </w:rPr>
              <w:t>3.3.</w:t>
            </w:r>
            <w:r w:rsidR="00B44ABF" w:rsidRPr="00B44ABF">
              <w:rPr>
                <w:rFonts w:asciiTheme="minorHAnsi" w:eastAsiaTheme="minorEastAsia" w:hAnsiTheme="minorHAnsi" w:cstheme="minorBidi"/>
                <w:noProof/>
                <w:szCs w:val="24"/>
                <w:lang w:val="fr-BE" w:eastAsia="fr-BE"/>
              </w:rPr>
              <w:tab/>
            </w:r>
            <w:r w:rsidR="00B44ABF" w:rsidRPr="00B44ABF">
              <w:rPr>
                <w:rStyle w:val="Hyperlink"/>
                <w:noProof/>
                <w:szCs w:val="24"/>
              </w:rPr>
              <w:t>Estimated impact on revenue</w:t>
            </w:r>
            <w:r w:rsidR="00B44ABF" w:rsidRPr="00B44ABF">
              <w:rPr>
                <w:noProof/>
                <w:webHidden/>
                <w:szCs w:val="24"/>
              </w:rPr>
              <w:tab/>
            </w:r>
            <w:r w:rsidR="00B44ABF" w:rsidRPr="00B44ABF">
              <w:rPr>
                <w:noProof/>
                <w:webHidden/>
                <w:szCs w:val="24"/>
              </w:rPr>
              <w:fldChar w:fldCharType="begin"/>
            </w:r>
            <w:r w:rsidR="00B44ABF" w:rsidRPr="00B44ABF">
              <w:rPr>
                <w:noProof/>
                <w:webHidden/>
                <w:szCs w:val="24"/>
              </w:rPr>
              <w:instrText xml:space="preserve"> PAGEREF _Toc84517604 \h </w:instrText>
            </w:r>
            <w:r w:rsidR="00B44ABF" w:rsidRPr="00B44ABF">
              <w:rPr>
                <w:noProof/>
                <w:webHidden/>
                <w:szCs w:val="24"/>
              </w:rPr>
            </w:r>
            <w:r w:rsidR="00B44ABF" w:rsidRPr="00B44ABF">
              <w:rPr>
                <w:noProof/>
                <w:webHidden/>
                <w:szCs w:val="24"/>
              </w:rPr>
              <w:fldChar w:fldCharType="separate"/>
            </w:r>
            <w:r w:rsidR="00EF1EB6">
              <w:rPr>
                <w:noProof/>
                <w:webHidden/>
                <w:szCs w:val="24"/>
              </w:rPr>
              <w:t>47</w:t>
            </w:r>
            <w:r w:rsidR="00B44ABF" w:rsidRPr="00B44ABF">
              <w:rPr>
                <w:noProof/>
                <w:webHidden/>
                <w:szCs w:val="24"/>
              </w:rPr>
              <w:fldChar w:fldCharType="end"/>
            </w:r>
          </w:hyperlink>
        </w:p>
        <w:p w14:paraId="76F0803B" w14:textId="77777777" w:rsidR="00B44ABF" w:rsidRDefault="00B44ABF" w:rsidP="00B44ABF">
          <w:pPr>
            <w:jc w:val="left"/>
            <w:rPr>
              <w:noProof/>
            </w:rPr>
          </w:pPr>
          <w:r w:rsidRPr="00B44ABF">
            <w:rPr>
              <w:bCs/>
              <w:noProof/>
              <w:szCs w:val="24"/>
            </w:rPr>
            <w:fldChar w:fldCharType="end"/>
          </w:r>
        </w:p>
      </w:sdtContent>
    </w:sdt>
    <w:p w14:paraId="037455FE" w14:textId="77777777" w:rsidR="00B44ABF" w:rsidRDefault="00B44ABF" w:rsidP="00B44ABF">
      <w:pPr>
        <w:rPr>
          <w:noProof/>
        </w:rPr>
      </w:pPr>
    </w:p>
    <w:p w14:paraId="21139CCF" w14:textId="77777777" w:rsidR="00B44ABF" w:rsidRDefault="00B44ABF" w:rsidP="00B44ABF">
      <w:pPr>
        <w:rPr>
          <w:noProof/>
        </w:rPr>
      </w:pPr>
    </w:p>
    <w:p w14:paraId="08737922" w14:textId="77777777" w:rsidR="00B44ABF" w:rsidRDefault="00B44ABF" w:rsidP="00B44ABF">
      <w:pPr>
        <w:rPr>
          <w:noProof/>
        </w:rPr>
      </w:pPr>
    </w:p>
    <w:p w14:paraId="50FACF36" w14:textId="77777777" w:rsidR="00B44ABF" w:rsidRDefault="00B44ABF">
      <w:pPr>
        <w:spacing w:before="0" w:after="200" w:line="276" w:lineRule="auto"/>
        <w:jc w:val="left"/>
        <w:rPr>
          <w:noProof/>
        </w:rPr>
      </w:pPr>
      <w:r>
        <w:rPr>
          <w:noProof/>
        </w:rPr>
        <w:br w:type="page"/>
      </w:r>
    </w:p>
    <w:p w14:paraId="40EC3DDB" w14:textId="77777777" w:rsidR="00B44ABF" w:rsidRPr="00183AD0" w:rsidRDefault="00B44ABF" w:rsidP="00B44ABF">
      <w:pPr>
        <w:rPr>
          <w:noProof/>
        </w:rPr>
      </w:pPr>
    </w:p>
    <w:p w14:paraId="420DE256" w14:textId="54C2E3D0" w:rsidR="00436363" w:rsidRDefault="00306677" w:rsidP="00306677">
      <w:pPr>
        <w:pStyle w:val="ManualHeading1"/>
        <w:rPr>
          <w:noProof/>
        </w:rPr>
      </w:pPr>
      <w:bookmarkStart w:id="34" w:name="_Toc514938007"/>
      <w:bookmarkStart w:id="35" w:name="_Toc520485025"/>
      <w:bookmarkStart w:id="36" w:name="_Toc84517572"/>
      <w:r w:rsidRPr="00306677">
        <w:t>1.</w:t>
      </w:r>
      <w:r w:rsidRPr="00306677">
        <w:tab/>
      </w:r>
      <w:r w:rsidR="00436363">
        <w:rPr>
          <w:noProof/>
        </w:rPr>
        <w:t>FRAMEWORK OF THE PROPOSAL/INITIATIVE</w:t>
      </w:r>
      <w:bookmarkEnd w:id="34"/>
      <w:bookmarkEnd w:id="35"/>
      <w:bookmarkEnd w:id="36"/>
      <w:r w:rsidR="00436363">
        <w:rPr>
          <w:noProof/>
        </w:rPr>
        <w:t xml:space="preserve"> </w:t>
      </w:r>
    </w:p>
    <w:p w14:paraId="29B0C6AC" w14:textId="134B8F3D" w:rsidR="00436363" w:rsidRDefault="00306677" w:rsidP="00306677">
      <w:pPr>
        <w:pStyle w:val="ManualHeading2"/>
        <w:rPr>
          <w:noProof/>
        </w:rPr>
      </w:pPr>
      <w:bookmarkStart w:id="37" w:name="_Toc514938008"/>
      <w:bookmarkStart w:id="38" w:name="_Toc520485026"/>
      <w:bookmarkStart w:id="39" w:name="_Toc84517573"/>
      <w:r w:rsidRPr="00306677">
        <w:t>1.1.</w:t>
      </w:r>
      <w:r w:rsidRPr="00306677">
        <w:tab/>
      </w:r>
      <w:r w:rsidR="00436363">
        <w:rPr>
          <w:noProof/>
        </w:rPr>
        <w:t>Title of the proposal/initiative</w:t>
      </w:r>
      <w:bookmarkEnd w:id="37"/>
      <w:bookmarkEnd w:id="38"/>
      <w:bookmarkEnd w:id="39"/>
    </w:p>
    <w:p w14:paraId="7DC28E9F" w14:textId="097E271A"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40" w:name="_Toc514938011"/>
      <w:bookmarkStart w:id="41" w:name="_Toc520485027"/>
      <w:r>
        <w:rPr>
          <w:noProof/>
          <w:color w:val="0000FF"/>
        </w:rPr>
        <w:t xml:space="preserve">Proposal for a Regulation of the European Parliament and the Council amending Regulation (EU) 2017/1727 and </w:t>
      </w:r>
      <w:r w:rsidR="002710AC">
        <w:rPr>
          <w:noProof/>
          <w:color w:val="0000FF"/>
        </w:rPr>
        <w:t xml:space="preserve">Council </w:t>
      </w:r>
      <w:r>
        <w:rPr>
          <w:noProof/>
          <w:color w:val="0000FF"/>
        </w:rPr>
        <w:t>Decision 2005/671/JHA</w:t>
      </w:r>
      <w:r w:rsidR="002710AC">
        <w:rPr>
          <w:noProof/>
          <w:color w:val="0000FF"/>
        </w:rPr>
        <w:t>, as regards the digital information exchange in terrorism cases</w:t>
      </w:r>
      <w:r>
        <w:rPr>
          <w:noProof/>
          <w:color w:val="0000FF"/>
        </w:rPr>
        <w:t xml:space="preserve"> </w:t>
      </w:r>
    </w:p>
    <w:p w14:paraId="2BE6574F" w14:textId="03489A13" w:rsidR="00436363" w:rsidRDefault="00306677" w:rsidP="00306677">
      <w:pPr>
        <w:pStyle w:val="ManualHeading2"/>
        <w:rPr>
          <w:i/>
          <w:noProof/>
        </w:rPr>
      </w:pPr>
      <w:bookmarkStart w:id="42" w:name="_Toc84517574"/>
      <w:r w:rsidRPr="00306677">
        <w:t>1.2.</w:t>
      </w:r>
      <w:r w:rsidRPr="00306677">
        <w:tab/>
      </w:r>
      <w:r w:rsidR="00436363">
        <w:rPr>
          <w:noProof/>
        </w:rPr>
        <w:t>Policy area(s) concerned</w:t>
      </w:r>
      <w:bookmarkEnd w:id="40"/>
      <w:bookmarkEnd w:id="41"/>
      <w:bookmarkEnd w:id="42"/>
      <w:r w:rsidR="00436363">
        <w:rPr>
          <w:i/>
          <w:noProof/>
        </w:rPr>
        <w:t xml:space="preserve"> </w:t>
      </w:r>
    </w:p>
    <w:p w14:paraId="3EB03AC1"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43" w:name="_Toc514938014"/>
      <w:bookmarkStart w:id="44" w:name="_Toc520485028"/>
      <w:r>
        <w:rPr>
          <w:noProof/>
          <w:color w:val="0000FF"/>
        </w:rPr>
        <w:t>Policy area: Justice and fundamental rights</w:t>
      </w:r>
    </w:p>
    <w:p w14:paraId="09CADBC7"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Activity: Investing in people, social cohesion and values  </w:t>
      </w:r>
    </w:p>
    <w:p w14:paraId="465E16B7"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071007: European Union Agency for Criminal Justice Cooperation (Eurojust)</w:t>
      </w:r>
    </w:p>
    <w:p w14:paraId="229A57E1" w14:textId="4BB53F42" w:rsidR="00436363" w:rsidRDefault="00306677" w:rsidP="00306677">
      <w:pPr>
        <w:pStyle w:val="ManualHeading2"/>
        <w:rPr>
          <w:bCs/>
          <w:noProof/>
          <w:szCs w:val="24"/>
        </w:rPr>
      </w:pPr>
      <w:bookmarkStart w:id="45" w:name="_Toc84517575"/>
      <w:r w:rsidRPr="00306677">
        <w:t>1.3.</w:t>
      </w:r>
      <w:r w:rsidRPr="00306677">
        <w:tab/>
      </w:r>
      <w:r w:rsidR="00436363">
        <w:rPr>
          <w:noProof/>
        </w:rPr>
        <w:t>The proposal/initiative relates to:</w:t>
      </w:r>
      <w:bookmarkEnd w:id="43"/>
      <w:bookmarkEnd w:id="44"/>
      <w:bookmarkEnd w:id="45"/>
      <w:r w:rsidR="00436363">
        <w:rPr>
          <w:noProof/>
        </w:rPr>
        <w:t xml:space="preserve"> </w:t>
      </w:r>
    </w:p>
    <w:p w14:paraId="162A0DB6" w14:textId="77777777" w:rsidR="00436363" w:rsidRDefault="00436363" w:rsidP="00ED2926">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14:paraId="665CB0B8" w14:textId="77777777" w:rsidR="00436363" w:rsidRDefault="00436363" w:rsidP="00ED2926">
      <w:pPr>
        <w:pStyle w:val="Text1"/>
        <w:rPr>
          <w:noProof/>
          <w:sz w:val="22"/>
        </w:rPr>
      </w:pPr>
      <w:r>
        <w:rPr>
          <w:noProof/>
          <w:sz w:val="22"/>
        </w:rPr>
        <w:sym w:font="Wingdings" w:char="F0A8"/>
      </w:r>
      <w:r w:rsidRPr="160710AA">
        <w:rPr>
          <w:i/>
          <w:iCs/>
          <w:noProof/>
          <w:sz w:val="22"/>
        </w:rPr>
        <w:t xml:space="preserve"> </w:t>
      </w:r>
      <w:r w:rsidRPr="00805B56">
        <w:rPr>
          <w:b/>
          <w:bCs/>
          <w:noProof/>
        </w:rPr>
        <w:t xml:space="preserve">a new action following a pilot </w:t>
      </w:r>
      <w:r w:rsidRPr="006D3B69">
        <w:rPr>
          <w:b/>
          <w:bCs/>
          <w:noProof/>
        </w:rPr>
        <w:t>project/preparatory action</w:t>
      </w:r>
      <w:r w:rsidRPr="00805B56">
        <w:rPr>
          <w:rStyle w:val="FootnoteReference"/>
          <w:b/>
          <w:bCs/>
          <w:noProof/>
        </w:rPr>
        <w:footnoteReference w:id="44"/>
      </w:r>
      <w:r w:rsidRPr="160710AA">
        <w:rPr>
          <w:noProof/>
          <w:sz w:val="22"/>
        </w:rPr>
        <w:t xml:space="preserve"> </w:t>
      </w:r>
    </w:p>
    <w:p w14:paraId="0CF46621" w14:textId="77777777" w:rsidR="00436363" w:rsidRDefault="00436363" w:rsidP="00ED2926">
      <w:pPr>
        <w:pStyle w:val="Text1"/>
        <w:rPr>
          <w:noProof/>
          <w:sz w:val="22"/>
        </w:rPr>
      </w:pPr>
      <w:r>
        <w:rPr>
          <w:noProof/>
        </w:rPr>
        <w:sym w:font="Wingdings" w:char="F0FE"/>
      </w:r>
      <w:r>
        <w:rPr>
          <w:i/>
          <w:noProof/>
          <w:sz w:val="22"/>
        </w:rPr>
        <w:t xml:space="preserve"> </w:t>
      </w:r>
      <w:r>
        <w:rPr>
          <w:b/>
          <w:noProof/>
        </w:rPr>
        <w:t>the extension of an existing action</w:t>
      </w:r>
      <w:r>
        <w:rPr>
          <w:noProof/>
          <w:sz w:val="22"/>
        </w:rPr>
        <w:t xml:space="preserve"> </w:t>
      </w:r>
    </w:p>
    <w:p w14:paraId="16FEA6F4" w14:textId="77777777" w:rsidR="00436363" w:rsidRDefault="00436363" w:rsidP="00ED2926">
      <w:pPr>
        <w:pStyle w:val="Text1"/>
        <w:rPr>
          <w:noProof/>
        </w:rPr>
      </w:pPr>
      <w:r>
        <w:rPr>
          <w:noProof/>
          <w:sz w:val="22"/>
        </w:rPr>
        <w:sym w:font="Wingdings" w:char="F0A8"/>
      </w:r>
      <w:r>
        <w:rPr>
          <w:i/>
          <w:noProof/>
          <w:sz w:val="22"/>
        </w:rPr>
        <w:t xml:space="preserve"> </w:t>
      </w:r>
      <w:r w:rsidRPr="0085149D">
        <w:rPr>
          <w:b/>
          <w:noProof/>
        </w:rPr>
        <w:t xml:space="preserve">a merger or redirection of </w:t>
      </w:r>
      <w:r w:rsidRPr="00A952FE">
        <w:rPr>
          <w:b/>
          <w:noProof/>
        </w:rPr>
        <w:t>one or more actions towards another/a new action</w:t>
      </w:r>
      <w:r>
        <w:rPr>
          <w:noProof/>
        </w:rPr>
        <w:t xml:space="preserve"> </w:t>
      </w:r>
    </w:p>
    <w:p w14:paraId="4257A380" w14:textId="60DE5023" w:rsidR="00436363" w:rsidRDefault="00306677" w:rsidP="00306677">
      <w:pPr>
        <w:pStyle w:val="ManualHeading2"/>
        <w:rPr>
          <w:bCs/>
          <w:noProof/>
          <w:szCs w:val="24"/>
        </w:rPr>
      </w:pPr>
      <w:bookmarkStart w:id="46" w:name="_Toc514938015"/>
      <w:bookmarkStart w:id="47" w:name="_Toc520485029"/>
      <w:bookmarkStart w:id="48" w:name="_Toc84517576"/>
      <w:r w:rsidRPr="00306677">
        <w:t>1.4.</w:t>
      </w:r>
      <w:r w:rsidRPr="00306677">
        <w:tab/>
      </w:r>
      <w:r w:rsidR="00436363">
        <w:rPr>
          <w:noProof/>
        </w:rPr>
        <w:t>Objective(s)</w:t>
      </w:r>
      <w:bookmarkEnd w:id="46"/>
      <w:bookmarkEnd w:id="47"/>
      <w:bookmarkEnd w:id="48"/>
    </w:p>
    <w:p w14:paraId="37283C91" w14:textId="58E19357" w:rsidR="00436363" w:rsidRPr="009B753E" w:rsidRDefault="00306677" w:rsidP="00306677">
      <w:pPr>
        <w:pStyle w:val="ManualHeading3"/>
        <w:rPr>
          <w:noProof/>
        </w:rPr>
      </w:pPr>
      <w:bookmarkStart w:id="49" w:name="_Toc514938016"/>
      <w:bookmarkStart w:id="50" w:name="_Toc520485030"/>
      <w:bookmarkStart w:id="51" w:name="_Toc84517577"/>
      <w:r w:rsidRPr="00306677">
        <w:t>1.4.1.</w:t>
      </w:r>
      <w:r w:rsidRPr="00306677">
        <w:tab/>
      </w:r>
      <w:r w:rsidR="00436363" w:rsidRPr="00D52751">
        <w:rPr>
          <w:noProof/>
        </w:rPr>
        <w:t>General objective</w:t>
      </w:r>
      <w:r w:rsidR="00436363">
        <w:rPr>
          <w:noProof/>
        </w:rPr>
        <w:t>(s)</w:t>
      </w:r>
      <w:bookmarkEnd w:id="49"/>
      <w:bookmarkEnd w:id="50"/>
      <w:bookmarkEnd w:id="51"/>
    </w:p>
    <w:p w14:paraId="1DA86311" w14:textId="77777777" w:rsidR="00436363"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bookmarkStart w:id="52" w:name="_Toc514938018"/>
      <w:bookmarkStart w:id="53" w:name="_Toc520485031"/>
      <w:r>
        <w:rPr>
          <w:noProof/>
        </w:rPr>
        <w:t xml:space="preserve">Eurojust has been established as an intergovernemental body to coordinate investigations of serious cross-border crime in Europe and beyond by Council Decision 2002/187/JHA. The Treaty of Lisbon has abolished the pillar structure of the European Union and aligned the are of Freedom, Security and Justice with the </w:t>
      </w:r>
      <w:r>
        <w:rPr>
          <w:i/>
          <w:noProof/>
        </w:rPr>
        <w:t>acquis communautaire</w:t>
      </w:r>
      <w:r>
        <w:rPr>
          <w:noProof/>
        </w:rPr>
        <w:t>. With Regulation (EU) 2017/1727 a new legal framework for a new European Union Agency for Criminal Justice Cooperation (Eurojust) has been established, as required under Article 85 TFEU.</w:t>
      </w:r>
    </w:p>
    <w:p w14:paraId="5FED353A" w14:textId="07D8FC3E" w:rsidR="00436363"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Pr>
          <w:noProof/>
        </w:rPr>
        <w:t>Combating terrorism has been in Eurojust’s mandate since its set-up in 2002. One of the key elements of Eurojust’s work in this field has been the creation of the European Judicial Counter-Terrorism Register (CTR) in September 2019. Legal basis for the CTR is Council Decision 2005/671/JHA. As the Eurojust Regulation was conceived and agreed before the establishment of the CTR, the CTR and its functions were not foreseen in the Eurojust Regulation. In addition, the technically outdated Eurojust Case Management System</w:t>
      </w:r>
      <w:r w:rsidR="002710AC">
        <w:rPr>
          <w:noProof/>
        </w:rPr>
        <w:t xml:space="preserve"> (CMS)</w:t>
      </w:r>
      <w:r>
        <w:rPr>
          <w:noProof/>
        </w:rPr>
        <w:t xml:space="preserve"> is not able to integrate and support a proactive tool such as the CTR.</w:t>
      </w:r>
    </w:p>
    <w:p w14:paraId="2A1FD8CC" w14:textId="77777777" w:rsidR="00436363"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Pr>
          <w:noProof/>
        </w:rPr>
        <w:t xml:space="preserve">In response to this pressing operational needs the Commission Work Programme for 2020 announced a legislative initiative on digital information exchange on cross-border terrorism cases as part of the digital judicial cooperatin package. </w:t>
      </w:r>
    </w:p>
    <w:p w14:paraId="22CCE513" w14:textId="77777777" w:rsidR="00436363"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Pr>
          <w:noProof/>
        </w:rPr>
        <w:t>The general objective is to enable Eurojust to fulfil its stronger, more pro-active role in supporting the Member States in their investigations, especially in cases of terrorism, in accordance with Eurojust’s mission to support and strengthen coordination and cooperation between national investigating and prosecuting authorities in relation to serious crime.</w:t>
      </w:r>
    </w:p>
    <w:p w14:paraId="297CD103" w14:textId="43882433" w:rsidR="00436363" w:rsidRDefault="00306677" w:rsidP="00306677">
      <w:pPr>
        <w:pStyle w:val="ManualHeading3"/>
        <w:rPr>
          <w:bCs/>
          <w:noProof/>
          <w:szCs w:val="24"/>
        </w:rPr>
      </w:pPr>
      <w:bookmarkStart w:id="54" w:name="_Toc84517578"/>
      <w:r w:rsidRPr="00306677">
        <w:t>1.4.2.</w:t>
      </w:r>
      <w:r w:rsidRPr="00306677">
        <w:tab/>
      </w:r>
      <w:r w:rsidR="00436363" w:rsidRPr="00AD0C21">
        <w:rPr>
          <w:noProof/>
        </w:rPr>
        <w:t>Specific objective(s)</w:t>
      </w:r>
      <w:bookmarkEnd w:id="52"/>
      <w:bookmarkEnd w:id="53"/>
      <w:bookmarkEnd w:id="54"/>
    </w:p>
    <w:p w14:paraId="346B2207"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55" w:name="_Toc514938019"/>
      <w:bookmarkStart w:id="56" w:name="_Toc520485032"/>
      <w:r>
        <w:rPr>
          <w:noProof/>
          <w:color w:val="0000FF"/>
        </w:rPr>
        <w:t>The specific objectives derive from the general objective as outlined above:</w:t>
      </w:r>
    </w:p>
    <w:p w14:paraId="0D053A64"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u w:val="single"/>
        </w:rPr>
      </w:pPr>
      <w:r>
        <w:rPr>
          <w:noProof/>
          <w:color w:val="0000FF"/>
          <w:u w:val="single"/>
        </w:rPr>
        <w:t>Specific objective No. 1:</w:t>
      </w:r>
    </w:p>
    <w:p w14:paraId="1C9DCB9F"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To enable Eurojust to identify links more efficiently and to proactively provide feedback to the Member States. </w:t>
      </w:r>
    </w:p>
    <w:p w14:paraId="6C995C90"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u w:val="single"/>
        </w:rPr>
      </w:pPr>
      <w:r>
        <w:rPr>
          <w:noProof/>
          <w:color w:val="0000FF"/>
          <w:u w:val="single"/>
        </w:rPr>
        <w:t>Specifiv objective No. 2:</w:t>
      </w:r>
    </w:p>
    <w:p w14:paraId="5280FD4B" w14:textId="77777777" w:rsidR="00436363"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To render the data exchange between Member States, Eurojust and 3rd countries more efficient and secure.</w:t>
      </w:r>
    </w:p>
    <w:p w14:paraId="3981FF30" w14:textId="77777777" w:rsidR="00500A6A" w:rsidRPr="00500A6A" w:rsidRDefault="00500A6A" w:rsidP="00500A6A">
      <w:pPr>
        <w:spacing w:before="0" w:after="200" w:line="276" w:lineRule="auto"/>
        <w:jc w:val="left"/>
        <w:rPr>
          <w:rFonts w:eastAsiaTheme="majorEastAsia"/>
          <w:bCs/>
          <w:i/>
          <w:noProof/>
        </w:rPr>
      </w:pPr>
      <w:r>
        <w:rPr>
          <w:rFonts w:eastAsiaTheme="majorEastAsia"/>
          <w:bCs/>
          <w:i/>
          <w:noProof/>
        </w:rPr>
        <w:br w:type="page"/>
      </w:r>
    </w:p>
    <w:p w14:paraId="4B279F37" w14:textId="1E0867F0" w:rsidR="00436363" w:rsidRPr="00BD0A20" w:rsidRDefault="00306677" w:rsidP="00306677">
      <w:pPr>
        <w:pStyle w:val="ManualHeading3"/>
        <w:rPr>
          <w:noProof/>
        </w:rPr>
      </w:pPr>
      <w:bookmarkStart w:id="57" w:name="_Toc84517579"/>
      <w:r w:rsidRPr="00306677">
        <w:t>1.4.3.</w:t>
      </w:r>
      <w:r w:rsidRPr="00306677">
        <w:tab/>
      </w:r>
      <w:r w:rsidR="00436363" w:rsidRPr="00BD0A20">
        <w:rPr>
          <w:noProof/>
        </w:rPr>
        <w:t>Expected result(s) and impact</w:t>
      </w:r>
      <w:bookmarkEnd w:id="55"/>
      <w:bookmarkEnd w:id="56"/>
      <w:bookmarkEnd w:id="57"/>
    </w:p>
    <w:p w14:paraId="4A13E576" w14:textId="77777777" w:rsidR="00436363" w:rsidRDefault="00436363" w:rsidP="00ED2926">
      <w:pPr>
        <w:pStyle w:val="Text1"/>
        <w:rPr>
          <w:i/>
          <w:noProof/>
          <w:sz w:val="20"/>
        </w:rPr>
      </w:pPr>
      <w:r>
        <w:rPr>
          <w:i/>
          <w:noProof/>
          <w:sz w:val="20"/>
        </w:rPr>
        <w:t>Specify the effects which the proposal/initiative should have on the beneficiaries/groups targeted.</w:t>
      </w:r>
    </w:p>
    <w:p w14:paraId="7856A998" w14:textId="6B59C77B" w:rsidR="00436363" w:rsidRDefault="00436363" w:rsidP="00436363">
      <w:pPr>
        <w:pStyle w:val="Text1"/>
        <w:pBdr>
          <w:top w:val="single" w:sz="4" w:space="1" w:color="auto"/>
          <w:left w:val="single" w:sz="4" w:space="4" w:color="auto"/>
          <w:bottom w:val="single" w:sz="4" w:space="1" w:color="auto"/>
          <w:right w:val="single" w:sz="4" w:space="4" w:color="auto"/>
        </w:pBdr>
        <w:rPr>
          <w:noProof/>
        </w:rPr>
      </w:pPr>
      <w:bookmarkStart w:id="58" w:name="_Toc514938023"/>
      <w:bookmarkStart w:id="59" w:name="_Toc520485033"/>
      <w:r>
        <w:rPr>
          <w:noProof/>
        </w:rPr>
        <w:t xml:space="preserve">The initiative is expected to legally and technically integrate the CTR in the </w:t>
      </w:r>
      <w:r w:rsidR="002A087B">
        <w:rPr>
          <w:noProof/>
        </w:rPr>
        <w:t>CMS</w:t>
      </w:r>
      <w:r>
        <w:rPr>
          <w:noProof/>
        </w:rPr>
        <w:t xml:space="preserve"> at Eurojust in order to enable Eurojust to identify links between parallel cross-border proceedings in terrorism cases and other cases of serious crime and to give feedback to the Member States.</w:t>
      </w:r>
    </w:p>
    <w:p w14:paraId="2FB5223B" w14:textId="4E25DFD2" w:rsidR="00500A6A" w:rsidRPr="00500A6A" w:rsidRDefault="00306677" w:rsidP="00306677">
      <w:pPr>
        <w:pStyle w:val="ManualHeading3"/>
        <w:rPr>
          <w:noProof/>
          <w:szCs w:val="24"/>
        </w:rPr>
      </w:pPr>
      <w:bookmarkStart w:id="60" w:name="_Toc84517580"/>
      <w:r w:rsidRPr="00306677">
        <w:t>1.4.4.</w:t>
      </w:r>
      <w:r w:rsidRPr="00306677">
        <w:tab/>
      </w:r>
      <w:r w:rsidR="00436363">
        <w:rPr>
          <w:noProof/>
        </w:rPr>
        <w:t>Indicators of performance</w:t>
      </w:r>
      <w:bookmarkEnd w:id="58"/>
      <w:bookmarkEnd w:id="59"/>
      <w:bookmarkEnd w:id="60"/>
    </w:p>
    <w:p w14:paraId="52EF0E92" w14:textId="77777777" w:rsidR="00500A6A" w:rsidRDefault="00500A6A" w:rsidP="00500A6A">
      <w:pPr>
        <w:pStyle w:val="Text1"/>
        <w:rPr>
          <w:i/>
          <w:noProof/>
          <w:sz w:val="20"/>
        </w:rPr>
      </w:pPr>
      <w:r>
        <w:rPr>
          <w:i/>
          <w:noProof/>
          <w:sz w:val="20"/>
        </w:rPr>
        <w:t>Specify the indicators for monitoring progress and achievements.</w:t>
      </w:r>
    </w:p>
    <w:p w14:paraId="380EC869" w14:textId="353AD381" w:rsidR="00500A6A" w:rsidRPr="006D1312" w:rsidRDefault="00500A6A" w:rsidP="006D1312">
      <w:pPr>
        <w:pStyle w:val="Tiret1"/>
        <w:pBdr>
          <w:top w:val="single" w:sz="4" w:space="1" w:color="auto"/>
          <w:left w:val="single" w:sz="4" w:space="4" w:color="auto"/>
          <w:bottom w:val="single" w:sz="4" w:space="1" w:color="auto"/>
          <w:right w:val="single" w:sz="4" w:space="4" w:color="auto"/>
        </w:pBdr>
        <w:rPr>
          <w:noProof/>
        </w:rPr>
      </w:pPr>
      <w:r w:rsidRPr="006D1312">
        <w:rPr>
          <w:noProof/>
        </w:rPr>
        <w:t>The amount of information sent by each Member State for the CTR in relation to overall volume and quality of information sent by Member States;</w:t>
      </w:r>
    </w:p>
    <w:p w14:paraId="2A2B4807" w14:textId="6238D0D9" w:rsidR="00500A6A" w:rsidRPr="006D1312" w:rsidRDefault="00500A6A" w:rsidP="006D1312">
      <w:pPr>
        <w:pStyle w:val="Tiret1"/>
        <w:pBdr>
          <w:top w:val="single" w:sz="4" w:space="1" w:color="auto"/>
          <w:left w:val="single" w:sz="4" w:space="4" w:color="auto"/>
          <w:bottom w:val="single" w:sz="4" w:space="1" w:color="auto"/>
          <w:right w:val="single" w:sz="4" w:space="4" w:color="auto"/>
        </w:pBdr>
        <w:rPr>
          <w:noProof/>
        </w:rPr>
      </w:pPr>
      <w:r w:rsidRPr="006D1312">
        <w:rPr>
          <w:noProof/>
        </w:rPr>
        <w:t>Number of links established in counter-terrorism cases and serious crime cases;</w:t>
      </w:r>
    </w:p>
    <w:p w14:paraId="5976ECE3" w14:textId="768A709C" w:rsidR="00500A6A" w:rsidRPr="006D1312" w:rsidRDefault="00500A6A" w:rsidP="006D1312">
      <w:pPr>
        <w:pStyle w:val="Tiret1"/>
        <w:pBdr>
          <w:top w:val="single" w:sz="4" w:space="1" w:color="auto"/>
          <w:left w:val="single" w:sz="4" w:space="4" w:color="auto"/>
          <w:bottom w:val="single" w:sz="4" w:space="1" w:color="auto"/>
          <w:right w:val="single" w:sz="4" w:space="4" w:color="auto"/>
        </w:pBdr>
        <w:rPr>
          <w:noProof/>
        </w:rPr>
      </w:pPr>
      <w:r w:rsidRPr="006D1312">
        <w:rPr>
          <w:noProof/>
        </w:rPr>
        <w:t>Number of feedback send from Eurojust to the Member States;</w:t>
      </w:r>
    </w:p>
    <w:p w14:paraId="426AB115" w14:textId="35325142" w:rsidR="00500A6A" w:rsidRPr="006D1312" w:rsidRDefault="00500A6A" w:rsidP="006D1312">
      <w:pPr>
        <w:pStyle w:val="Tiret1"/>
        <w:pBdr>
          <w:top w:val="single" w:sz="4" w:space="1" w:color="auto"/>
          <w:left w:val="single" w:sz="4" w:space="4" w:color="auto"/>
          <w:bottom w:val="single" w:sz="4" w:space="1" w:color="auto"/>
          <w:right w:val="single" w:sz="4" w:space="4" w:color="auto"/>
        </w:pBdr>
        <w:rPr>
          <w:noProof/>
        </w:rPr>
      </w:pPr>
      <w:r w:rsidRPr="006D1312">
        <w:rPr>
          <w:noProof/>
        </w:rPr>
        <w:t xml:space="preserve">Number of operative cases supported with the involvement of third states; </w:t>
      </w:r>
    </w:p>
    <w:p w14:paraId="12184CB2" w14:textId="77777777" w:rsidR="00500A6A" w:rsidRDefault="00500A6A" w:rsidP="00ED2926">
      <w:pPr>
        <w:pStyle w:val="Text1"/>
        <w:ind w:left="0"/>
        <w:rPr>
          <w:i/>
          <w:noProof/>
          <w:sz w:val="20"/>
        </w:rPr>
      </w:pPr>
    </w:p>
    <w:p w14:paraId="494308E1" w14:textId="16B23848" w:rsidR="00436363" w:rsidRDefault="00306677" w:rsidP="00306677">
      <w:pPr>
        <w:pStyle w:val="ManualHeading2"/>
        <w:rPr>
          <w:bCs/>
          <w:noProof/>
          <w:szCs w:val="24"/>
        </w:rPr>
      </w:pPr>
      <w:bookmarkStart w:id="61" w:name="_Toc514938025"/>
      <w:bookmarkStart w:id="62" w:name="_Toc520485034"/>
      <w:bookmarkStart w:id="63" w:name="_Toc84517581"/>
      <w:r w:rsidRPr="00306677">
        <w:t>1.5.</w:t>
      </w:r>
      <w:r w:rsidRPr="00306677">
        <w:tab/>
      </w:r>
      <w:r w:rsidR="00436363">
        <w:rPr>
          <w:noProof/>
        </w:rPr>
        <w:t>Grounds for the proposal/initiative</w:t>
      </w:r>
      <w:bookmarkEnd w:id="61"/>
      <w:bookmarkEnd w:id="62"/>
      <w:bookmarkEnd w:id="63"/>
      <w:r w:rsidR="00436363">
        <w:rPr>
          <w:noProof/>
        </w:rPr>
        <w:t xml:space="preserve"> </w:t>
      </w:r>
    </w:p>
    <w:p w14:paraId="2BB86CC4" w14:textId="6C33B4F6" w:rsidR="00500A6A" w:rsidRDefault="00306677" w:rsidP="00306677">
      <w:pPr>
        <w:pStyle w:val="ManualHeading3"/>
        <w:rPr>
          <w:noProof/>
        </w:rPr>
      </w:pPr>
      <w:bookmarkStart w:id="64" w:name="_Toc514938026"/>
      <w:bookmarkStart w:id="65" w:name="_Toc520485035"/>
      <w:bookmarkStart w:id="66" w:name="_Toc84517582"/>
      <w:r w:rsidRPr="00306677">
        <w:t>1.5.1.</w:t>
      </w:r>
      <w:r w:rsidRPr="00306677">
        <w:tab/>
      </w:r>
      <w:r w:rsidR="00436363">
        <w:rPr>
          <w:noProof/>
        </w:rPr>
        <w:t>Requirement(s) to be met in the short or long term including a detailed timeline for roll-out of the implementation of the initiative</w:t>
      </w:r>
      <w:bookmarkEnd w:id="64"/>
      <w:bookmarkEnd w:id="65"/>
      <w:bookmarkEnd w:id="66"/>
    </w:p>
    <w:p w14:paraId="5D316A8D" w14:textId="77777777" w:rsidR="00500A6A" w:rsidRDefault="00500A6A" w:rsidP="006D1312">
      <w:pPr>
        <w:pStyle w:val="Text1"/>
        <w:pBdr>
          <w:top w:val="single" w:sz="4" w:space="1" w:color="auto"/>
          <w:left w:val="single" w:sz="4" w:space="1" w:color="auto"/>
          <w:bottom w:val="single" w:sz="4" w:space="1" w:color="auto"/>
          <w:right w:val="single" w:sz="4" w:space="1" w:color="auto"/>
        </w:pBdr>
        <w:rPr>
          <w:noProof/>
          <w:color w:val="0000FF"/>
        </w:rPr>
      </w:pPr>
      <w:r>
        <w:rPr>
          <w:noProof/>
          <w:color w:val="0000FF"/>
        </w:rPr>
        <w:t>T</w:t>
      </w:r>
      <w:r w:rsidRPr="00BE2491">
        <w:rPr>
          <w:noProof/>
          <w:color w:val="0000FF"/>
        </w:rPr>
        <w:t>he roll-out of the implementation of the legislative initiative requires technical and procedural measures at EU and national level, which should start when the revised legislation enters into force</w:t>
      </w:r>
      <w:r>
        <w:rPr>
          <w:noProof/>
          <w:color w:val="0000FF"/>
        </w:rPr>
        <w:t xml:space="preserve">. </w:t>
      </w:r>
    </w:p>
    <w:p w14:paraId="4BD18AC6" w14:textId="77777777" w:rsidR="00500A6A" w:rsidRDefault="00500A6A" w:rsidP="006D1312">
      <w:pPr>
        <w:pStyle w:val="Text1"/>
        <w:pBdr>
          <w:top w:val="single" w:sz="4" w:space="1" w:color="auto"/>
          <w:left w:val="single" w:sz="4" w:space="1" w:color="auto"/>
          <w:bottom w:val="single" w:sz="4" w:space="1" w:color="auto"/>
          <w:right w:val="single" w:sz="4" w:space="1" w:color="auto"/>
        </w:pBdr>
        <w:rPr>
          <w:noProof/>
        </w:rPr>
      </w:pPr>
      <w:r w:rsidRPr="00BE2491">
        <w:rPr>
          <w:noProof/>
        </w:rPr>
        <w:t>The main requirements following entry into force of th</w:t>
      </w:r>
      <w:r>
        <w:rPr>
          <w:noProof/>
        </w:rPr>
        <w:t>e proposal are as follows:</w:t>
      </w:r>
    </w:p>
    <w:p w14:paraId="40C5A8D1" w14:textId="3560C170" w:rsidR="00500A6A" w:rsidRDefault="00500A6A" w:rsidP="006D1312">
      <w:pPr>
        <w:pStyle w:val="Tiret1"/>
        <w:pBdr>
          <w:top w:val="single" w:sz="4" w:space="1" w:color="auto"/>
          <w:left w:val="single" w:sz="4" w:space="1" w:color="auto"/>
          <w:bottom w:val="single" w:sz="4" w:space="1" w:color="auto"/>
          <w:right w:val="single" w:sz="4" w:space="1" w:color="auto"/>
        </w:pBdr>
        <w:rPr>
          <w:noProof/>
        </w:rPr>
      </w:pPr>
      <w:r>
        <w:rPr>
          <w:noProof/>
        </w:rPr>
        <w:t xml:space="preserve">Eurojust to implement a new modern Eurojust </w:t>
      </w:r>
      <w:r w:rsidR="002A087B">
        <w:rPr>
          <w:noProof/>
        </w:rPr>
        <w:t>CMS</w:t>
      </w:r>
      <w:r>
        <w:rPr>
          <w:noProof/>
        </w:rPr>
        <w:t xml:space="preserve">, integrating the CTR and ensuring ability to connect to secure communication channels and process structured data. </w:t>
      </w:r>
    </w:p>
    <w:p w14:paraId="79EA406D" w14:textId="7732AEB6" w:rsidR="00500A6A" w:rsidRDefault="00500A6A" w:rsidP="006D1312">
      <w:pPr>
        <w:pStyle w:val="Tiret1"/>
        <w:pBdr>
          <w:top w:val="single" w:sz="4" w:space="1" w:color="auto"/>
          <w:left w:val="single" w:sz="4" w:space="1" w:color="auto"/>
          <w:bottom w:val="single" w:sz="4" w:space="1" w:color="auto"/>
          <w:right w:val="single" w:sz="4" w:space="1" w:color="auto"/>
        </w:pBdr>
        <w:rPr>
          <w:noProof/>
        </w:rPr>
      </w:pPr>
      <w:r>
        <w:rPr>
          <w:noProof/>
        </w:rPr>
        <w:t>Eurojust and Member States to ensure the availablity of secure communication channels.</w:t>
      </w:r>
    </w:p>
    <w:p w14:paraId="2AB68205" w14:textId="45765216" w:rsidR="00500A6A" w:rsidRDefault="00500A6A" w:rsidP="006D1312">
      <w:pPr>
        <w:pStyle w:val="Tiret1"/>
        <w:pBdr>
          <w:top w:val="single" w:sz="4" w:space="1" w:color="auto"/>
          <w:left w:val="single" w:sz="4" w:space="1" w:color="auto"/>
          <w:bottom w:val="single" w:sz="4" w:space="1" w:color="auto"/>
          <w:right w:val="single" w:sz="4" w:space="1" w:color="auto"/>
        </w:pBdr>
        <w:rPr>
          <w:noProof/>
        </w:rPr>
      </w:pPr>
      <w:r>
        <w:rPr>
          <w:noProof/>
        </w:rPr>
        <w:t xml:space="preserve">Member States to ensure availabilty of necessary infrastructure to upload data semi-automatically and structured. </w:t>
      </w:r>
    </w:p>
    <w:p w14:paraId="507C720A" w14:textId="5BE9C79E" w:rsidR="001674C8" w:rsidRDefault="00500A6A" w:rsidP="006D1312">
      <w:pPr>
        <w:pStyle w:val="Text1"/>
        <w:pBdr>
          <w:top w:val="single" w:sz="4" w:space="1" w:color="auto"/>
          <w:left w:val="single" w:sz="4" w:space="1" w:color="auto"/>
          <w:bottom w:val="single" w:sz="4" w:space="1" w:color="auto"/>
          <w:right w:val="single" w:sz="4" w:space="1" w:color="auto"/>
        </w:pBdr>
        <w:rPr>
          <w:noProof/>
          <w:color w:val="0000FF"/>
        </w:rPr>
      </w:pPr>
      <w:r>
        <w:rPr>
          <w:noProof/>
          <w:color w:val="0000FF"/>
        </w:rPr>
        <w:t xml:space="preserve">Based on the findings of the Digital Criminal Justice study and due to the urgency of the renewal of a new </w:t>
      </w:r>
      <w:r w:rsidR="002A087B">
        <w:rPr>
          <w:noProof/>
          <w:color w:val="0000FF"/>
        </w:rPr>
        <w:t>CMS</w:t>
      </w:r>
      <w:r>
        <w:rPr>
          <w:noProof/>
          <w:color w:val="0000FF"/>
        </w:rPr>
        <w:t xml:space="preserve">, Eurojust took already first preliminary steps for the renewal. It mandated a market analysis </w:t>
      </w:r>
      <w:r w:rsidRPr="00DA0402">
        <w:rPr>
          <w:noProof/>
          <w:color w:val="0000FF"/>
        </w:rPr>
        <w:t xml:space="preserve">study, inquiring in depth the most appropriate solution. </w:t>
      </w:r>
    </w:p>
    <w:p w14:paraId="36A6CD5D" w14:textId="58D4B23E" w:rsidR="00500A6A" w:rsidRPr="00500A6A" w:rsidRDefault="00500A6A" w:rsidP="001674C8">
      <w:pPr>
        <w:pStyle w:val="Text1"/>
        <w:pBdr>
          <w:top w:val="single" w:sz="4" w:space="1" w:color="auto"/>
          <w:left w:val="single" w:sz="4" w:space="1" w:color="auto"/>
          <w:bottom w:val="single" w:sz="4" w:space="1" w:color="auto"/>
          <w:right w:val="single" w:sz="4" w:space="1" w:color="auto"/>
        </w:pBdr>
        <w:rPr>
          <w:noProof/>
          <w:color w:val="0000FF"/>
        </w:rPr>
      </w:pPr>
      <w:r w:rsidRPr="00DA0402">
        <w:rPr>
          <w:noProof/>
          <w:color w:val="0000FF"/>
        </w:rPr>
        <w:t xml:space="preserve">At the end of 2021, Eurojust was </w:t>
      </w:r>
      <w:r w:rsidRPr="00CF260E">
        <w:rPr>
          <w:noProof/>
          <w:color w:val="0000FF"/>
        </w:rPr>
        <w:t xml:space="preserve">attributed </w:t>
      </w:r>
      <w:r w:rsidR="00643008" w:rsidRPr="00CF260E">
        <w:rPr>
          <w:noProof/>
          <w:color w:val="0000FF"/>
        </w:rPr>
        <w:t xml:space="preserve">EUR </w:t>
      </w:r>
      <w:r w:rsidR="00345DDD" w:rsidRPr="00CF260E">
        <w:rPr>
          <w:noProof/>
          <w:color w:val="0000FF"/>
        </w:rPr>
        <w:t>9,5</w:t>
      </w:r>
      <w:r w:rsidRPr="00CF260E">
        <w:rPr>
          <w:noProof/>
          <w:color w:val="0000FF"/>
        </w:rPr>
        <w:t xml:space="preserve"> </w:t>
      </w:r>
      <w:r w:rsidR="001674C8" w:rsidRPr="00CF260E">
        <w:rPr>
          <w:noProof/>
          <w:color w:val="0000FF"/>
        </w:rPr>
        <w:t xml:space="preserve">million </w:t>
      </w:r>
      <w:r w:rsidRPr="00CF260E">
        <w:rPr>
          <w:noProof/>
          <w:color w:val="0000FF"/>
        </w:rPr>
        <w:t>unspen</w:t>
      </w:r>
      <w:r w:rsidR="00643008" w:rsidRPr="00CF260E">
        <w:rPr>
          <w:noProof/>
          <w:color w:val="0000FF"/>
        </w:rPr>
        <w:t>t</w:t>
      </w:r>
      <w:r w:rsidRPr="00CF260E">
        <w:rPr>
          <w:noProof/>
          <w:color w:val="0000FF"/>
        </w:rPr>
        <w:t xml:space="preserve"> funds from the European Public Prosecutors Office (EPPO), which w</w:t>
      </w:r>
      <w:r w:rsidR="001674C8" w:rsidRPr="00CF260E">
        <w:rPr>
          <w:noProof/>
          <w:color w:val="0000FF"/>
        </w:rPr>
        <w:t>ill</w:t>
      </w:r>
      <w:r w:rsidR="001674C8">
        <w:rPr>
          <w:noProof/>
          <w:color w:val="0000FF"/>
        </w:rPr>
        <w:t xml:space="preserve"> be</w:t>
      </w:r>
      <w:r>
        <w:rPr>
          <w:noProof/>
          <w:color w:val="0000FF"/>
        </w:rPr>
        <w:t xml:space="preserve"> used to prepare the development of the </w:t>
      </w:r>
      <w:r w:rsidR="002710AC">
        <w:rPr>
          <w:noProof/>
          <w:color w:val="0000FF"/>
        </w:rPr>
        <w:t>CMS</w:t>
      </w:r>
      <w:r>
        <w:rPr>
          <w:noProof/>
          <w:color w:val="0000FF"/>
        </w:rPr>
        <w:t xml:space="preserve"> further.</w:t>
      </w:r>
      <w:r w:rsidR="001674C8">
        <w:rPr>
          <w:noProof/>
          <w:color w:val="0000FF"/>
        </w:rPr>
        <w:t xml:space="preserve"> </w:t>
      </w:r>
      <w:r w:rsidR="000A3523">
        <w:rPr>
          <w:noProof/>
          <w:color w:val="0000FF"/>
        </w:rPr>
        <w:t>Eurojust will mandate consultancy services to support the analysis, design and development phase.</w:t>
      </w:r>
      <w:r w:rsidR="001674C8">
        <w:rPr>
          <w:noProof/>
          <w:color w:val="0000FF"/>
        </w:rPr>
        <w:t xml:space="preserve"> For these services, Eurojust anticipates expenditures </w:t>
      </w:r>
      <w:r w:rsidR="001674C8" w:rsidRPr="00D83A4D">
        <w:rPr>
          <w:noProof/>
          <w:color w:val="0000FF"/>
        </w:rPr>
        <w:t xml:space="preserve">of EUR </w:t>
      </w:r>
      <w:r w:rsidR="00D83A4D" w:rsidRPr="00D83A4D">
        <w:rPr>
          <w:noProof/>
          <w:color w:val="0000FF"/>
        </w:rPr>
        <w:t>2,3</w:t>
      </w:r>
      <w:r w:rsidR="001674C8" w:rsidRPr="00D83A4D">
        <w:rPr>
          <w:noProof/>
          <w:color w:val="0000FF"/>
        </w:rPr>
        <w:t xml:space="preserve"> million. For the following purchase of i</w:t>
      </w:r>
      <w:r w:rsidR="000A3523" w:rsidRPr="00D83A4D">
        <w:rPr>
          <w:noProof/>
          <w:color w:val="0000FF"/>
        </w:rPr>
        <w:t>nfrastructur and off-the-shelve software and installation services</w:t>
      </w:r>
      <w:r w:rsidR="001674C8" w:rsidRPr="00D83A4D">
        <w:rPr>
          <w:noProof/>
          <w:color w:val="0000FF"/>
        </w:rPr>
        <w:t xml:space="preserve">, EUR </w:t>
      </w:r>
      <w:r w:rsidR="00D83A4D" w:rsidRPr="00D83A4D">
        <w:rPr>
          <w:noProof/>
          <w:color w:val="0000FF"/>
        </w:rPr>
        <w:t>5,2</w:t>
      </w:r>
      <w:r w:rsidR="001674C8" w:rsidRPr="00D83A4D">
        <w:rPr>
          <w:noProof/>
          <w:color w:val="0000FF"/>
        </w:rPr>
        <w:t xml:space="preserve"> million are anticipated. Finally,</w:t>
      </w:r>
      <w:r w:rsidR="000A3523" w:rsidRPr="00D83A4D">
        <w:rPr>
          <w:noProof/>
          <w:color w:val="0000FF"/>
        </w:rPr>
        <w:t xml:space="preserve"> </w:t>
      </w:r>
      <w:r w:rsidR="001674C8" w:rsidRPr="00D83A4D">
        <w:rPr>
          <w:noProof/>
          <w:color w:val="0000FF"/>
        </w:rPr>
        <w:t xml:space="preserve">Eurojust has estimated to spend </w:t>
      </w:r>
      <w:r w:rsidR="00D83A4D" w:rsidRPr="00D83A4D">
        <w:rPr>
          <w:noProof/>
          <w:color w:val="0000FF"/>
        </w:rPr>
        <w:t>EUR 2</w:t>
      </w:r>
      <w:r w:rsidR="001674C8" w:rsidRPr="00D83A4D">
        <w:rPr>
          <w:noProof/>
          <w:color w:val="0000FF"/>
        </w:rPr>
        <w:t xml:space="preserve"> million on</w:t>
      </w:r>
      <w:r w:rsidR="000A3523" w:rsidRPr="00D83A4D">
        <w:rPr>
          <w:noProof/>
          <w:color w:val="0000FF"/>
        </w:rPr>
        <w:t xml:space="preserve"> consultancy services to provide programme and project management</w:t>
      </w:r>
      <w:r w:rsidR="001674C8" w:rsidRPr="00D83A4D">
        <w:rPr>
          <w:noProof/>
          <w:color w:val="0000FF"/>
        </w:rPr>
        <w:t>, administrative changes and governance.</w:t>
      </w:r>
    </w:p>
    <w:p w14:paraId="38213091" w14:textId="233A3165" w:rsidR="00500A6A" w:rsidRPr="006A0D14" w:rsidRDefault="00306677" w:rsidP="00306677">
      <w:pPr>
        <w:pStyle w:val="ManualHeading3"/>
        <w:rPr>
          <w:noProof/>
        </w:rPr>
      </w:pPr>
      <w:bookmarkStart w:id="67" w:name="_Toc514938029"/>
      <w:bookmarkStart w:id="68" w:name="_Toc520485036"/>
      <w:bookmarkStart w:id="69" w:name="_Toc84517583"/>
      <w:r w:rsidRPr="00306677">
        <w:t>1.5.2.</w:t>
      </w:r>
      <w:r w:rsidRPr="00306677">
        <w:tab/>
      </w:r>
      <w:r w:rsidR="00436363">
        <w:rPr>
          <w:noProof/>
        </w:rPr>
        <w:t xml:space="preserve">Added value of Union </w:t>
      </w:r>
      <w:r w:rsidR="00436363" w:rsidRPr="00CD72BB">
        <w:rPr>
          <w:noProof/>
        </w:rPr>
        <w:t>involvement (it may result from different factors, e.g. coordination gains, legal certainty, great</w:t>
      </w:r>
      <w:r w:rsidR="00436363" w:rsidRPr="004830A5">
        <w:rPr>
          <w:noProof/>
        </w:rPr>
        <w:t>er effectiveness or complementarities).</w:t>
      </w:r>
      <w:r w:rsidR="00436363">
        <w:rPr>
          <w:noProof/>
        </w:rPr>
        <w:t xml:space="preserve"> For the purposes of this point 'added value of Union involvement' is the value resulting</w:t>
      </w:r>
      <w:r w:rsidR="00ED2926">
        <w:rPr>
          <w:noProof/>
        </w:rPr>
        <w:t xml:space="preserve"> </w:t>
      </w:r>
      <w:r w:rsidR="00436363">
        <w:rPr>
          <w:noProof/>
        </w:rPr>
        <w:t>from Union intervention which is additional to the value that would have been otherwise created by Member States alone.</w:t>
      </w:r>
      <w:bookmarkStart w:id="70" w:name="_Toc514938030"/>
      <w:bookmarkStart w:id="71" w:name="_Toc520485037"/>
      <w:bookmarkEnd w:id="67"/>
      <w:bookmarkEnd w:id="68"/>
      <w:bookmarkEnd w:id="69"/>
    </w:p>
    <w:p w14:paraId="6C5104F6" w14:textId="77777777" w:rsidR="00500A6A" w:rsidRPr="001D329B" w:rsidRDefault="00500A6A" w:rsidP="00500A6A">
      <w:pPr>
        <w:pStyle w:val="Text1"/>
        <w:pBdr>
          <w:top w:val="single" w:sz="4" w:space="1" w:color="auto"/>
          <w:left w:val="single" w:sz="4" w:space="4" w:color="auto"/>
          <w:bottom w:val="single" w:sz="4" w:space="1" w:color="auto"/>
          <w:right w:val="single" w:sz="4" w:space="4" w:color="auto"/>
        </w:pBdr>
        <w:rPr>
          <w:noProof/>
        </w:rPr>
      </w:pPr>
      <w:r w:rsidRPr="001D329B">
        <w:rPr>
          <w:noProof/>
        </w:rPr>
        <w:t>Activities of criminals are currently more complex, diverse and international than ever before. Large scale terrorist and criminal networks pose a significant threat to the internal security of the EU and its citizens. Criminal activities have become more and more poly-criminal and cross-border of nature. The national judicial authorities cannot longer work in isolation but need to cooperate with each other and with Eurojust.</w:t>
      </w:r>
    </w:p>
    <w:p w14:paraId="7B384CD9" w14:textId="77777777" w:rsidR="00500A6A" w:rsidRPr="001D329B" w:rsidRDefault="00500A6A" w:rsidP="00500A6A">
      <w:pPr>
        <w:pStyle w:val="Text1"/>
        <w:pBdr>
          <w:top w:val="single" w:sz="4" w:space="1" w:color="auto"/>
          <w:left w:val="single" w:sz="4" w:space="4" w:color="auto"/>
          <w:bottom w:val="single" w:sz="4" w:space="1" w:color="auto"/>
          <w:right w:val="single" w:sz="4" w:space="4" w:color="auto"/>
        </w:pBdr>
        <w:rPr>
          <w:noProof/>
        </w:rPr>
      </w:pPr>
      <w:r w:rsidRPr="001D329B">
        <w:rPr>
          <w:noProof/>
        </w:rPr>
        <w:t>For the prosecution of terrorism, efficient exchange of information between competent authorities and Union agencies, is crucial. With the new rise of foreign terrorist fighters, the importance of sharing information between Member States and with Eurojust has only become more evident.</w:t>
      </w:r>
    </w:p>
    <w:p w14:paraId="39E907DC" w14:textId="77777777" w:rsidR="00500A6A" w:rsidRDefault="00500A6A" w:rsidP="00500A6A">
      <w:pPr>
        <w:pStyle w:val="Text1"/>
        <w:pBdr>
          <w:top w:val="single" w:sz="4" w:space="1" w:color="auto"/>
          <w:left w:val="single" w:sz="4" w:space="4" w:color="auto"/>
          <w:bottom w:val="single" w:sz="4" w:space="1" w:color="auto"/>
          <w:right w:val="single" w:sz="4" w:space="4" w:color="auto"/>
        </w:pBdr>
        <w:rPr>
          <w:noProof/>
        </w:rPr>
      </w:pPr>
      <w:r w:rsidRPr="001D329B">
        <w:rPr>
          <w:noProof/>
        </w:rPr>
        <w:t xml:space="preserve">The current disconnect between Eurojust’s casework and the information received through the CTR prevents Eurojust from providing timely and proactive feedback to national authorities in cross-border terrorism cases, missing potential connections and the identification of duplicate investigations and prosecutions that should be connected. Such disconnect may also hamper Eurojust’s efforts to prevent jurisdiction conflicts and </w:t>
      </w:r>
      <w:r w:rsidRPr="006A0D14">
        <w:rPr>
          <w:i/>
          <w:noProof/>
        </w:rPr>
        <w:t>ne bis in idem</w:t>
      </w:r>
      <w:r w:rsidRPr="001D329B">
        <w:rPr>
          <w:noProof/>
        </w:rPr>
        <w:t xml:space="preserve"> cases</w:t>
      </w:r>
    </w:p>
    <w:p w14:paraId="3BDF5378" w14:textId="13AE9CA7" w:rsidR="00500A6A" w:rsidRDefault="00500A6A" w:rsidP="00500A6A">
      <w:pPr>
        <w:pStyle w:val="Text1"/>
        <w:pBdr>
          <w:top w:val="single" w:sz="4" w:space="1" w:color="auto"/>
          <w:left w:val="single" w:sz="4" w:space="4" w:color="auto"/>
          <w:bottom w:val="single" w:sz="4" w:space="1" w:color="auto"/>
          <w:right w:val="single" w:sz="4" w:space="4" w:color="auto"/>
        </w:pBdr>
        <w:rPr>
          <w:noProof/>
        </w:rPr>
      </w:pPr>
      <w:bookmarkStart w:id="72" w:name="_Toc514938671"/>
      <w:r>
        <w:rPr>
          <w:noProof/>
        </w:rPr>
        <w:t xml:space="preserve">The initiative is expected to </w:t>
      </w:r>
      <w:r w:rsidRPr="0093690A">
        <w:rPr>
          <w:noProof/>
        </w:rPr>
        <w:t xml:space="preserve">enable Eurojust to identify and follow up links between cases of terrorism more proactively and give timely feedback to the Member States. </w:t>
      </w:r>
      <w:r w:rsidRPr="0061280B">
        <w:rPr>
          <w:noProof/>
        </w:rPr>
        <w:t>These tasks and services can be only performed at an EU level due to their transnational nature.</w:t>
      </w:r>
      <w:r w:rsidR="002710AC">
        <w:rPr>
          <w:noProof/>
        </w:rPr>
        <w:t xml:space="preserve"> </w:t>
      </w:r>
      <w:r w:rsidRPr="0093690A">
        <w:rPr>
          <w:noProof/>
        </w:rPr>
        <w:t>Together with the Member State and its international partners, Eurojust will thereby make Europe a safer place for all its citizens.</w:t>
      </w:r>
      <w:r w:rsidRPr="0061280B">
        <w:rPr>
          <w:noProof/>
        </w:rPr>
        <w:t xml:space="preserve"> </w:t>
      </w:r>
      <w:bookmarkEnd w:id="72"/>
    </w:p>
    <w:p w14:paraId="0192068D" w14:textId="77777777" w:rsidR="00500A6A" w:rsidRPr="00ED2926" w:rsidRDefault="00500A6A" w:rsidP="00ED2926">
      <w:pPr>
        <w:pStyle w:val="Text1"/>
        <w:pBdr>
          <w:top w:val="single" w:sz="4" w:space="1" w:color="auto"/>
          <w:left w:val="single" w:sz="4" w:space="4" w:color="auto"/>
          <w:bottom w:val="single" w:sz="4" w:space="1" w:color="auto"/>
          <w:right w:val="single" w:sz="4" w:space="4" w:color="auto"/>
        </w:pBdr>
        <w:rPr>
          <w:noProof/>
          <w:color w:val="0000FF"/>
        </w:rPr>
      </w:pPr>
      <w:r w:rsidRPr="0061280B">
        <w:rPr>
          <w:noProof/>
          <w:color w:val="0000FF"/>
        </w:rPr>
        <w:t>The proposal builds on the need to address continuously-e</w:t>
      </w:r>
      <w:r>
        <w:rPr>
          <w:noProof/>
          <w:color w:val="0000FF"/>
        </w:rPr>
        <w:t xml:space="preserve">volving transnational security </w:t>
      </w:r>
      <w:r w:rsidRPr="0061280B">
        <w:rPr>
          <w:noProof/>
          <w:color w:val="0000FF"/>
        </w:rPr>
        <w:t xml:space="preserve">challenges </w:t>
      </w:r>
      <w:r>
        <w:rPr>
          <w:noProof/>
          <w:color w:val="0000FF"/>
        </w:rPr>
        <w:t xml:space="preserve">beyond the national level. </w:t>
      </w:r>
      <w:r>
        <w:rPr>
          <w:noProof/>
        </w:rPr>
        <w:t>Practice has shown that for effective criminal justice, quick and secure data exchange is crucial. Without the adequate IT infrastructure neither secure, structure exchange of data, nor proper cross-checking of data is possible. Therefore, the structured identification of links between cross-border cases is also not possible without secure communication channels and a modern Case Management System.</w:t>
      </w:r>
      <w:r>
        <w:rPr>
          <w:noProof/>
          <w:color w:val="0000FF"/>
        </w:rPr>
        <w:t xml:space="preserve"> </w:t>
      </w:r>
      <w:r w:rsidRPr="0061280B">
        <w:rPr>
          <w:noProof/>
          <w:color w:val="0000FF"/>
        </w:rPr>
        <w:t>This proposal also builds on the lessons learned and progress achieved since the entry into application of the 201</w:t>
      </w:r>
      <w:r>
        <w:rPr>
          <w:noProof/>
          <w:color w:val="0000FF"/>
        </w:rPr>
        <w:t xml:space="preserve">9 Eurojust Regulation. This affects mostly the increasing important role that Eurojust has as interloctor between Member States’ and third countries in judicial cooperation. </w:t>
      </w:r>
    </w:p>
    <w:p w14:paraId="5A120E89" w14:textId="66022256" w:rsidR="00ED2926" w:rsidRDefault="00306677" w:rsidP="00306677">
      <w:pPr>
        <w:pStyle w:val="ManualHeading3"/>
        <w:rPr>
          <w:noProof/>
        </w:rPr>
      </w:pPr>
      <w:bookmarkStart w:id="73" w:name="_Toc84517584"/>
      <w:r w:rsidRPr="00306677">
        <w:t>1.5.3.</w:t>
      </w:r>
      <w:r w:rsidRPr="00306677">
        <w:tab/>
      </w:r>
      <w:r w:rsidR="00436363">
        <w:rPr>
          <w:noProof/>
        </w:rPr>
        <w:t>Lessons learned from similar experiences in the past</w:t>
      </w:r>
      <w:bookmarkStart w:id="74" w:name="_Toc514938033"/>
      <w:bookmarkStart w:id="75" w:name="_Toc520485038"/>
      <w:bookmarkEnd w:id="70"/>
      <w:bookmarkEnd w:id="71"/>
      <w:bookmarkEnd w:id="73"/>
    </w:p>
    <w:p w14:paraId="01C48A45" w14:textId="77777777" w:rsidR="00ED2926" w:rsidRPr="007B6370" w:rsidRDefault="00ED2926" w:rsidP="00ED2926">
      <w:pPr>
        <w:pStyle w:val="Text1"/>
        <w:pBdr>
          <w:top w:val="single" w:sz="4" w:space="1" w:color="auto"/>
          <w:left w:val="single" w:sz="4" w:space="4" w:color="auto"/>
          <w:bottom w:val="single" w:sz="4" w:space="1" w:color="auto"/>
          <w:right w:val="single" w:sz="4" w:space="4" w:color="auto"/>
        </w:pBdr>
        <w:rPr>
          <w:noProof/>
        </w:rPr>
      </w:pPr>
      <w:r w:rsidRPr="007B6370">
        <w:rPr>
          <w:noProof/>
        </w:rPr>
        <w:t xml:space="preserve">The proposal builds on the need to coordinate the judicial response to continously-evolving transnational crime byond the national level alone. </w:t>
      </w:r>
    </w:p>
    <w:p w14:paraId="6BF9389A" w14:textId="77777777" w:rsidR="00ED2926" w:rsidRDefault="00ED2926" w:rsidP="00ED2926">
      <w:pPr>
        <w:pStyle w:val="Text1"/>
        <w:pBdr>
          <w:top w:val="single" w:sz="4" w:space="1" w:color="auto"/>
          <w:left w:val="single" w:sz="4" w:space="4" w:color="auto"/>
          <w:bottom w:val="single" w:sz="4" w:space="1" w:color="auto"/>
          <w:right w:val="single" w:sz="4" w:space="4" w:color="auto"/>
        </w:pBdr>
        <w:rPr>
          <w:noProof/>
        </w:rPr>
      </w:pPr>
      <w:r w:rsidRPr="007B6370">
        <w:rPr>
          <w:noProof/>
        </w:rPr>
        <w:t>Europe faces a security landscape in flux, with evolving and increasingly complex security threats. Criminals exploit the advantages that the digital transformation, new technologies, globalisation and mobility bring about, including the inter-connectivity and blurring of the boundaries between the physical and digital world. The COVID-19 crisis only added to this, as criminals quickly seized the opportunities to exploit the crisis by adapting their modes of operation or developing new criminal activities.</w:t>
      </w:r>
    </w:p>
    <w:p w14:paraId="2C4D0287" w14:textId="7FC7BC8D" w:rsidR="002710AC" w:rsidRDefault="00ED2926" w:rsidP="00ED2926">
      <w:pPr>
        <w:pStyle w:val="Text1"/>
        <w:pBdr>
          <w:top w:val="single" w:sz="4" w:space="1" w:color="auto"/>
          <w:left w:val="single" w:sz="4" w:space="4" w:color="auto"/>
          <w:bottom w:val="single" w:sz="4" w:space="1" w:color="auto"/>
          <w:right w:val="single" w:sz="4" w:space="4" w:color="auto"/>
        </w:pBdr>
        <w:rPr>
          <w:noProof/>
        </w:rPr>
      </w:pPr>
      <w:r w:rsidRPr="007B6370">
        <w:rPr>
          <w:noProof/>
        </w:rPr>
        <w:t>The pandemic showed the overall importance of digitalisation of judicial cooperation for the functioning of the judiciary. In addition, the judicial cooperation with third countries in criminal investigations for terrorist offences and other international core</w:t>
      </w:r>
    </w:p>
    <w:p w14:paraId="5F58D469" w14:textId="77777777" w:rsidR="00ED2926" w:rsidRDefault="00ED2926">
      <w:pPr>
        <w:pStyle w:val="Text1"/>
        <w:pBdr>
          <w:top w:val="single" w:sz="4" w:space="1" w:color="auto"/>
          <w:left w:val="single" w:sz="4" w:space="4" w:color="auto"/>
          <w:bottom w:val="single" w:sz="4" w:space="1" w:color="auto"/>
          <w:right w:val="single" w:sz="4" w:space="4" w:color="auto"/>
        </w:pBdr>
        <w:rPr>
          <w:noProof/>
        </w:rPr>
      </w:pPr>
      <w:r w:rsidRPr="007B6370">
        <w:rPr>
          <w:noProof/>
        </w:rPr>
        <w:t xml:space="preserve">crimes became more relevant, especially with regard to the crimes committed by Daesh. </w:t>
      </w:r>
    </w:p>
    <w:p w14:paraId="6DD99B41" w14:textId="77777777" w:rsidR="00ED2926" w:rsidRPr="00ED2926" w:rsidRDefault="00ED2926" w:rsidP="00ED2926">
      <w:pPr>
        <w:pStyle w:val="Text1"/>
        <w:pBdr>
          <w:top w:val="single" w:sz="4" w:space="1" w:color="auto"/>
          <w:left w:val="single" w:sz="4" w:space="4" w:color="auto"/>
          <w:bottom w:val="single" w:sz="4" w:space="1" w:color="auto"/>
          <w:right w:val="single" w:sz="4" w:space="4" w:color="auto"/>
        </w:pBdr>
        <w:rPr>
          <w:noProof/>
          <w:color w:val="0000FF"/>
        </w:rPr>
      </w:pPr>
      <w:r w:rsidRPr="007B6370">
        <w:rPr>
          <w:noProof/>
        </w:rPr>
        <w:t>The evolving criminal activities call for effective EU level support to the work of national law judicial authorities. Member States’ law judicial authorities have increasingly made use of the support and expertise that Eurojust offers to counter serious crime and terrorism. This proposal also builds on the lessons learned and progress achieved since the entry into application of the 2018 Eurojust Regulation and the establishment of the CTR. The role third countries would play was not foreseeable when the co-legislators negotiated the current Eurojust Regulation.</w:t>
      </w:r>
    </w:p>
    <w:p w14:paraId="50260805" w14:textId="019E6E61" w:rsidR="00ED2926" w:rsidRDefault="00306677" w:rsidP="00306677">
      <w:pPr>
        <w:pStyle w:val="ManualHeading3"/>
        <w:rPr>
          <w:noProof/>
        </w:rPr>
      </w:pPr>
      <w:bookmarkStart w:id="76" w:name="_Toc84517585"/>
      <w:r w:rsidRPr="00306677">
        <w:t>1.5.4.</w:t>
      </w:r>
      <w:r w:rsidRPr="00306677">
        <w:tab/>
      </w:r>
      <w:r w:rsidR="00436363">
        <w:rPr>
          <w:noProof/>
        </w:rPr>
        <w:t>Compatibility with the Multiannual Financial Framework and possible synergies with other appropriate instruments</w:t>
      </w:r>
      <w:bookmarkStart w:id="77" w:name="_Toc514938036"/>
      <w:bookmarkStart w:id="78" w:name="_Toc520485039"/>
      <w:bookmarkEnd w:id="74"/>
      <w:bookmarkEnd w:id="75"/>
      <w:bookmarkEnd w:id="76"/>
    </w:p>
    <w:p w14:paraId="5E0E87F3" w14:textId="77777777" w:rsidR="00ED2926" w:rsidRDefault="00ED2926" w:rsidP="00ED2926">
      <w:pPr>
        <w:pStyle w:val="Text1"/>
        <w:pBdr>
          <w:top w:val="single" w:sz="4" w:space="1" w:color="auto"/>
          <w:left w:val="single" w:sz="4" w:space="4" w:color="auto"/>
          <w:bottom w:val="single" w:sz="4" w:space="1" w:color="auto"/>
          <w:right w:val="single" w:sz="4" w:space="4" w:color="auto"/>
        </w:pBdr>
        <w:rPr>
          <w:noProof/>
        </w:rPr>
      </w:pPr>
      <w:r w:rsidRPr="0093690A">
        <w:rPr>
          <w:noProof/>
        </w:rPr>
        <w:t>The reinforcement of judicial cooperation in criminal matters is</w:t>
      </w:r>
      <w:r>
        <w:rPr>
          <w:noProof/>
        </w:rPr>
        <w:t xml:space="preserve"> a crucial part of creating an </w:t>
      </w:r>
      <w:r w:rsidRPr="0093690A">
        <w:rPr>
          <w:noProof/>
        </w:rPr>
        <w:t>area of freedom, security and justice.</w:t>
      </w:r>
      <w:r>
        <w:rPr>
          <w:noProof/>
        </w:rPr>
        <w:t xml:space="preserve"> </w:t>
      </w:r>
    </w:p>
    <w:p w14:paraId="6E8250D6" w14:textId="2C995932" w:rsidR="00ED2926" w:rsidRDefault="00ED2926" w:rsidP="00ED2926">
      <w:pPr>
        <w:pStyle w:val="Text1"/>
        <w:pBdr>
          <w:top w:val="single" w:sz="4" w:space="1" w:color="auto"/>
          <w:left w:val="single" w:sz="4" w:space="4" w:color="auto"/>
          <w:bottom w:val="single" w:sz="4" w:space="1" w:color="auto"/>
          <w:right w:val="single" w:sz="4" w:space="4" w:color="auto"/>
        </w:pBdr>
        <w:rPr>
          <w:noProof/>
        </w:rPr>
      </w:pPr>
      <w:r>
        <w:rPr>
          <w:noProof/>
        </w:rPr>
        <w:t xml:space="preserve">The improving the digital exchange of data on terrorism cases and the modernisation of Eurojust’s </w:t>
      </w:r>
      <w:r w:rsidR="002710AC">
        <w:rPr>
          <w:noProof/>
        </w:rPr>
        <w:t>CMS</w:t>
      </w:r>
      <w:r>
        <w:rPr>
          <w:noProof/>
        </w:rPr>
        <w:t xml:space="preserve"> is in line with the EU Security Union Strategy</w:t>
      </w:r>
      <w:r>
        <w:rPr>
          <w:rStyle w:val="FootnoteReference"/>
          <w:noProof/>
          <w:color w:val="0000FF"/>
        </w:rPr>
        <w:footnoteReference w:id="45"/>
      </w:r>
      <w:r>
        <w:rPr>
          <w:noProof/>
        </w:rPr>
        <w:t>,</w:t>
      </w:r>
      <w:r w:rsidRPr="00CC2BCC">
        <w:rPr>
          <w:noProof/>
        </w:rPr>
        <w:t xml:space="preserve"> </w:t>
      </w:r>
      <w:r>
        <w:rPr>
          <w:noProof/>
        </w:rPr>
        <w:t>the Counter-Terrorism Agenda for the EU,</w:t>
      </w:r>
      <w:r>
        <w:rPr>
          <w:rStyle w:val="FootnoteReference"/>
          <w:noProof/>
          <w:color w:val="0000FF"/>
        </w:rPr>
        <w:footnoteReference w:id="46"/>
      </w:r>
      <w:r>
        <w:rPr>
          <w:noProof/>
        </w:rPr>
        <w:t xml:space="preserve"> the Communication on the Digitalisation of Justice</w:t>
      </w:r>
      <w:r>
        <w:rPr>
          <w:rStyle w:val="FootnoteReference"/>
          <w:noProof/>
          <w:color w:val="0000FF"/>
        </w:rPr>
        <w:footnoteReference w:id="47"/>
      </w:r>
      <w:r>
        <w:rPr>
          <w:noProof/>
        </w:rPr>
        <w:t xml:space="preserve"> and the EU Strategy to tackle Organised Crime.</w:t>
      </w:r>
      <w:r>
        <w:rPr>
          <w:rStyle w:val="FootnoteReference"/>
          <w:noProof/>
          <w:color w:val="0000FF"/>
        </w:rPr>
        <w:footnoteReference w:id="48"/>
      </w:r>
    </w:p>
    <w:p w14:paraId="18642099" w14:textId="77777777" w:rsidR="00ED2926" w:rsidRDefault="00ED2926" w:rsidP="00ED2926">
      <w:pPr>
        <w:pStyle w:val="Text1"/>
        <w:pBdr>
          <w:top w:val="single" w:sz="4" w:space="1" w:color="auto"/>
          <w:left w:val="single" w:sz="4" w:space="4" w:color="auto"/>
          <w:bottom w:val="single" w:sz="4" w:space="1" w:color="auto"/>
          <w:right w:val="single" w:sz="4" w:space="4" w:color="auto"/>
        </w:pBdr>
        <w:rPr>
          <w:noProof/>
        </w:rPr>
      </w:pPr>
      <w:r w:rsidRPr="00CC2BCC">
        <w:rPr>
          <w:noProof/>
        </w:rPr>
        <w:t xml:space="preserve">The Commission Communication on </w:t>
      </w:r>
      <w:r>
        <w:rPr>
          <w:noProof/>
        </w:rPr>
        <w:t>the EU Security Union Strategy, published in July 2020, underlined</w:t>
      </w:r>
      <w:r w:rsidRPr="00CC2BCC">
        <w:rPr>
          <w:noProof/>
        </w:rPr>
        <w:t xml:space="preserve"> the connection between internal and external security and the importance of cooperation in order to protect citizen’s rights effectively.</w:t>
      </w:r>
      <w:r>
        <w:rPr>
          <w:noProof/>
        </w:rPr>
        <w:t xml:space="preserve"> </w:t>
      </w:r>
      <w:r w:rsidRPr="00E34BE0">
        <w:rPr>
          <w:noProof/>
        </w:rPr>
        <w:t>The recent Counter-Terr</w:t>
      </w:r>
      <w:r>
        <w:rPr>
          <w:noProof/>
        </w:rPr>
        <w:t>orism Agenda for the EU confirmed</w:t>
      </w:r>
      <w:r w:rsidRPr="00E34BE0">
        <w:rPr>
          <w:noProof/>
        </w:rPr>
        <w:t xml:space="preserve"> that terrorist crimes continue to be a major challenge for the law enforcement and prosecution authorities of the Member States, requiring further efforts to strengthen collaboration between them, supported by Europol and Eurojust</w:t>
      </w:r>
      <w:r>
        <w:rPr>
          <w:noProof/>
        </w:rPr>
        <w:t xml:space="preserve">. In the Communication on the EU Strategy to tackle Orgnaised Crime, the Commission expressed its </w:t>
      </w:r>
      <w:r w:rsidRPr="00CC2BCC">
        <w:rPr>
          <w:noProof/>
        </w:rPr>
        <w:t xml:space="preserve">support modernising Eurojust’s case management system to help Eurojust provide feedback to </w:t>
      </w:r>
      <w:r>
        <w:rPr>
          <w:noProof/>
        </w:rPr>
        <w:t>n</w:t>
      </w:r>
      <w:r w:rsidRPr="00CC2BCC">
        <w:rPr>
          <w:noProof/>
        </w:rPr>
        <w:t xml:space="preserve">ational authorities and develop judicial links between ongoing investigations. </w:t>
      </w:r>
    </w:p>
    <w:p w14:paraId="544354FD" w14:textId="77777777" w:rsidR="00ED2926" w:rsidRPr="00ED2926" w:rsidRDefault="00ED2926" w:rsidP="00ED2926">
      <w:pPr>
        <w:pStyle w:val="Text1"/>
        <w:pBdr>
          <w:top w:val="single" w:sz="4" w:space="1" w:color="auto"/>
          <w:left w:val="single" w:sz="4" w:space="4" w:color="auto"/>
          <w:bottom w:val="single" w:sz="4" w:space="1" w:color="auto"/>
          <w:right w:val="single" w:sz="4" w:space="4" w:color="auto"/>
        </w:pBdr>
        <w:rPr>
          <w:noProof/>
          <w:color w:val="0000FF"/>
        </w:rPr>
      </w:pPr>
      <w:r w:rsidRPr="00E34BE0">
        <w:rPr>
          <w:noProof/>
        </w:rPr>
        <w:t>The Commission Communication on Digitalisation of Justice refers to the present proposal as part of the overall toolbox of opportunities for further digitalisation of justice. This proposal is included in the Commission’s Work Programme for 2021.</w:t>
      </w:r>
      <w:r>
        <w:rPr>
          <w:noProof/>
        </w:rPr>
        <w:t xml:space="preserve"> The proposal also relates to the current Commission proposal for a Regulation on a computerised system for the communication in cross-border civil and criminal proceedings (e-CODEX) and amending Regulation (EU) 2018/1726, currently negotiated between the co-legislators. </w:t>
      </w:r>
    </w:p>
    <w:p w14:paraId="36204BB9" w14:textId="52076AF1" w:rsidR="00436363" w:rsidRPr="00AF322C" w:rsidRDefault="00306677" w:rsidP="00306677">
      <w:pPr>
        <w:pStyle w:val="ManualHeading3"/>
        <w:rPr>
          <w:noProof/>
        </w:rPr>
      </w:pPr>
      <w:bookmarkStart w:id="79" w:name="_Toc84517586"/>
      <w:r w:rsidRPr="00306677">
        <w:t>1.5.5.</w:t>
      </w:r>
      <w:r w:rsidRPr="00306677">
        <w:tab/>
      </w:r>
      <w:r w:rsidR="00436363">
        <w:rPr>
          <w:noProof/>
        </w:rPr>
        <w:t>Assessment of the different available financing options, including scope for redeployment</w:t>
      </w:r>
      <w:bookmarkEnd w:id="77"/>
      <w:bookmarkEnd w:id="78"/>
      <w:bookmarkEnd w:id="79"/>
    </w:p>
    <w:p w14:paraId="1005BB92" w14:textId="11FFA344" w:rsidR="00ED2926" w:rsidRDefault="00ED2926" w:rsidP="00ED2926">
      <w:pPr>
        <w:pStyle w:val="Text1"/>
        <w:pBdr>
          <w:top w:val="single" w:sz="4" w:space="1" w:color="auto"/>
          <w:left w:val="single" w:sz="4" w:space="4" w:color="auto"/>
          <w:bottom w:val="single" w:sz="4" w:space="1" w:color="auto"/>
          <w:right w:val="single" w:sz="4" w:space="4" w:color="auto"/>
        </w:pBdr>
        <w:rPr>
          <w:noProof/>
        </w:rPr>
      </w:pPr>
      <w:r>
        <w:rPr>
          <w:noProof/>
        </w:rPr>
        <w:t>Since the Eurojust Regulation entered into force, the trend has been towards a</w:t>
      </w:r>
      <w:r w:rsidRPr="007A5137">
        <w:rPr>
          <w:noProof/>
        </w:rPr>
        <w:t xml:space="preserve"> growth of the agency’s data flows and</w:t>
      </w:r>
      <w:r>
        <w:rPr>
          <w:noProof/>
        </w:rPr>
        <w:t xml:space="preserve"> of the demand on its services. The past budgets, however, have never included financial resources to revamp the outdated Eurojust </w:t>
      </w:r>
      <w:r w:rsidR="002A087B">
        <w:rPr>
          <w:noProof/>
        </w:rPr>
        <w:t>CMS</w:t>
      </w:r>
      <w:r>
        <w:rPr>
          <w:noProof/>
        </w:rPr>
        <w:t xml:space="preserve">. </w:t>
      </w:r>
    </w:p>
    <w:p w14:paraId="42004E73" w14:textId="534A59DF" w:rsidR="001674C8" w:rsidRPr="008E168D" w:rsidRDefault="00ED2926" w:rsidP="00ED2926">
      <w:pPr>
        <w:pStyle w:val="Text1"/>
        <w:pBdr>
          <w:top w:val="single" w:sz="4" w:space="1" w:color="auto"/>
          <w:left w:val="single" w:sz="4" w:space="4" w:color="auto"/>
          <w:bottom w:val="single" w:sz="4" w:space="1" w:color="auto"/>
          <w:right w:val="single" w:sz="4" w:space="4" w:color="auto"/>
        </w:pBdr>
        <w:rPr>
          <w:noProof/>
        </w:rPr>
      </w:pPr>
      <w:r>
        <w:rPr>
          <w:noProof/>
          <w:color w:val="0000FF"/>
        </w:rPr>
        <w:t>T</w:t>
      </w:r>
      <w:r w:rsidRPr="00B91118">
        <w:rPr>
          <w:noProof/>
          <w:color w:val="0000FF"/>
        </w:rPr>
        <w:t>he proposal will introduce new tasks in Euro</w:t>
      </w:r>
      <w:r>
        <w:rPr>
          <w:noProof/>
          <w:color w:val="0000FF"/>
        </w:rPr>
        <w:t>just</w:t>
      </w:r>
      <w:r w:rsidRPr="00B91118">
        <w:rPr>
          <w:noProof/>
          <w:color w:val="0000FF"/>
        </w:rPr>
        <w:t xml:space="preserve"> Regulation and will also clarify other tasks, </w:t>
      </w:r>
      <w:r>
        <w:rPr>
          <w:noProof/>
          <w:color w:val="0000FF"/>
        </w:rPr>
        <w:t xml:space="preserve">aiming at making Eurojust fit for the digital age. To implement the digitalisation of judicial cooperation will not be possible to implement without a new </w:t>
      </w:r>
      <w:r w:rsidR="002A087B">
        <w:rPr>
          <w:noProof/>
          <w:color w:val="0000FF"/>
        </w:rPr>
        <w:t>CMS</w:t>
      </w:r>
      <w:r>
        <w:rPr>
          <w:noProof/>
          <w:color w:val="0000FF"/>
        </w:rPr>
        <w:t xml:space="preserve">, </w:t>
      </w:r>
      <w:r w:rsidRPr="00B91118">
        <w:rPr>
          <w:noProof/>
          <w:color w:val="0000FF"/>
        </w:rPr>
        <w:t xml:space="preserve">backed by </w:t>
      </w:r>
      <w:r w:rsidRPr="008E168D">
        <w:rPr>
          <w:noProof/>
          <w:color w:val="0000FF"/>
        </w:rPr>
        <w:t>financial and human reinforcements.</w:t>
      </w:r>
      <w:r w:rsidRPr="008E168D">
        <w:rPr>
          <w:noProof/>
        </w:rPr>
        <w:t xml:space="preserve"> </w:t>
      </w:r>
    </w:p>
    <w:p w14:paraId="46F98ED4" w14:textId="28B71C3D" w:rsidR="00ED2926" w:rsidRDefault="001674C8" w:rsidP="00ED2926">
      <w:pPr>
        <w:pStyle w:val="Text1"/>
        <w:pBdr>
          <w:top w:val="single" w:sz="4" w:space="1" w:color="auto"/>
          <w:left w:val="single" w:sz="4" w:space="4" w:color="auto"/>
          <w:bottom w:val="single" w:sz="4" w:space="1" w:color="auto"/>
          <w:right w:val="single" w:sz="4" w:space="4" w:color="auto"/>
        </w:pBdr>
        <w:rPr>
          <w:noProof/>
        </w:rPr>
      </w:pPr>
      <w:r w:rsidRPr="008E168D">
        <w:rPr>
          <w:noProof/>
          <w:color w:val="0000FF"/>
        </w:rPr>
        <w:t xml:space="preserve">At the end of 2021, Eurojust was attributed EUR </w:t>
      </w:r>
      <w:r w:rsidR="00345DDD" w:rsidRPr="008E168D">
        <w:rPr>
          <w:noProof/>
          <w:color w:val="0000FF"/>
        </w:rPr>
        <w:t>9,5</w:t>
      </w:r>
      <w:r w:rsidRPr="008E168D">
        <w:rPr>
          <w:noProof/>
          <w:color w:val="0000FF"/>
        </w:rPr>
        <w:t xml:space="preserve"> million unspent funds from the European Public Prosecutors Office (EPPO), to prepare the development and implementation of the new </w:t>
      </w:r>
      <w:r w:rsidR="002A087B" w:rsidRPr="008E168D">
        <w:rPr>
          <w:noProof/>
          <w:color w:val="0000FF"/>
        </w:rPr>
        <w:t>CMS</w:t>
      </w:r>
      <w:r w:rsidRPr="008E168D">
        <w:rPr>
          <w:noProof/>
          <w:color w:val="0000FF"/>
        </w:rPr>
        <w:t>. The rest</w:t>
      </w:r>
      <w:r>
        <w:rPr>
          <w:noProof/>
          <w:color w:val="0000FF"/>
        </w:rPr>
        <w:t xml:space="preserve"> of the expenditure will be financed from the margin </w:t>
      </w:r>
      <w:r w:rsidR="002A087B" w:rsidRPr="002A087B">
        <w:rPr>
          <w:noProof/>
          <w:color w:val="0000FF"/>
        </w:rPr>
        <w:t xml:space="preserve">under the heading 2b </w:t>
      </w:r>
      <w:r>
        <w:rPr>
          <w:noProof/>
          <w:color w:val="0000FF"/>
        </w:rPr>
        <w:t xml:space="preserve">of the </w:t>
      </w:r>
      <w:r w:rsidR="002A087B">
        <w:rPr>
          <w:noProof/>
          <w:color w:val="0000FF"/>
        </w:rPr>
        <w:t>MFF</w:t>
      </w:r>
      <w:r>
        <w:rPr>
          <w:noProof/>
          <w:color w:val="0000FF"/>
        </w:rPr>
        <w:t xml:space="preserve">. </w:t>
      </w:r>
    </w:p>
    <w:p w14:paraId="6EE93D18" w14:textId="76C1135B" w:rsidR="00ED2926" w:rsidRDefault="00ED2926" w:rsidP="00B2088F">
      <w:pPr>
        <w:rPr>
          <w:noProof/>
        </w:rPr>
      </w:pPr>
    </w:p>
    <w:p w14:paraId="04D9B902" w14:textId="2AB08C69" w:rsidR="00436363" w:rsidRDefault="00436363" w:rsidP="00306677">
      <w:pPr>
        <w:pStyle w:val="ManualHeading2"/>
        <w:rPr>
          <w:bCs/>
          <w:noProof/>
          <w:szCs w:val="24"/>
        </w:rPr>
      </w:pPr>
      <w:r w:rsidRPr="00ED2926">
        <w:rPr>
          <w:noProof/>
        </w:rPr>
        <w:br w:type="page"/>
      </w:r>
      <w:bookmarkStart w:id="80" w:name="_Toc514938039"/>
      <w:bookmarkStart w:id="81" w:name="_Toc520485040"/>
      <w:bookmarkStart w:id="82" w:name="_Toc84517587"/>
      <w:r w:rsidR="00306677" w:rsidRPr="00306677">
        <w:t>1.6.</w:t>
      </w:r>
      <w:r w:rsidR="00306677" w:rsidRPr="00306677">
        <w:tab/>
      </w:r>
      <w:r>
        <w:rPr>
          <w:noProof/>
        </w:rPr>
        <w:t>Duration and financial impact of the proposal/initiative</w:t>
      </w:r>
      <w:bookmarkEnd w:id="80"/>
      <w:bookmarkEnd w:id="81"/>
      <w:bookmarkEnd w:id="82"/>
    </w:p>
    <w:p w14:paraId="2F9B3BCC" w14:textId="77777777" w:rsidR="00436363" w:rsidRDefault="00436363" w:rsidP="00ED2926">
      <w:pPr>
        <w:pStyle w:val="Text1"/>
        <w:rPr>
          <w:noProof/>
        </w:rPr>
      </w:pPr>
      <w:r>
        <w:rPr>
          <w:noProof/>
        </w:rPr>
        <w:sym w:font="Wingdings" w:char="F0A8"/>
      </w:r>
      <w:r>
        <w:rPr>
          <w:b/>
          <w:i/>
          <w:noProof/>
        </w:rPr>
        <w:t xml:space="preserve"> </w:t>
      </w:r>
      <w:r>
        <w:rPr>
          <w:b/>
          <w:noProof/>
        </w:rPr>
        <w:t xml:space="preserve">limited duration </w:t>
      </w:r>
    </w:p>
    <w:p w14:paraId="7151D22E" w14:textId="77777777" w:rsidR="00436363" w:rsidRDefault="00436363" w:rsidP="00917AAD">
      <w:pPr>
        <w:pStyle w:val="ListDash2"/>
        <w:rPr>
          <w:noProof/>
        </w:rPr>
      </w:pPr>
      <w:r>
        <w:rPr>
          <w:noProof/>
        </w:rPr>
        <w:sym w:font="Wingdings" w:char="F0A8"/>
      </w:r>
      <w:r>
        <w:rPr>
          <w:noProof/>
        </w:rPr>
        <w:tab/>
        <w:t xml:space="preserve">in effect from [DD/MM]YYYY to [DD/MM]YYYY </w:t>
      </w:r>
    </w:p>
    <w:p w14:paraId="6AF91D14" w14:textId="77777777" w:rsidR="00436363" w:rsidRDefault="00436363" w:rsidP="00917AAD">
      <w:pPr>
        <w:pStyle w:val="ListDash2"/>
        <w:rPr>
          <w:noProof/>
        </w:rPr>
      </w:pPr>
      <w:r>
        <w:rPr>
          <w:noProof/>
        </w:rPr>
        <w:sym w:font="Wingdings" w:char="F0A8"/>
      </w:r>
      <w:r>
        <w:rPr>
          <w:noProof/>
        </w:rPr>
        <w:tab/>
        <w:t xml:space="preserve">Financial impact from YYYY to YYYY </w:t>
      </w:r>
    </w:p>
    <w:p w14:paraId="71DD7788" w14:textId="77777777" w:rsidR="00436363" w:rsidRDefault="00ED2926" w:rsidP="00ED2926">
      <w:pPr>
        <w:pStyle w:val="Text1"/>
        <w:rPr>
          <w:noProof/>
        </w:rPr>
      </w:pPr>
      <w:r>
        <w:rPr>
          <w:noProof/>
        </w:rPr>
        <w:sym w:font="Wingdings" w:char="F0FE"/>
      </w:r>
      <w:r w:rsidR="00436363">
        <w:rPr>
          <w:b/>
          <w:i/>
          <w:noProof/>
        </w:rPr>
        <w:t xml:space="preserve"> </w:t>
      </w:r>
      <w:r w:rsidR="00436363">
        <w:rPr>
          <w:b/>
          <w:noProof/>
        </w:rPr>
        <w:t>unlimited duration</w:t>
      </w:r>
    </w:p>
    <w:p w14:paraId="583F9291" w14:textId="77777777" w:rsidR="00436363" w:rsidRDefault="00436363" w:rsidP="00917AAD">
      <w:pPr>
        <w:pStyle w:val="ListDash1"/>
        <w:rPr>
          <w:noProof/>
        </w:rPr>
      </w:pPr>
      <w:r>
        <w:rPr>
          <w:noProof/>
        </w:rPr>
        <w:t>Implementation with a start-up period from YYYY to YYYY,</w:t>
      </w:r>
    </w:p>
    <w:p w14:paraId="19E6AFC0" w14:textId="77777777" w:rsidR="00436363" w:rsidRDefault="00436363" w:rsidP="00917AAD">
      <w:pPr>
        <w:pStyle w:val="ListDash1"/>
        <w:rPr>
          <w:noProof/>
        </w:rPr>
      </w:pPr>
      <w:r>
        <w:rPr>
          <w:noProof/>
        </w:rPr>
        <w:t>followed by full-scale operation.</w:t>
      </w:r>
    </w:p>
    <w:p w14:paraId="41F121E1" w14:textId="7D6F1CCB" w:rsidR="00436363" w:rsidRDefault="00306677" w:rsidP="00306677">
      <w:pPr>
        <w:pStyle w:val="ManualHeading2"/>
        <w:rPr>
          <w:noProof/>
        </w:rPr>
      </w:pPr>
      <w:bookmarkStart w:id="83" w:name="_Toc514938040"/>
      <w:bookmarkStart w:id="84" w:name="_Toc520485041"/>
      <w:bookmarkStart w:id="85" w:name="_Toc84517588"/>
      <w:r w:rsidRPr="00306677">
        <w:t>1.7.</w:t>
      </w:r>
      <w:r w:rsidRPr="00306677">
        <w:tab/>
      </w:r>
      <w:r w:rsidR="00436363">
        <w:rPr>
          <w:noProof/>
        </w:rPr>
        <w:t>Management mode(s) planned</w:t>
      </w:r>
      <w:r w:rsidR="00436363">
        <w:rPr>
          <w:rStyle w:val="FootnoteReference"/>
          <w:noProof/>
        </w:rPr>
        <w:footnoteReference w:id="49"/>
      </w:r>
      <w:bookmarkEnd w:id="83"/>
      <w:bookmarkEnd w:id="84"/>
      <w:bookmarkEnd w:id="85"/>
      <w:r w:rsidR="00436363">
        <w:rPr>
          <w:rStyle w:val="FootnoteReference"/>
          <w:noProof/>
        </w:rPr>
        <w:t xml:space="preserve"> </w:t>
      </w:r>
    </w:p>
    <w:p w14:paraId="5AAD995E" w14:textId="77777777" w:rsidR="00ED2926" w:rsidRDefault="00ED2926" w:rsidP="00ED2926">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14:paraId="50E182D0" w14:textId="77777777" w:rsidR="00ED2926" w:rsidRDefault="00ED2926" w:rsidP="00ED2926">
      <w:pPr>
        <w:pStyle w:val="ListDash2"/>
        <w:rPr>
          <w:noProof/>
        </w:rPr>
      </w:pPr>
      <w:r>
        <w:rPr>
          <w:noProof/>
        </w:rPr>
        <w:sym w:font="Wingdings" w:char="F0A8"/>
      </w:r>
      <w:r>
        <w:rPr>
          <w:noProof/>
        </w:rPr>
        <w:tab/>
        <w:t xml:space="preserve">executive agencies </w:t>
      </w:r>
    </w:p>
    <w:p w14:paraId="76645354" w14:textId="77777777" w:rsidR="00ED2926" w:rsidRDefault="00ED2926" w:rsidP="00ED2926">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14:paraId="01DDC1B1" w14:textId="77777777" w:rsidR="00ED2926" w:rsidRDefault="00ED2926" w:rsidP="00ED2926">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14:paraId="335C66AA" w14:textId="77777777" w:rsidR="00ED2926" w:rsidRDefault="00ED2926" w:rsidP="00ED2926">
      <w:pPr>
        <w:pStyle w:val="Text1"/>
        <w:rPr>
          <w:noProof/>
        </w:rPr>
      </w:pPr>
      <w:r>
        <w:rPr>
          <w:noProof/>
        </w:rPr>
        <w:sym w:font="Wingdings" w:char="F0A8"/>
      </w:r>
      <w:r>
        <w:rPr>
          <w:noProof/>
        </w:rPr>
        <w:t xml:space="preserve"> international organisations and their agencies (to be specified);</w:t>
      </w:r>
    </w:p>
    <w:p w14:paraId="7ADB468C" w14:textId="77777777" w:rsidR="00ED2926" w:rsidRDefault="00ED2926" w:rsidP="00ED2926">
      <w:pPr>
        <w:pStyle w:val="Text1"/>
        <w:rPr>
          <w:noProof/>
        </w:rPr>
      </w:pPr>
      <w:r>
        <w:rPr>
          <w:noProof/>
        </w:rPr>
        <w:sym w:font="Wingdings" w:char="F0A8"/>
      </w:r>
      <w:r>
        <w:rPr>
          <w:noProof/>
        </w:rPr>
        <w:t>the EIB and the European Investment Fund;</w:t>
      </w:r>
    </w:p>
    <w:p w14:paraId="492E61F1" w14:textId="77777777" w:rsidR="00ED2926" w:rsidRDefault="00ED2926" w:rsidP="00ED2926">
      <w:pPr>
        <w:pStyle w:val="Text1"/>
        <w:rPr>
          <w:noProof/>
        </w:rPr>
      </w:pPr>
      <w:r>
        <w:rPr>
          <w:noProof/>
        </w:rPr>
        <w:sym w:font="Wingdings" w:char="F0FE"/>
      </w:r>
      <w:r>
        <w:rPr>
          <w:noProof/>
        </w:rPr>
        <w:t xml:space="preserve"> bodies referred to in Articles 70 and 71;</w:t>
      </w:r>
    </w:p>
    <w:p w14:paraId="137048C6" w14:textId="77777777" w:rsidR="00ED2926" w:rsidRDefault="00ED2926" w:rsidP="00ED2926">
      <w:pPr>
        <w:pStyle w:val="Text1"/>
        <w:rPr>
          <w:noProof/>
        </w:rPr>
      </w:pPr>
      <w:r>
        <w:rPr>
          <w:noProof/>
        </w:rPr>
        <w:sym w:font="Wingdings" w:char="F0A8"/>
      </w:r>
      <w:r>
        <w:rPr>
          <w:noProof/>
        </w:rPr>
        <w:t xml:space="preserve"> public law bodies;</w:t>
      </w:r>
    </w:p>
    <w:p w14:paraId="55A48ED3" w14:textId="77777777" w:rsidR="00ED2926" w:rsidRDefault="00ED2926" w:rsidP="00ED2926">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14:paraId="250805A7" w14:textId="77777777" w:rsidR="00ED2926" w:rsidRDefault="00ED2926" w:rsidP="00ED2926">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14:paraId="3FCD98B5" w14:textId="77777777" w:rsidR="00ED2926" w:rsidRDefault="00ED2926" w:rsidP="00ED2926">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14:paraId="4D6824B4" w14:textId="77777777" w:rsidR="00ED2926" w:rsidRDefault="00436363" w:rsidP="00ED2926">
      <w:pPr>
        <w:rPr>
          <w:noProof/>
        </w:rPr>
      </w:pPr>
      <w:r>
        <w:rPr>
          <w:noProof/>
        </w:rPr>
        <w:t xml:space="preserve">Comments </w:t>
      </w:r>
    </w:p>
    <w:p w14:paraId="2F54FC23" w14:textId="4F5900C0" w:rsidR="00ED2926" w:rsidRPr="00A40772" w:rsidRDefault="00ED2926" w:rsidP="00ED2926">
      <w:pPr>
        <w:pBdr>
          <w:top w:val="single" w:sz="4" w:space="1" w:color="auto"/>
          <w:left w:val="single" w:sz="4" w:space="4" w:color="auto"/>
          <w:bottom w:val="single" w:sz="4" w:space="1" w:color="auto"/>
          <w:right w:val="single" w:sz="4" w:space="4" w:color="auto"/>
        </w:pBdr>
        <w:rPr>
          <w:noProof/>
        </w:rPr>
      </w:pPr>
      <w:r w:rsidRPr="00A40772">
        <w:rPr>
          <w:noProof/>
        </w:rPr>
        <w:t xml:space="preserve">The figures on financial and human resources combine the foreseen total amount for </w:t>
      </w:r>
      <w:r>
        <w:rPr>
          <w:noProof/>
        </w:rPr>
        <w:t xml:space="preserve">the implementation of the CTR, the new CMS and other requirements steming from the Digital Criminal Justice </w:t>
      </w:r>
      <w:r w:rsidRPr="00A40772">
        <w:rPr>
          <w:noProof/>
        </w:rPr>
        <w:t>p</w:t>
      </w:r>
      <w:r>
        <w:rPr>
          <w:noProof/>
        </w:rPr>
        <w:t xml:space="preserve">lanned for the period between </w:t>
      </w:r>
      <w:r w:rsidRPr="008E168D">
        <w:rPr>
          <w:noProof/>
        </w:rPr>
        <w:t xml:space="preserve">2024 and </w:t>
      </w:r>
      <w:r w:rsidR="00AC6533" w:rsidRPr="008E168D">
        <w:rPr>
          <w:noProof/>
        </w:rPr>
        <w:t>2027</w:t>
      </w:r>
      <w:r w:rsidRPr="008E168D">
        <w:rPr>
          <w:noProof/>
        </w:rPr>
        <w:t xml:space="preserve">, minus the </w:t>
      </w:r>
      <w:r w:rsidR="00553E3B" w:rsidRPr="008E168D">
        <w:rPr>
          <w:noProof/>
        </w:rPr>
        <w:t xml:space="preserve">EUR </w:t>
      </w:r>
      <w:r w:rsidR="00345DDD" w:rsidRPr="008E168D">
        <w:rPr>
          <w:noProof/>
        </w:rPr>
        <w:t>9,5</w:t>
      </w:r>
      <w:r w:rsidRPr="008E168D">
        <w:rPr>
          <w:noProof/>
        </w:rPr>
        <w:t xml:space="preserve"> </w:t>
      </w:r>
      <w:r w:rsidR="00553E3B" w:rsidRPr="008E168D">
        <w:rPr>
          <w:noProof/>
        </w:rPr>
        <w:t>million</w:t>
      </w:r>
      <w:r w:rsidRPr="008E168D">
        <w:rPr>
          <w:noProof/>
        </w:rPr>
        <w:t xml:space="preserve"> </w:t>
      </w:r>
      <w:r w:rsidR="002710AC" w:rsidRPr="008E168D">
        <w:rPr>
          <w:noProof/>
        </w:rPr>
        <w:t>already</w:t>
      </w:r>
      <w:r w:rsidRPr="008E168D">
        <w:rPr>
          <w:noProof/>
        </w:rPr>
        <w:t xml:space="preserve"> allocated to Eurojust in the second half of 2021. It includes additional financial needs for technical implementation (including operative and maintenance costs) as well as staff requirements.</w:t>
      </w:r>
      <w:r w:rsidR="00553E3B" w:rsidRPr="008E168D">
        <w:rPr>
          <w:noProof/>
          <w:color w:val="00B050"/>
        </w:rPr>
        <w:t xml:space="preserve"> </w:t>
      </w:r>
      <w:r w:rsidR="00553E3B" w:rsidRPr="008E168D">
        <w:rPr>
          <w:noProof/>
          <w:color w:val="0000FF"/>
        </w:rPr>
        <w:t>The costs for the CMS include the CTR because the CTR is to be i</w:t>
      </w:r>
      <w:r w:rsidR="00553E3B" w:rsidRPr="00553E3B">
        <w:rPr>
          <w:noProof/>
          <w:color w:val="0000FF"/>
        </w:rPr>
        <w:t xml:space="preserve">ntegral part of the CMS. This technical integration of the CTR is one of the objectives of the initiative. In addition, the new CMS is supposed to include e.g. an integration layer, </w:t>
      </w:r>
      <w:r w:rsidR="002710AC">
        <w:rPr>
          <w:noProof/>
          <w:color w:val="0000FF"/>
        </w:rPr>
        <w:t>which ensures interoperability as required in the Digital Criminal Justice</w:t>
      </w:r>
      <w:r w:rsidR="00553E3B" w:rsidRPr="00553E3B">
        <w:rPr>
          <w:noProof/>
          <w:color w:val="0000FF"/>
        </w:rPr>
        <w:t xml:space="preserve"> study.</w:t>
      </w:r>
    </w:p>
    <w:p w14:paraId="08F710B2" w14:textId="2CE2B811" w:rsidR="00ED2926" w:rsidRDefault="00ED2926" w:rsidP="000F0981">
      <w:pPr>
        <w:rPr>
          <w:noProof/>
        </w:rPr>
      </w:pPr>
    </w:p>
    <w:p w14:paraId="09484054" w14:textId="77777777" w:rsidR="00436363" w:rsidRPr="00ED2926" w:rsidRDefault="00ED2926" w:rsidP="00ED2926">
      <w:pPr>
        <w:tabs>
          <w:tab w:val="left" w:pos="768"/>
        </w:tabs>
        <w:rPr>
          <w:noProof/>
        </w:rPr>
        <w:sectPr w:rsidR="00436363" w:rsidRPr="00ED2926" w:rsidSect="00A618F2">
          <w:pgSz w:w="11907" w:h="16840" w:code="9"/>
          <w:pgMar w:top="1134" w:right="1418" w:bottom="1134" w:left="1418" w:header="709" w:footer="709" w:gutter="0"/>
          <w:cols w:space="708"/>
          <w:docGrid w:linePitch="360"/>
        </w:sectPr>
      </w:pPr>
      <w:r>
        <w:rPr>
          <w:noProof/>
        </w:rPr>
        <w:tab/>
      </w:r>
    </w:p>
    <w:p w14:paraId="33D88AD1" w14:textId="72A34A87" w:rsidR="00436363" w:rsidRDefault="00306677" w:rsidP="00306677">
      <w:pPr>
        <w:pStyle w:val="ManualHeading1"/>
        <w:rPr>
          <w:bCs/>
          <w:noProof/>
          <w:szCs w:val="24"/>
        </w:rPr>
      </w:pPr>
      <w:bookmarkStart w:id="86" w:name="_Toc514938041"/>
      <w:bookmarkStart w:id="87" w:name="_Toc520485042"/>
      <w:bookmarkStart w:id="88" w:name="_Toc84517589"/>
      <w:r w:rsidRPr="00306677">
        <w:t>2.</w:t>
      </w:r>
      <w:r w:rsidRPr="00306677">
        <w:tab/>
      </w:r>
      <w:r w:rsidR="00436363">
        <w:rPr>
          <w:noProof/>
        </w:rPr>
        <w:t>MANAGEMENT MEASURES</w:t>
      </w:r>
      <w:bookmarkEnd w:id="86"/>
      <w:bookmarkEnd w:id="87"/>
      <w:bookmarkEnd w:id="88"/>
      <w:r w:rsidR="00436363">
        <w:rPr>
          <w:noProof/>
        </w:rPr>
        <w:t xml:space="preserve"> </w:t>
      </w:r>
    </w:p>
    <w:p w14:paraId="15524587" w14:textId="46B3968C" w:rsidR="00436363" w:rsidRDefault="00306677" w:rsidP="00306677">
      <w:pPr>
        <w:pStyle w:val="ManualHeading2"/>
        <w:rPr>
          <w:noProof/>
        </w:rPr>
      </w:pPr>
      <w:bookmarkStart w:id="89" w:name="_Toc514938042"/>
      <w:bookmarkStart w:id="90" w:name="_Toc520485043"/>
      <w:bookmarkStart w:id="91" w:name="_Toc84517590"/>
      <w:r w:rsidRPr="00306677">
        <w:t>2.1.</w:t>
      </w:r>
      <w:r w:rsidRPr="00306677">
        <w:tab/>
      </w:r>
      <w:r w:rsidR="00436363">
        <w:rPr>
          <w:noProof/>
        </w:rPr>
        <w:t>Monitoring and reporting rules</w:t>
      </w:r>
      <w:bookmarkEnd w:id="89"/>
      <w:bookmarkEnd w:id="90"/>
      <w:bookmarkEnd w:id="91"/>
      <w:r w:rsidR="00436363">
        <w:rPr>
          <w:noProof/>
        </w:rPr>
        <w:t xml:space="preserve"> </w:t>
      </w:r>
    </w:p>
    <w:p w14:paraId="1041F81B" w14:textId="77777777" w:rsidR="004D3101" w:rsidRDefault="00436363" w:rsidP="004D3101">
      <w:pPr>
        <w:pStyle w:val="Text1"/>
        <w:rPr>
          <w:i/>
          <w:noProof/>
          <w:sz w:val="20"/>
        </w:rPr>
      </w:pPr>
      <w:r>
        <w:rPr>
          <w:i/>
          <w:noProof/>
          <w:sz w:val="20"/>
        </w:rPr>
        <w:t>Specify frequency and conditions.</w:t>
      </w:r>
    </w:p>
    <w:p w14:paraId="4DD7CFCA" w14:textId="77777777" w:rsidR="004D3101" w:rsidRDefault="004D3101" w:rsidP="004D3101">
      <w:pPr>
        <w:pStyle w:val="Text1"/>
        <w:pBdr>
          <w:top w:val="single" w:sz="4" w:space="1" w:color="auto"/>
          <w:left w:val="single" w:sz="4" w:space="4" w:color="auto"/>
          <w:bottom w:val="single" w:sz="4" w:space="1" w:color="auto"/>
          <w:right w:val="single" w:sz="4" w:space="4" w:color="auto"/>
        </w:pBdr>
        <w:rPr>
          <w:noProof/>
        </w:rPr>
      </w:pPr>
      <w:r w:rsidRPr="005F1CAD">
        <w:rPr>
          <w:noProof/>
          <w:color w:val="0000FF"/>
        </w:rPr>
        <w:t>Monitoring and evaluating the implementation of the</w:t>
      </w:r>
      <w:r>
        <w:rPr>
          <w:noProof/>
          <w:color w:val="0000FF"/>
        </w:rPr>
        <w:t xml:space="preserve"> digitalisation of the data exchange of the a</w:t>
      </w:r>
      <w:r w:rsidRPr="005F1CAD">
        <w:rPr>
          <w:noProof/>
          <w:color w:val="0000FF"/>
        </w:rPr>
        <w:t>gency will be important to ensure the effectiveness</w:t>
      </w:r>
      <w:r>
        <w:rPr>
          <w:noProof/>
          <w:color w:val="0000FF"/>
        </w:rPr>
        <w:t xml:space="preserve"> of Eurojust. The monitoring and reporting of the poposal will follow the principles outlined in the Eurojust Regulation</w:t>
      </w:r>
      <w:r>
        <w:rPr>
          <w:rStyle w:val="FootnoteReference"/>
          <w:noProof/>
          <w:color w:val="0000FF"/>
        </w:rPr>
        <w:footnoteReference w:id="50"/>
      </w:r>
      <w:r>
        <w:rPr>
          <w:noProof/>
          <w:color w:val="0000FF"/>
        </w:rPr>
        <w:t xml:space="preserve"> and in line with the Common Approach on decentralised agencies</w:t>
      </w:r>
      <w:r>
        <w:rPr>
          <w:rStyle w:val="FootnoteReference"/>
          <w:noProof/>
          <w:color w:val="0000FF"/>
        </w:rPr>
        <w:footnoteReference w:id="51"/>
      </w:r>
      <w:r>
        <w:rPr>
          <w:noProof/>
          <w:color w:val="0000FF"/>
        </w:rPr>
        <w:t>.</w:t>
      </w:r>
    </w:p>
    <w:p w14:paraId="6B4B6A1F" w14:textId="6768C15B" w:rsidR="004D31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5F1CAD">
        <w:rPr>
          <w:noProof/>
          <w:color w:val="0000FF"/>
        </w:rPr>
        <w:t xml:space="preserve">In addition to the horizontal governance rules applicable to agencies, </w:t>
      </w:r>
      <w:r w:rsidRPr="00004381">
        <w:rPr>
          <w:noProof/>
          <w:color w:val="0000FF"/>
        </w:rPr>
        <w:t xml:space="preserve">Eurojust must notably send each year to the Commission, the European Parliament and the Council a Single Programming Document (SPD) containing multi-annual and annual work programmes and resources programming. The SPD sets out the objectives, expected results and performance indicators to monitor the achievement of the objectives and the results. </w:t>
      </w:r>
    </w:p>
    <w:p w14:paraId="47331D20" w14:textId="77777777" w:rsidR="004D3101" w:rsidRDefault="004D3101" w:rsidP="004D3101">
      <w:pPr>
        <w:pStyle w:val="Text1"/>
        <w:pBdr>
          <w:top w:val="single" w:sz="4" w:space="1" w:color="auto"/>
          <w:left w:val="single" w:sz="4" w:space="4" w:color="auto"/>
          <w:bottom w:val="single" w:sz="4" w:space="1" w:color="auto"/>
          <w:right w:val="single" w:sz="4" w:space="4" w:color="auto"/>
        </w:pBdr>
        <w:rPr>
          <w:noProof/>
        </w:rPr>
      </w:pPr>
      <w:r w:rsidRPr="005F1CAD">
        <w:rPr>
          <w:noProof/>
          <w:color w:val="0000FF"/>
        </w:rPr>
        <w:t>Euro</w:t>
      </w:r>
      <w:r>
        <w:rPr>
          <w:noProof/>
          <w:color w:val="0000FF"/>
        </w:rPr>
        <w:t xml:space="preserve">just also reports on its work in an </w:t>
      </w:r>
      <w:r w:rsidRPr="005F1CAD">
        <w:rPr>
          <w:noProof/>
          <w:color w:val="0000FF"/>
        </w:rPr>
        <w:t xml:space="preserve">elaborate annual report. </w:t>
      </w:r>
      <w:r>
        <w:rPr>
          <w:noProof/>
          <w:color w:val="0000FF"/>
        </w:rPr>
        <w:t>Eurojust transmits this annual report to the Parliament</w:t>
      </w:r>
      <w:r>
        <w:rPr>
          <w:noProof/>
        </w:rPr>
        <w:t xml:space="preserve">, to the Council and to national parliaments. In addition, Eurojust informs the parliament and the national parliaments </w:t>
      </w:r>
      <w:r w:rsidRPr="00E03828">
        <w:rPr>
          <w:noProof/>
        </w:rPr>
        <w:t>on working arrangemen</w:t>
      </w:r>
      <w:r>
        <w:rPr>
          <w:noProof/>
        </w:rPr>
        <w:t>ts concluded with third parties</w:t>
      </w:r>
      <w:r w:rsidRPr="00E03828">
        <w:rPr>
          <w:noProof/>
        </w:rPr>
        <w:t xml:space="preserve">. </w:t>
      </w:r>
    </w:p>
    <w:p w14:paraId="0EF123D4" w14:textId="77777777" w:rsidR="004D3101" w:rsidRDefault="004D3101" w:rsidP="004D3101">
      <w:pPr>
        <w:pStyle w:val="Text1"/>
        <w:pBdr>
          <w:top w:val="single" w:sz="4" w:space="1" w:color="auto"/>
          <w:left w:val="single" w:sz="4" w:space="4" w:color="auto"/>
          <w:bottom w:val="single" w:sz="4" w:space="1" w:color="auto"/>
          <w:right w:val="single" w:sz="4" w:space="4" w:color="auto"/>
        </w:pBdr>
        <w:rPr>
          <w:noProof/>
        </w:rPr>
      </w:pPr>
      <w:r w:rsidRPr="00E03828">
        <w:rPr>
          <w:noProof/>
        </w:rPr>
        <w:t>An external independent evaluation of the implementation of the</w:t>
      </w:r>
      <w:r>
        <w:rPr>
          <w:noProof/>
        </w:rPr>
        <w:t xml:space="preserve"> Regulation and the activities of Eurojust shall </w:t>
      </w:r>
      <w:r w:rsidRPr="00E03828">
        <w:rPr>
          <w:noProof/>
        </w:rPr>
        <w:t xml:space="preserve">be commissioned by the Commission </w:t>
      </w:r>
      <w:r>
        <w:rPr>
          <w:noProof/>
        </w:rPr>
        <w:t xml:space="preserve">by 13 December 2024 </w:t>
      </w:r>
      <w:r w:rsidRPr="00E03828">
        <w:rPr>
          <w:noProof/>
        </w:rPr>
        <w:t>and every five years thereafter</w:t>
      </w:r>
      <w:r>
        <w:rPr>
          <w:noProof/>
        </w:rPr>
        <w:t xml:space="preserve"> in order to evaluate the implementation and impact of the regulatiomn and the effectiveness and efficiency of Eurojust, Article 69 (1) of the Eurojust Regulation.</w:t>
      </w:r>
    </w:p>
    <w:p w14:paraId="53F82F44" w14:textId="77777777" w:rsidR="004D3101" w:rsidRDefault="004D3101" w:rsidP="004D3101">
      <w:pPr>
        <w:pStyle w:val="Text1"/>
        <w:ind w:left="0"/>
        <w:rPr>
          <w:i/>
          <w:noProof/>
          <w:sz w:val="20"/>
        </w:rPr>
      </w:pPr>
    </w:p>
    <w:p w14:paraId="733A26D5" w14:textId="418FDA39" w:rsidR="00436363" w:rsidRDefault="00306677" w:rsidP="00306677">
      <w:pPr>
        <w:pStyle w:val="ManualHeading2"/>
        <w:rPr>
          <w:bCs/>
          <w:noProof/>
          <w:szCs w:val="24"/>
        </w:rPr>
      </w:pPr>
      <w:bookmarkStart w:id="92" w:name="_Toc514938045"/>
      <w:bookmarkStart w:id="93" w:name="_Toc520485044"/>
      <w:bookmarkStart w:id="94" w:name="_Toc84517591"/>
      <w:r w:rsidRPr="00306677">
        <w:t>2.2.</w:t>
      </w:r>
      <w:r w:rsidRPr="00306677">
        <w:tab/>
      </w:r>
      <w:r w:rsidR="00436363">
        <w:rPr>
          <w:noProof/>
        </w:rPr>
        <w:t>Management and control system(s)</w:t>
      </w:r>
      <w:bookmarkEnd w:id="92"/>
      <w:bookmarkEnd w:id="93"/>
      <w:bookmarkEnd w:id="94"/>
      <w:r w:rsidR="00436363">
        <w:rPr>
          <w:noProof/>
        </w:rPr>
        <w:t xml:space="preserve"> </w:t>
      </w:r>
    </w:p>
    <w:p w14:paraId="18F09F22" w14:textId="781E7EFE" w:rsidR="004D3101" w:rsidRDefault="00306677" w:rsidP="00306677">
      <w:pPr>
        <w:pStyle w:val="ManualHeading3"/>
        <w:rPr>
          <w:noProof/>
        </w:rPr>
      </w:pPr>
      <w:bookmarkStart w:id="95" w:name="_Toc514938046"/>
      <w:bookmarkStart w:id="96" w:name="_Toc520485045"/>
      <w:bookmarkStart w:id="97" w:name="_Toc84517592"/>
      <w:r w:rsidRPr="00306677">
        <w:t>2.2.1.</w:t>
      </w:r>
      <w:r w:rsidRPr="00306677">
        <w:tab/>
      </w:r>
      <w:r w:rsidR="00436363">
        <w:rPr>
          <w:noProof/>
        </w:rPr>
        <w:t>Justification of the management mode(s), the funding implementation mechanism(s), the payment modalities and the control strategy proposed</w:t>
      </w:r>
      <w:bookmarkStart w:id="98" w:name="_Toc514938047"/>
      <w:bookmarkStart w:id="99" w:name="_Toc520485046"/>
      <w:bookmarkEnd w:id="95"/>
      <w:bookmarkEnd w:id="96"/>
      <w:bookmarkEnd w:id="97"/>
    </w:p>
    <w:p w14:paraId="6215A89A" w14:textId="77777777" w:rsidR="004D31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004381">
        <w:rPr>
          <w:noProof/>
          <w:color w:val="0000FF"/>
        </w:rPr>
        <w:t>Considering that the proposal impacts the annual EU contribution to Euro</w:t>
      </w:r>
      <w:r>
        <w:rPr>
          <w:noProof/>
          <w:color w:val="0000FF"/>
        </w:rPr>
        <w:t>just</w:t>
      </w:r>
      <w:r w:rsidRPr="00004381">
        <w:rPr>
          <w:noProof/>
          <w:color w:val="0000FF"/>
        </w:rPr>
        <w:t xml:space="preserve">, the EU budget will be implemented via indirect management. </w:t>
      </w:r>
    </w:p>
    <w:p w14:paraId="73F20032" w14:textId="77777777" w:rsidR="004D31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004381">
        <w:rPr>
          <w:noProof/>
          <w:color w:val="0000FF"/>
        </w:rPr>
        <w:t>Pursuant to the principle of sound financial management, the budget of Euro</w:t>
      </w:r>
      <w:r>
        <w:rPr>
          <w:noProof/>
          <w:color w:val="0000FF"/>
        </w:rPr>
        <w:t>just</w:t>
      </w:r>
      <w:r w:rsidRPr="00004381">
        <w:rPr>
          <w:noProof/>
          <w:color w:val="0000FF"/>
        </w:rPr>
        <w:t xml:space="preserve"> shall be implemented in compliance with effective </w:t>
      </w:r>
      <w:r>
        <w:rPr>
          <w:noProof/>
          <w:color w:val="0000FF"/>
        </w:rPr>
        <w:t>and efficient internal control</w:t>
      </w:r>
      <w:r w:rsidRPr="00004381">
        <w:rPr>
          <w:noProof/>
          <w:color w:val="0000FF"/>
        </w:rPr>
        <w:t xml:space="preserve">. </w:t>
      </w:r>
    </w:p>
    <w:p w14:paraId="25FE7FB8" w14:textId="77777777" w:rsidR="004D31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004381">
        <w:rPr>
          <w:noProof/>
          <w:color w:val="0000FF"/>
        </w:rPr>
        <w:t>Regarding ex-post controls, Euro</w:t>
      </w:r>
      <w:r>
        <w:rPr>
          <w:noProof/>
          <w:color w:val="0000FF"/>
        </w:rPr>
        <w:t>just</w:t>
      </w:r>
      <w:r w:rsidRPr="00004381">
        <w:rPr>
          <w:noProof/>
          <w:color w:val="0000FF"/>
        </w:rPr>
        <w:t>, as a decentralise</w:t>
      </w:r>
      <w:r>
        <w:rPr>
          <w:noProof/>
          <w:color w:val="0000FF"/>
        </w:rPr>
        <w:t>d agency, is notably subject to</w:t>
      </w:r>
      <w:r w:rsidRPr="00004381">
        <w:rPr>
          <w:noProof/>
          <w:color w:val="0000FF"/>
        </w:rPr>
        <w:t xml:space="preserve">: </w:t>
      </w:r>
    </w:p>
    <w:p w14:paraId="2F766B92" w14:textId="591EAFF7" w:rsidR="004D3101" w:rsidRPr="006D131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6D1312">
        <w:rPr>
          <w:noProof/>
          <w:color w:val="0000FF"/>
        </w:rPr>
        <w:t>internal audit by the Internal Audit Service of the Commission;</w:t>
      </w:r>
    </w:p>
    <w:p w14:paraId="6D097C94" w14:textId="63DC33A4" w:rsidR="004D3101" w:rsidRPr="006D131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6D1312">
        <w:rPr>
          <w:noProof/>
          <w:color w:val="0000FF"/>
        </w:rPr>
        <w:t>annual reports by the European Court of Auditors, giving a statement of assurance as to the reliability of the annual accounts and the legality and regularity of the underlying transactions;</w:t>
      </w:r>
    </w:p>
    <w:p w14:paraId="1FFD30FB" w14:textId="33CF749B" w:rsidR="004D3101" w:rsidRPr="006D131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6D1312">
        <w:rPr>
          <w:noProof/>
          <w:color w:val="0000FF"/>
        </w:rPr>
        <w:t>annual discharge granted by the European Parliament;</w:t>
      </w:r>
    </w:p>
    <w:p w14:paraId="4F4CC05C" w14:textId="16240198" w:rsidR="004D3101" w:rsidRPr="006D131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6D1312">
        <w:rPr>
          <w:noProof/>
          <w:color w:val="0000FF"/>
        </w:rPr>
        <w:t>possible investigations conducted by OLAF to ensure, in particular, that the resources allocated to agencies are put to proper use;</w:t>
      </w:r>
    </w:p>
    <w:p w14:paraId="4E7C6595" w14:textId="42995DD5" w:rsidR="004D3101" w:rsidRPr="006D131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6D1312">
        <w:rPr>
          <w:noProof/>
          <w:color w:val="0000FF"/>
        </w:rPr>
        <w:t>finally, the European Ombudsman provides a further layer of control and accountability at Eurojust.</w:t>
      </w:r>
    </w:p>
    <w:p w14:paraId="1551EF01" w14:textId="6AD13D03" w:rsidR="007D50BA" w:rsidRDefault="00306677" w:rsidP="00306677">
      <w:pPr>
        <w:pStyle w:val="ManualHeading3"/>
        <w:rPr>
          <w:noProof/>
        </w:rPr>
      </w:pPr>
      <w:bookmarkStart w:id="100" w:name="_Toc84517593"/>
      <w:r w:rsidRPr="00306677">
        <w:t>2.2.2.</w:t>
      </w:r>
      <w:r w:rsidRPr="00306677">
        <w:tab/>
      </w:r>
      <w:r w:rsidR="00436363">
        <w:rPr>
          <w:noProof/>
        </w:rPr>
        <w:t>Information concerning the risks identified and the internal control system(s) set up to mitigate them</w:t>
      </w:r>
      <w:bookmarkEnd w:id="98"/>
      <w:bookmarkEnd w:id="99"/>
      <w:bookmarkEnd w:id="100"/>
    </w:p>
    <w:p w14:paraId="034AC618" w14:textId="77777777" w:rsidR="007D50BA" w:rsidRPr="007D50BA" w:rsidRDefault="007D50BA" w:rsidP="007D50BA">
      <w:pPr>
        <w:pStyle w:val="Text1"/>
        <w:pBdr>
          <w:top w:val="single" w:sz="4" w:space="1" w:color="auto"/>
          <w:left w:val="single" w:sz="4" w:space="4" w:color="auto"/>
          <w:bottom w:val="single" w:sz="4" w:space="0" w:color="auto"/>
          <w:right w:val="single" w:sz="4" w:space="4" w:color="auto"/>
        </w:pBdr>
        <w:rPr>
          <w:noProof/>
          <w:color w:val="0000FF"/>
        </w:rPr>
      </w:pPr>
      <w:r w:rsidRPr="00004381">
        <w:rPr>
          <w:noProof/>
        </w:rPr>
        <w:t>No specific risks in management and control systems were identified at this stage.</w:t>
      </w:r>
      <w:r>
        <w:rPr>
          <w:noProof/>
        </w:rPr>
        <w:t xml:space="preserve"> </w:t>
      </w:r>
      <w:r w:rsidRPr="006972D7">
        <w:rPr>
          <w:noProof/>
        </w:rPr>
        <w:t>Eurojust is subject to administrative controls including budgetary control, internal audit, annual reports by the European Court of Auditors and the annu</w:t>
      </w:r>
      <w:r>
        <w:rPr>
          <w:noProof/>
        </w:rPr>
        <w:t xml:space="preserve">al discharge for the execution </w:t>
      </w:r>
      <w:r w:rsidRPr="006972D7">
        <w:rPr>
          <w:noProof/>
        </w:rPr>
        <w:t>of the EU budget</w:t>
      </w:r>
      <w:r>
        <w:rPr>
          <w:noProof/>
        </w:rPr>
        <w:t xml:space="preserve"> as set out above.</w:t>
      </w:r>
    </w:p>
    <w:p w14:paraId="669E3A31" w14:textId="65EA5BD1" w:rsidR="00436363" w:rsidRDefault="00306677" w:rsidP="00306677">
      <w:pPr>
        <w:pStyle w:val="ManualHeading3"/>
        <w:rPr>
          <w:noProof/>
        </w:rPr>
      </w:pPr>
      <w:bookmarkStart w:id="101" w:name="_Toc514938048"/>
      <w:bookmarkStart w:id="102" w:name="_Toc520485047"/>
      <w:bookmarkStart w:id="103" w:name="_Toc84517594"/>
      <w:r w:rsidRPr="00306677">
        <w:t>2.2.3.</w:t>
      </w:r>
      <w:r w:rsidRPr="00306677">
        <w:tab/>
      </w:r>
      <w:r w:rsidR="00436363">
        <w:rPr>
          <w:noProof/>
        </w:rPr>
        <w:t>Estimation and justification of the cost-effectiveness of the controls (ratio of "control costs ÷ value of the related funds managed"), and assessment of the expected levels of risk of error (at payment &amp; at closure)</w:t>
      </w:r>
      <w:bookmarkEnd w:id="101"/>
      <w:bookmarkEnd w:id="102"/>
      <w:bookmarkEnd w:id="103"/>
      <w:r w:rsidR="00436363">
        <w:rPr>
          <w:noProof/>
        </w:rPr>
        <w:t xml:space="preserve"> </w:t>
      </w:r>
    </w:p>
    <w:p w14:paraId="5F2B61D6" w14:textId="77777777" w:rsidR="007D50BA" w:rsidRPr="00502794" w:rsidRDefault="007D50BA" w:rsidP="007D50BA">
      <w:pPr>
        <w:pBdr>
          <w:top w:val="single" w:sz="4" w:space="1" w:color="auto"/>
          <w:left w:val="single" w:sz="4" w:space="4" w:color="auto"/>
          <w:bottom w:val="single" w:sz="4" w:space="1" w:color="auto"/>
          <w:right w:val="single" w:sz="4" w:space="4" w:color="auto"/>
        </w:pBdr>
        <w:rPr>
          <w:noProof/>
          <w:color w:val="0000FF"/>
        </w:rPr>
      </w:pPr>
      <w:r w:rsidRPr="00502794">
        <w:rPr>
          <w:noProof/>
          <w:color w:val="0000FF"/>
        </w:rPr>
        <w:t>The ratio of “control costs/payment of the related funds managed” is reported on by the Commission. The 2020 AAR of DG JUST reports 0.74% for this ratio in relation to Indirect Management Entrusted Entities and Decentralised Agencies, including Eurojust.</w:t>
      </w:r>
    </w:p>
    <w:p w14:paraId="1E553F23" w14:textId="77777777" w:rsidR="007D50BA" w:rsidRPr="00502794" w:rsidRDefault="007D50BA" w:rsidP="007D50BA">
      <w:pPr>
        <w:pBdr>
          <w:top w:val="single" w:sz="4" w:space="1" w:color="auto"/>
          <w:left w:val="single" w:sz="4" w:space="4" w:color="auto"/>
          <w:bottom w:val="single" w:sz="4" w:space="1" w:color="auto"/>
          <w:right w:val="single" w:sz="4" w:space="4" w:color="auto"/>
        </w:pBdr>
        <w:rPr>
          <w:noProof/>
          <w:color w:val="0000FF"/>
        </w:rPr>
      </w:pPr>
    </w:p>
    <w:p w14:paraId="4763E6E0" w14:textId="77777777" w:rsidR="007D50BA" w:rsidRPr="002F68FE" w:rsidRDefault="007D50BA" w:rsidP="002F68FE">
      <w:pPr>
        <w:pBdr>
          <w:top w:val="single" w:sz="4" w:space="1" w:color="auto"/>
          <w:left w:val="single" w:sz="4" w:space="4" w:color="auto"/>
          <w:bottom w:val="single" w:sz="4" w:space="1" w:color="auto"/>
          <w:right w:val="single" w:sz="4" w:space="4" w:color="auto"/>
        </w:pBdr>
        <w:rPr>
          <w:noProof/>
          <w:color w:val="0000FF"/>
        </w:rPr>
      </w:pPr>
      <w:r w:rsidRPr="004E719A">
        <w:rPr>
          <w:noProof/>
          <w:color w:val="0000FF"/>
        </w:rPr>
        <w:t xml:space="preserve">The European Court of Auditors </w:t>
      </w:r>
      <w:r>
        <w:rPr>
          <w:noProof/>
          <w:color w:val="0000FF"/>
        </w:rPr>
        <w:t xml:space="preserve">(ECA) </w:t>
      </w:r>
      <w:r w:rsidRPr="004E719A">
        <w:rPr>
          <w:noProof/>
          <w:color w:val="0000FF"/>
        </w:rPr>
        <w:t>confirmed the legality and regularity of Eurojust</w:t>
      </w:r>
      <w:r>
        <w:rPr>
          <w:noProof/>
          <w:color w:val="0000FF"/>
        </w:rPr>
        <w:t>’s annual accounts for 2019</w:t>
      </w:r>
      <w:r w:rsidRPr="004E719A">
        <w:rPr>
          <w:noProof/>
          <w:color w:val="0000FF"/>
        </w:rPr>
        <w:t>, which implies an error rate below 2%. There are no indications that the error rate will worsen in the coming years.</w:t>
      </w:r>
      <w:r w:rsidRPr="00502794">
        <w:rPr>
          <w:noProof/>
          <w:color w:val="0000FF"/>
        </w:rPr>
        <w:t xml:space="preserve"> </w:t>
      </w:r>
      <w:r w:rsidRPr="00957C3E">
        <w:rPr>
          <w:noProof/>
          <w:color w:val="0000FF"/>
        </w:rPr>
        <w:t>For 2020 it is also provisionally confirmed based on the verification of the Eurojust annual accounts by an independent external auditor. ECA’s opinion on the reliability of the accounts is subject to confirmation by ECA of the reliability of the independent auditor’s results and it is still pending.</w:t>
      </w:r>
    </w:p>
    <w:p w14:paraId="5E9CEBF3" w14:textId="77777777" w:rsidR="007D50BA" w:rsidRPr="007D50BA" w:rsidRDefault="007D50BA" w:rsidP="007D50BA">
      <w:pPr>
        <w:pStyle w:val="Text1"/>
        <w:rPr>
          <w:noProof/>
        </w:rPr>
      </w:pPr>
    </w:p>
    <w:p w14:paraId="4514BB8B" w14:textId="41B20804" w:rsidR="00436363" w:rsidRDefault="00306677" w:rsidP="00306677">
      <w:pPr>
        <w:pStyle w:val="ManualHeading2"/>
        <w:rPr>
          <w:bCs/>
          <w:noProof/>
          <w:szCs w:val="24"/>
        </w:rPr>
      </w:pPr>
      <w:bookmarkStart w:id="104" w:name="_Toc514938049"/>
      <w:bookmarkStart w:id="105" w:name="_Toc520485048"/>
      <w:bookmarkStart w:id="106" w:name="_Toc84517595"/>
      <w:r w:rsidRPr="00306677">
        <w:t>2.3.</w:t>
      </w:r>
      <w:r w:rsidRPr="00306677">
        <w:tab/>
      </w:r>
      <w:r w:rsidR="00436363">
        <w:rPr>
          <w:noProof/>
        </w:rPr>
        <w:t>Measures to prevent fraud and irregularities</w:t>
      </w:r>
      <w:bookmarkEnd w:id="104"/>
      <w:bookmarkEnd w:id="105"/>
      <w:bookmarkEnd w:id="106"/>
      <w:r w:rsidR="00436363">
        <w:rPr>
          <w:noProof/>
        </w:rPr>
        <w:t xml:space="preserve"> </w:t>
      </w:r>
    </w:p>
    <w:p w14:paraId="476B9D69" w14:textId="77777777" w:rsidR="00436363" w:rsidRDefault="00436363" w:rsidP="00ED2926">
      <w:pPr>
        <w:pStyle w:val="Text1"/>
        <w:rPr>
          <w:i/>
          <w:noProof/>
          <w:sz w:val="20"/>
        </w:rPr>
      </w:pPr>
      <w:r>
        <w:rPr>
          <w:i/>
          <w:noProof/>
          <w:sz w:val="20"/>
        </w:rPr>
        <w:t>Specify existing or envisaged prevention and protection measures, e.g. from the Anti-Fraud Strategy.</w:t>
      </w:r>
    </w:p>
    <w:p w14:paraId="06829DCA" w14:textId="77777777" w:rsidR="007D50BA" w:rsidRDefault="007D50BA" w:rsidP="007D50BA">
      <w:pPr>
        <w:pStyle w:val="Text1"/>
        <w:pBdr>
          <w:top w:val="single" w:sz="4" w:space="1" w:color="auto"/>
          <w:left w:val="single" w:sz="4" w:space="31" w:color="auto"/>
          <w:bottom w:val="single" w:sz="4" w:space="1" w:color="auto"/>
          <w:right w:val="single" w:sz="4" w:space="4" w:color="auto"/>
        </w:pBdr>
        <w:ind w:left="720"/>
        <w:rPr>
          <w:noProof/>
        </w:rPr>
      </w:pPr>
      <w:r>
        <w:rPr>
          <w:noProof/>
        </w:rPr>
        <w:t xml:space="preserve">The measures related to combating fraud, corruption and other illegal activities are outlined, inter alia, in Article 75 Eurojust Regulation. </w:t>
      </w:r>
      <w:r w:rsidRPr="007849E3">
        <w:rPr>
          <w:noProof/>
          <w:color w:val="0000FF"/>
        </w:rPr>
        <w:t>Euro</w:t>
      </w:r>
      <w:r>
        <w:rPr>
          <w:noProof/>
          <w:color w:val="0000FF"/>
        </w:rPr>
        <w:t>just</w:t>
      </w:r>
      <w:r w:rsidRPr="007849E3">
        <w:rPr>
          <w:noProof/>
          <w:color w:val="0000FF"/>
        </w:rPr>
        <w:t xml:space="preserve"> shall notably participate in fraud prevention activities of the European Anti-fraud Office and inform the Commission without delay on cases of presumed fraud and other financial irregularities</w:t>
      </w:r>
    </w:p>
    <w:p w14:paraId="5BEBFD49" w14:textId="77777777" w:rsidR="00436363" w:rsidRDefault="00436363" w:rsidP="00ED2926">
      <w:pPr>
        <w:rPr>
          <w:noProof/>
        </w:rPr>
        <w:sectPr w:rsidR="00436363" w:rsidSect="00A618F2">
          <w:pgSz w:w="11907" w:h="16840" w:code="9"/>
          <w:pgMar w:top="1134" w:right="1418" w:bottom="1134" w:left="1418" w:header="709" w:footer="709" w:gutter="0"/>
          <w:cols w:space="708"/>
          <w:docGrid w:linePitch="360"/>
        </w:sectPr>
      </w:pPr>
    </w:p>
    <w:p w14:paraId="0760CE7D" w14:textId="3080365B" w:rsidR="00436363" w:rsidRDefault="00306677" w:rsidP="00306677">
      <w:pPr>
        <w:pStyle w:val="ManualHeading1"/>
        <w:rPr>
          <w:bCs/>
          <w:noProof/>
          <w:szCs w:val="24"/>
        </w:rPr>
      </w:pPr>
      <w:bookmarkStart w:id="107" w:name="_Toc514938050"/>
      <w:bookmarkStart w:id="108" w:name="_Toc520485049"/>
      <w:bookmarkStart w:id="109" w:name="_Toc84517596"/>
      <w:r w:rsidRPr="00306677">
        <w:t>3.</w:t>
      </w:r>
      <w:r w:rsidRPr="00306677">
        <w:tab/>
      </w:r>
      <w:r w:rsidR="00436363">
        <w:rPr>
          <w:noProof/>
        </w:rPr>
        <w:t>ESTIMATED FINANCIAL IMPACT OF THE PROPOSAL/INITIATIVE</w:t>
      </w:r>
      <w:bookmarkEnd w:id="107"/>
      <w:bookmarkEnd w:id="108"/>
      <w:bookmarkEnd w:id="109"/>
      <w:r w:rsidR="00436363">
        <w:rPr>
          <w:noProof/>
        </w:rPr>
        <w:t xml:space="preserve"> </w:t>
      </w:r>
    </w:p>
    <w:p w14:paraId="27DE3348" w14:textId="72B1F7E6" w:rsidR="00436363" w:rsidRDefault="00306677" w:rsidP="00306677">
      <w:pPr>
        <w:pStyle w:val="ManualHeading2"/>
        <w:rPr>
          <w:noProof/>
        </w:rPr>
      </w:pPr>
      <w:bookmarkStart w:id="110" w:name="_Toc514938051"/>
      <w:bookmarkStart w:id="111" w:name="_Toc520485050"/>
      <w:bookmarkStart w:id="112" w:name="_Toc84517597"/>
      <w:r w:rsidRPr="00306677">
        <w:t>3.1.</w:t>
      </w:r>
      <w:r w:rsidRPr="00306677">
        <w:tab/>
      </w:r>
      <w:r w:rsidR="00436363">
        <w:rPr>
          <w:noProof/>
        </w:rPr>
        <w:t>Heading(s) of the multiannual financial framework and expenditure budget line(s) affected</w:t>
      </w:r>
      <w:bookmarkEnd w:id="110"/>
      <w:bookmarkEnd w:id="111"/>
      <w:bookmarkEnd w:id="112"/>
      <w:r w:rsidR="00436363">
        <w:rPr>
          <w:noProof/>
        </w:rPr>
        <w:t xml:space="preserve"> </w:t>
      </w:r>
    </w:p>
    <w:p w14:paraId="12620888" w14:textId="77777777" w:rsidR="00436363" w:rsidRDefault="00436363" w:rsidP="00917AAD">
      <w:pPr>
        <w:pStyle w:val="ListBullet1"/>
        <w:rPr>
          <w:noProof/>
        </w:rPr>
      </w:pPr>
      <w:r>
        <w:rPr>
          <w:noProof/>
        </w:rPr>
        <w:t xml:space="preserve">Existing budget lines </w:t>
      </w:r>
    </w:p>
    <w:p w14:paraId="55EE05CC" w14:textId="77777777" w:rsidR="00436363" w:rsidRDefault="00436363" w:rsidP="00ED2926">
      <w:pPr>
        <w:pStyle w:val="Text1"/>
        <w:rPr>
          <w:i/>
          <w:noProof/>
        </w:rPr>
      </w:pPr>
      <w:r w:rsidRPr="009B753E">
        <w:rPr>
          <w:i/>
          <w:noProof/>
          <w:u w:val="single"/>
        </w:rPr>
        <w:t>In order</w:t>
      </w:r>
      <w:r w:rsidRPr="009B753E">
        <w:rPr>
          <w:i/>
          <w:noProof/>
        </w:rPr>
        <w:t xml:space="preserve"> of multiannual financial framework headings and budget lines.</w:t>
      </w:r>
    </w:p>
    <w:p w14:paraId="27614C63" w14:textId="77777777" w:rsidR="00436363" w:rsidRDefault="00436363" w:rsidP="00ED2926">
      <w:pPr>
        <w:pStyle w:val="Text1"/>
        <w:rPr>
          <w:i/>
          <w:noProof/>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746"/>
      </w:tblGrid>
      <w:tr w:rsidR="00436363" w14:paraId="1D97BB16" w14:textId="77777777" w:rsidTr="006A0D14">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ABC2D4F" w14:textId="77777777" w:rsidR="00436363" w:rsidRDefault="00436363" w:rsidP="00ED2926">
            <w:pPr>
              <w:spacing w:before="60" w:after="60" w:line="276" w:lineRule="auto"/>
              <w:jc w:val="center"/>
              <w:rPr>
                <w:noProof/>
                <w:sz w:val="18"/>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0230426" w14:textId="77777777" w:rsidR="00436363" w:rsidRDefault="00436363" w:rsidP="00ED2926">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62CE1D" w14:textId="77777777" w:rsidR="00436363" w:rsidRDefault="00436363" w:rsidP="00ED2926">
            <w:pPr>
              <w:spacing w:before="60" w:after="60" w:line="276" w:lineRule="auto"/>
              <w:jc w:val="center"/>
              <w:rPr>
                <w:noProof/>
              </w:rPr>
            </w:pPr>
            <w:r>
              <w:rPr>
                <w:noProof/>
                <w:sz w:val="18"/>
              </w:rPr>
              <w:t xml:space="preserve">Type of </w:t>
            </w:r>
            <w:r>
              <w:rPr>
                <w:noProof/>
                <w:sz w:val="22"/>
              </w:rPr>
              <w:br/>
            </w:r>
            <w:r>
              <w:rPr>
                <w:noProof/>
                <w:sz w:val="18"/>
              </w:rPr>
              <w:t>expenditure</w:t>
            </w:r>
          </w:p>
        </w:tc>
        <w:tc>
          <w:tcPr>
            <w:tcW w:w="3738" w:type="dxa"/>
            <w:gridSpan w:val="4"/>
            <w:tcBorders>
              <w:top w:val="single" w:sz="4" w:space="0" w:color="auto"/>
              <w:left w:val="single" w:sz="4" w:space="0" w:color="auto"/>
              <w:bottom w:val="single" w:sz="4" w:space="0" w:color="auto"/>
              <w:right w:val="single" w:sz="4" w:space="0" w:color="auto"/>
            </w:tcBorders>
            <w:vAlign w:val="center"/>
            <w:hideMark/>
          </w:tcPr>
          <w:p w14:paraId="1B8A241A" w14:textId="77777777" w:rsidR="00436363" w:rsidRDefault="00436363" w:rsidP="00ED2926">
            <w:pPr>
              <w:spacing w:before="60" w:after="60" w:line="276" w:lineRule="auto"/>
              <w:jc w:val="center"/>
              <w:rPr>
                <w:noProof/>
              </w:rPr>
            </w:pPr>
            <w:r>
              <w:rPr>
                <w:noProof/>
                <w:sz w:val="20"/>
              </w:rPr>
              <w:t xml:space="preserve">Contribution </w:t>
            </w:r>
          </w:p>
        </w:tc>
      </w:tr>
      <w:tr w:rsidR="00436363" w:rsidRPr="009F1FBC" w14:paraId="32F74CA3" w14:textId="77777777" w:rsidTr="006A0D14">
        <w:tc>
          <w:tcPr>
            <w:tcW w:w="1080" w:type="dxa"/>
            <w:vMerge/>
            <w:tcBorders>
              <w:top w:val="single" w:sz="4" w:space="0" w:color="auto"/>
              <w:left w:val="single" w:sz="4" w:space="0" w:color="auto"/>
              <w:bottom w:val="single" w:sz="4" w:space="0" w:color="auto"/>
              <w:right w:val="single" w:sz="4" w:space="0" w:color="auto"/>
            </w:tcBorders>
            <w:vAlign w:val="center"/>
            <w:hideMark/>
          </w:tcPr>
          <w:p w14:paraId="60F0F2F6" w14:textId="77777777" w:rsidR="00436363" w:rsidRDefault="00436363" w:rsidP="00ED2926">
            <w:pPr>
              <w:spacing w:before="0" w:after="0" w:line="276" w:lineRule="auto"/>
              <w:jc w:val="left"/>
              <w:rPr>
                <w:noProof/>
                <w:sz w:val="18"/>
                <w:lang w:eastAsia="en-GB"/>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16A5BB82" w14:textId="77777777" w:rsidR="00436363" w:rsidRDefault="00436363" w:rsidP="00ED2926">
            <w:pPr>
              <w:spacing w:line="276" w:lineRule="auto"/>
              <w:rPr>
                <w:noProof/>
              </w:rPr>
            </w:pPr>
            <w:r>
              <w:rPr>
                <w:noProof/>
                <w:sz w:val="20"/>
              </w:rPr>
              <w:t xml:space="preserve">Number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6F173288" w14:textId="77777777" w:rsidR="00436363" w:rsidRDefault="00436363" w:rsidP="00ED2926">
            <w:pPr>
              <w:spacing w:line="276" w:lineRule="auto"/>
              <w:jc w:val="center"/>
              <w:rPr>
                <w:noProof/>
              </w:rPr>
            </w:pPr>
            <w:r w:rsidRPr="00805B56">
              <w:rPr>
                <w:noProof/>
                <w:sz w:val="18"/>
                <w:szCs w:val="18"/>
              </w:rPr>
              <w:t>Diff./Non-diff.</w:t>
            </w:r>
            <w:r w:rsidRPr="00805B56">
              <w:rPr>
                <w:rStyle w:val="FootnoteReference"/>
                <w:noProof/>
                <w:sz w:val="18"/>
                <w:szCs w:val="18"/>
              </w:rPr>
              <w:footnoteReference w:id="52"/>
            </w:r>
          </w:p>
        </w:tc>
        <w:tc>
          <w:tcPr>
            <w:tcW w:w="956" w:type="dxa"/>
            <w:tcBorders>
              <w:top w:val="single" w:sz="4" w:space="0" w:color="auto"/>
              <w:left w:val="single" w:sz="4" w:space="0" w:color="auto"/>
              <w:bottom w:val="single" w:sz="4" w:space="0" w:color="auto"/>
              <w:right w:val="single" w:sz="4" w:space="0" w:color="auto"/>
            </w:tcBorders>
            <w:vAlign w:val="center"/>
            <w:hideMark/>
          </w:tcPr>
          <w:p w14:paraId="67FA701C" w14:textId="77777777" w:rsidR="00436363" w:rsidRDefault="00436363" w:rsidP="00ED2926">
            <w:pPr>
              <w:spacing w:line="276" w:lineRule="auto"/>
              <w:jc w:val="center"/>
              <w:rPr>
                <w:noProof/>
              </w:rPr>
            </w:pPr>
            <w:r w:rsidRPr="00805B56">
              <w:rPr>
                <w:noProof/>
                <w:sz w:val="18"/>
                <w:szCs w:val="18"/>
              </w:rPr>
              <w:t>from EFTA countries</w:t>
            </w:r>
            <w:r w:rsidRPr="00805B56">
              <w:rPr>
                <w:rStyle w:val="FootnoteReference"/>
                <w:noProof/>
                <w:sz w:val="18"/>
                <w:szCs w:val="18"/>
              </w:rPr>
              <w:footnoteReference w:id="53"/>
            </w:r>
          </w:p>
        </w:tc>
        <w:tc>
          <w:tcPr>
            <w:tcW w:w="1080" w:type="dxa"/>
            <w:tcBorders>
              <w:top w:val="single" w:sz="4" w:space="0" w:color="auto"/>
              <w:left w:val="single" w:sz="4" w:space="0" w:color="auto"/>
              <w:bottom w:val="single" w:sz="4" w:space="0" w:color="auto"/>
              <w:right w:val="single" w:sz="4" w:space="0" w:color="auto"/>
            </w:tcBorders>
            <w:vAlign w:val="center"/>
            <w:hideMark/>
          </w:tcPr>
          <w:p w14:paraId="0DABC0CF" w14:textId="77777777" w:rsidR="00436363" w:rsidRDefault="00436363" w:rsidP="00ED2926">
            <w:pPr>
              <w:spacing w:line="276" w:lineRule="auto"/>
              <w:jc w:val="center"/>
              <w:rPr>
                <w:noProof/>
                <w:sz w:val="18"/>
              </w:rPr>
            </w:pPr>
            <w:r w:rsidRPr="00805B56">
              <w:rPr>
                <w:noProof/>
                <w:sz w:val="18"/>
                <w:szCs w:val="18"/>
              </w:rPr>
              <w:t>from candidate countries</w:t>
            </w:r>
            <w:r w:rsidRPr="00805B56">
              <w:rPr>
                <w:rStyle w:val="FootnoteReference"/>
                <w:noProof/>
                <w:sz w:val="18"/>
                <w:szCs w:val="18"/>
              </w:rPr>
              <w:footnoteReference w:id="54"/>
            </w:r>
          </w:p>
        </w:tc>
        <w:tc>
          <w:tcPr>
            <w:tcW w:w="956" w:type="dxa"/>
            <w:tcBorders>
              <w:top w:val="single" w:sz="4" w:space="0" w:color="auto"/>
              <w:left w:val="single" w:sz="4" w:space="0" w:color="auto"/>
              <w:bottom w:val="single" w:sz="4" w:space="0" w:color="auto"/>
              <w:right w:val="single" w:sz="4" w:space="0" w:color="auto"/>
            </w:tcBorders>
            <w:vAlign w:val="center"/>
            <w:hideMark/>
          </w:tcPr>
          <w:p w14:paraId="1110887D" w14:textId="77777777" w:rsidR="00436363" w:rsidRDefault="00436363" w:rsidP="00ED2926">
            <w:pPr>
              <w:spacing w:line="276" w:lineRule="auto"/>
              <w:jc w:val="center"/>
              <w:rPr>
                <w:noProof/>
                <w:sz w:val="18"/>
              </w:rPr>
            </w:pPr>
            <w:r>
              <w:rPr>
                <w:noProof/>
                <w:sz w:val="18"/>
              </w:rPr>
              <w:t>from third countries</w:t>
            </w:r>
          </w:p>
        </w:tc>
        <w:tc>
          <w:tcPr>
            <w:tcW w:w="746" w:type="dxa"/>
            <w:tcBorders>
              <w:top w:val="single" w:sz="4" w:space="0" w:color="auto"/>
              <w:left w:val="single" w:sz="4" w:space="0" w:color="auto"/>
              <w:bottom w:val="single" w:sz="4" w:space="0" w:color="auto"/>
              <w:right w:val="single" w:sz="4" w:space="0" w:color="auto"/>
            </w:tcBorders>
            <w:vAlign w:val="center"/>
            <w:hideMark/>
          </w:tcPr>
          <w:p w14:paraId="4250DB3B" w14:textId="77777777" w:rsidR="00436363" w:rsidRDefault="00436363" w:rsidP="00ED2926">
            <w:pPr>
              <w:spacing w:line="276" w:lineRule="auto"/>
              <w:jc w:val="center"/>
              <w:rPr>
                <w:noProof/>
                <w:sz w:val="16"/>
                <w:szCs w:val="16"/>
              </w:rPr>
            </w:pPr>
            <w:r>
              <w:rPr>
                <w:noProof/>
                <w:sz w:val="16"/>
                <w:szCs w:val="16"/>
              </w:rPr>
              <w:t xml:space="preserve">within the meaning of Article 21(2)(b) of the Financial Regulation </w:t>
            </w:r>
          </w:p>
        </w:tc>
      </w:tr>
      <w:tr w:rsidR="00436363" w14:paraId="092F114D" w14:textId="77777777" w:rsidTr="006A0D14">
        <w:tc>
          <w:tcPr>
            <w:tcW w:w="1080" w:type="dxa"/>
            <w:tcBorders>
              <w:top w:val="single" w:sz="4" w:space="0" w:color="auto"/>
              <w:left w:val="single" w:sz="4" w:space="0" w:color="auto"/>
              <w:bottom w:val="single" w:sz="4" w:space="0" w:color="auto"/>
              <w:right w:val="single" w:sz="4" w:space="0" w:color="auto"/>
            </w:tcBorders>
            <w:vAlign w:val="center"/>
            <w:hideMark/>
          </w:tcPr>
          <w:p w14:paraId="5443D9C3" w14:textId="6C2D5130" w:rsidR="00436363" w:rsidRDefault="00A838BB" w:rsidP="00ED2926">
            <w:pPr>
              <w:spacing w:line="276" w:lineRule="auto"/>
              <w:jc w:val="center"/>
              <w:rPr>
                <w:noProof/>
                <w:color w:val="0000FF"/>
              </w:rPr>
            </w:pPr>
            <w:r>
              <w:rPr>
                <w:noProof/>
                <w:color w:val="0000FF"/>
              </w:rPr>
              <w:t>2b</w:t>
            </w:r>
          </w:p>
        </w:tc>
        <w:tc>
          <w:tcPr>
            <w:tcW w:w="3960" w:type="dxa"/>
            <w:tcBorders>
              <w:top w:val="single" w:sz="4" w:space="0" w:color="auto"/>
              <w:left w:val="single" w:sz="4" w:space="0" w:color="auto"/>
              <w:bottom w:val="single" w:sz="4" w:space="0" w:color="auto"/>
              <w:right w:val="single" w:sz="4" w:space="0" w:color="auto"/>
            </w:tcBorders>
            <w:vAlign w:val="center"/>
          </w:tcPr>
          <w:p w14:paraId="4A05F1CB" w14:textId="77777777" w:rsidR="00436363" w:rsidRDefault="00436363" w:rsidP="00ED2926">
            <w:pPr>
              <w:spacing w:before="60" w:line="276" w:lineRule="auto"/>
              <w:rPr>
                <w:noProof/>
              </w:rPr>
            </w:pPr>
            <w:r>
              <w:rPr>
                <w:noProof/>
              </w:rPr>
              <w:t>071007</w:t>
            </w:r>
          </w:p>
          <w:p w14:paraId="6119DE6C" w14:textId="77777777" w:rsidR="00436363" w:rsidRDefault="00436363" w:rsidP="00ED2926">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876C1BB" w14:textId="77777777" w:rsidR="00436363" w:rsidRDefault="00436363" w:rsidP="00ED2926">
            <w:pPr>
              <w:spacing w:line="276" w:lineRule="auto"/>
              <w:jc w:val="center"/>
              <w:rPr>
                <w:noProof/>
                <w:color w:val="0000FF"/>
              </w:rPr>
            </w:pPr>
            <w:r>
              <w:rPr>
                <w:noProof/>
                <w:sz w:val="18"/>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3EF2FD5F" w14:textId="77777777" w:rsidR="00436363" w:rsidRPr="006A0D14" w:rsidRDefault="00436363" w:rsidP="006A0D14">
            <w:pPr>
              <w:spacing w:line="276" w:lineRule="auto"/>
              <w:jc w:val="center"/>
              <w:rPr>
                <w:noProof/>
                <w:sz w:val="20"/>
                <w:szCs w:val="20"/>
              </w:rPr>
            </w:pPr>
            <w:r w:rsidRPr="00805B56">
              <w:rPr>
                <w:noProof/>
                <w:sz w:val="20"/>
                <w:szCs w:val="20"/>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EF0892" w14:textId="77777777" w:rsidR="00436363" w:rsidRPr="006A0D14" w:rsidRDefault="00436363" w:rsidP="006A0D14">
            <w:pPr>
              <w:spacing w:line="276" w:lineRule="auto"/>
              <w:jc w:val="center"/>
              <w:rPr>
                <w:noProof/>
                <w:sz w:val="20"/>
                <w:szCs w:val="20"/>
              </w:rPr>
            </w:pPr>
            <w:r w:rsidRPr="00805B56">
              <w:rPr>
                <w:noProof/>
                <w:sz w:val="20"/>
                <w:szCs w:val="20"/>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0F288177" w14:textId="77777777" w:rsidR="00436363" w:rsidRPr="006A0D14" w:rsidRDefault="00436363" w:rsidP="006A0D14">
            <w:pPr>
              <w:spacing w:line="276" w:lineRule="auto"/>
              <w:jc w:val="center"/>
              <w:rPr>
                <w:noProof/>
                <w:sz w:val="20"/>
                <w:szCs w:val="20"/>
              </w:rPr>
            </w:pPr>
            <w:r w:rsidRPr="00805B56">
              <w:rPr>
                <w:noProof/>
                <w:sz w:val="20"/>
                <w:szCs w:val="20"/>
              </w:rPr>
              <w:t>YES</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FB5D17" w14:textId="77777777" w:rsidR="00436363" w:rsidRPr="006A0D14" w:rsidRDefault="00436363" w:rsidP="006A0D14">
            <w:pPr>
              <w:spacing w:line="276" w:lineRule="auto"/>
              <w:jc w:val="center"/>
              <w:rPr>
                <w:noProof/>
                <w:sz w:val="20"/>
                <w:szCs w:val="20"/>
              </w:rPr>
            </w:pPr>
            <w:r w:rsidRPr="00805B56">
              <w:rPr>
                <w:noProof/>
                <w:sz w:val="20"/>
                <w:szCs w:val="20"/>
              </w:rPr>
              <w:t>NO</w:t>
            </w:r>
          </w:p>
        </w:tc>
      </w:tr>
    </w:tbl>
    <w:p w14:paraId="6DB7778F" w14:textId="77777777" w:rsidR="00436363" w:rsidRPr="00436363" w:rsidRDefault="00436363" w:rsidP="00ED2926">
      <w:pPr>
        <w:pStyle w:val="Text1"/>
        <w:rPr>
          <w:noProof/>
        </w:rPr>
      </w:pPr>
    </w:p>
    <w:p w14:paraId="327298D1" w14:textId="77777777" w:rsidR="00436363" w:rsidRDefault="00436363" w:rsidP="00917AAD">
      <w:pPr>
        <w:pStyle w:val="ListBullet1"/>
        <w:rPr>
          <w:noProof/>
        </w:rPr>
      </w:pPr>
      <w:r>
        <w:rPr>
          <w:noProof/>
        </w:rPr>
        <w:t xml:space="preserve">New budget lines requested </w:t>
      </w:r>
    </w:p>
    <w:p w14:paraId="715D6B1B" w14:textId="77777777" w:rsidR="000217AE" w:rsidRDefault="000217AE" w:rsidP="000217AE">
      <w:pPr>
        <w:pStyle w:val="Text1"/>
        <w:rPr>
          <w:i/>
          <w:noProof/>
          <w:sz w:val="20"/>
        </w:rPr>
      </w:pPr>
      <w:r>
        <w:rPr>
          <w:noProof/>
          <w:u w:val="single"/>
        </w:rPr>
        <w:t>In order</w:t>
      </w:r>
      <w:r>
        <w:rPr>
          <w:noProof/>
        </w:rPr>
        <w:t xml:space="preserve"> of multiannual financial framework headings and budget lines.</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887"/>
      </w:tblGrid>
      <w:tr w:rsidR="000217AE" w14:paraId="3072DE4A" w14:textId="77777777" w:rsidTr="006A0D14">
        <w:tc>
          <w:tcPr>
            <w:tcW w:w="1080" w:type="dxa"/>
            <w:vMerge w:val="restart"/>
            <w:vAlign w:val="center"/>
          </w:tcPr>
          <w:p w14:paraId="27E2DB34" w14:textId="77777777" w:rsidR="000217AE" w:rsidRDefault="000217AE" w:rsidP="00B2088F">
            <w:pPr>
              <w:spacing w:before="60" w:after="60"/>
              <w:jc w:val="center"/>
              <w:rPr>
                <w:noProof/>
              </w:rPr>
            </w:pPr>
            <w:r>
              <w:rPr>
                <w:noProof/>
                <w:sz w:val="18"/>
              </w:rPr>
              <w:t>Heading of multiannual financial framework</w:t>
            </w:r>
          </w:p>
        </w:tc>
        <w:tc>
          <w:tcPr>
            <w:tcW w:w="3960" w:type="dxa"/>
            <w:vAlign w:val="center"/>
          </w:tcPr>
          <w:p w14:paraId="45001F0D" w14:textId="77777777" w:rsidR="000217AE" w:rsidRDefault="000217AE" w:rsidP="00B2088F">
            <w:pPr>
              <w:spacing w:before="60" w:after="60"/>
              <w:jc w:val="center"/>
              <w:rPr>
                <w:noProof/>
              </w:rPr>
            </w:pPr>
            <w:r>
              <w:rPr>
                <w:noProof/>
                <w:sz w:val="20"/>
              </w:rPr>
              <w:t>Budget line</w:t>
            </w:r>
          </w:p>
        </w:tc>
        <w:tc>
          <w:tcPr>
            <w:tcW w:w="1080" w:type="dxa"/>
            <w:vAlign w:val="center"/>
          </w:tcPr>
          <w:p w14:paraId="30B4024D" w14:textId="77777777" w:rsidR="000217AE" w:rsidRDefault="000217AE" w:rsidP="00B2088F">
            <w:pPr>
              <w:spacing w:before="60" w:after="60"/>
              <w:jc w:val="center"/>
              <w:rPr>
                <w:noProof/>
              </w:rPr>
            </w:pPr>
            <w:r>
              <w:rPr>
                <w:noProof/>
                <w:sz w:val="18"/>
              </w:rPr>
              <w:t>Type of</w:t>
            </w:r>
            <w:r>
              <w:rPr>
                <w:noProof/>
                <w:sz w:val="22"/>
              </w:rPr>
              <w:br/>
            </w:r>
            <w:r>
              <w:rPr>
                <w:noProof/>
                <w:sz w:val="18"/>
              </w:rPr>
              <w:t>expenditure</w:t>
            </w:r>
          </w:p>
        </w:tc>
        <w:tc>
          <w:tcPr>
            <w:tcW w:w="3879" w:type="dxa"/>
            <w:gridSpan w:val="4"/>
            <w:vAlign w:val="center"/>
          </w:tcPr>
          <w:p w14:paraId="04C90FE1" w14:textId="77777777" w:rsidR="000217AE" w:rsidRDefault="000217AE" w:rsidP="00B2088F">
            <w:pPr>
              <w:spacing w:before="60" w:after="60"/>
              <w:jc w:val="center"/>
              <w:rPr>
                <w:noProof/>
              </w:rPr>
            </w:pPr>
            <w:r>
              <w:rPr>
                <w:noProof/>
                <w:sz w:val="20"/>
              </w:rPr>
              <w:t xml:space="preserve">Contribution </w:t>
            </w:r>
          </w:p>
        </w:tc>
      </w:tr>
      <w:tr w:rsidR="000217AE" w14:paraId="5AE3AA54" w14:textId="77777777" w:rsidTr="006A0D14">
        <w:tc>
          <w:tcPr>
            <w:tcW w:w="1080" w:type="dxa"/>
            <w:vMerge/>
            <w:vAlign w:val="center"/>
          </w:tcPr>
          <w:p w14:paraId="41C69586" w14:textId="77777777" w:rsidR="000217AE" w:rsidRDefault="000217AE" w:rsidP="00B2088F">
            <w:pPr>
              <w:rPr>
                <w:noProof/>
              </w:rPr>
            </w:pPr>
          </w:p>
        </w:tc>
        <w:tc>
          <w:tcPr>
            <w:tcW w:w="3960" w:type="dxa"/>
            <w:vAlign w:val="center"/>
          </w:tcPr>
          <w:p w14:paraId="7A630AF2" w14:textId="77777777" w:rsidR="000217AE" w:rsidRPr="005828C6" w:rsidRDefault="000217AE" w:rsidP="00B2088F">
            <w:pPr>
              <w:rPr>
                <w:noProof/>
              </w:rPr>
            </w:pPr>
            <w:r>
              <w:rPr>
                <w:noProof/>
                <w:sz w:val="20"/>
              </w:rPr>
              <w:t xml:space="preserve">Number </w:t>
            </w:r>
            <w:r>
              <w:rPr>
                <w:noProof/>
                <w:sz w:val="22"/>
              </w:rPr>
              <w:br/>
            </w:r>
          </w:p>
        </w:tc>
        <w:tc>
          <w:tcPr>
            <w:tcW w:w="1080" w:type="dxa"/>
            <w:vAlign w:val="center"/>
          </w:tcPr>
          <w:p w14:paraId="44A7DAE1" w14:textId="77777777" w:rsidR="000217AE" w:rsidRDefault="000217AE" w:rsidP="00B2088F">
            <w:pPr>
              <w:jc w:val="center"/>
              <w:rPr>
                <w:noProof/>
              </w:rPr>
            </w:pPr>
            <w:r>
              <w:rPr>
                <w:noProof/>
                <w:sz w:val="18"/>
              </w:rPr>
              <w:t>Diff./non-diff.</w:t>
            </w:r>
          </w:p>
        </w:tc>
        <w:tc>
          <w:tcPr>
            <w:tcW w:w="956" w:type="dxa"/>
            <w:vAlign w:val="center"/>
          </w:tcPr>
          <w:p w14:paraId="7684B20B" w14:textId="77777777" w:rsidR="000217AE" w:rsidRDefault="000217AE" w:rsidP="00B2088F">
            <w:pPr>
              <w:jc w:val="center"/>
              <w:rPr>
                <w:noProof/>
                <w:sz w:val="18"/>
              </w:rPr>
            </w:pPr>
            <w:r>
              <w:rPr>
                <w:noProof/>
                <w:sz w:val="18"/>
              </w:rPr>
              <w:t>from EFTA countries</w:t>
            </w:r>
          </w:p>
        </w:tc>
        <w:tc>
          <w:tcPr>
            <w:tcW w:w="1080" w:type="dxa"/>
            <w:vAlign w:val="center"/>
          </w:tcPr>
          <w:p w14:paraId="5BAF34B3" w14:textId="77777777" w:rsidR="000217AE" w:rsidRDefault="000217AE" w:rsidP="00B2088F">
            <w:pPr>
              <w:jc w:val="center"/>
              <w:rPr>
                <w:noProof/>
                <w:sz w:val="18"/>
              </w:rPr>
            </w:pPr>
            <w:r>
              <w:rPr>
                <w:noProof/>
                <w:sz w:val="18"/>
              </w:rPr>
              <w:t>from candidate countries</w:t>
            </w:r>
          </w:p>
        </w:tc>
        <w:tc>
          <w:tcPr>
            <w:tcW w:w="956" w:type="dxa"/>
            <w:vAlign w:val="center"/>
          </w:tcPr>
          <w:p w14:paraId="6B8595A9" w14:textId="77777777" w:rsidR="000217AE" w:rsidRDefault="000217AE" w:rsidP="00B2088F">
            <w:pPr>
              <w:jc w:val="center"/>
              <w:rPr>
                <w:noProof/>
                <w:sz w:val="18"/>
              </w:rPr>
            </w:pPr>
            <w:r>
              <w:rPr>
                <w:noProof/>
                <w:sz w:val="18"/>
              </w:rPr>
              <w:t>from third countries</w:t>
            </w:r>
          </w:p>
        </w:tc>
        <w:tc>
          <w:tcPr>
            <w:tcW w:w="887" w:type="dxa"/>
            <w:vAlign w:val="center"/>
          </w:tcPr>
          <w:p w14:paraId="7ECB5E0A" w14:textId="77777777" w:rsidR="000217AE" w:rsidRDefault="000217AE" w:rsidP="00B2088F">
            <w:pPr>
              <w:jc w:val="center"/>
              <w:rPr>
                <w:noProof/>
              </w:rPr>
            </w:pPr>
            <w:r>
              <w:rPr>
                <w:noProof/>
                <w:sz w:val="16"/>
              </w:rPr>
              <w:t xml:space="preserve">within the meaning of Article 21(2)(b) of the Financial Regulation </w:t>
            </w:r>
          </w:p>
        </w:tc>
      </w:tr>
      <w:tr w:rsidR="000217AE" w14:paraId="5679B0CC" w14:textId="77777777" w:rsidTr="006A0D14">
        <w:tc>
          <w:tcPr>
            <w:tcW w:w="1080" w:type="dxa"/>
            <w:vAlign w:val="center"/>
          </w:tcPr>
          <w:p w14:paraId="6B0A4CBA" w14:textId="77777777" w:rsidR="000217AE" w:rsidRDefault="000217AE" w:rsidP="00B2088F">
            <w:pPr>
              <w:jc w:val="center"/>
              <w:rPr>
                <w:noProof/>
                <w:color w:val="0000FF"/>
              </w:rPr>
            </w:pPr>
          </w:p>
        </w:tc>
        <w:tc>
          <w:tcPr>
            <w:tcW w:w="3960" w:type="dxa"/>
            <w:vAlign w:val="center"/>
          </w:tcPr>
          <w:p w14:paraId="052E7136" w14:textId="77777777" w:rsidR="000217AE" w:rsidRPr="005828C6" w:rsidRDefault="000217AE" w:rsidP="00B2088F">
            <w:pPr>
              <w:spacing w:before="60"/>
              <w:rPr>
                <w:noProof/>
              </w:rPr>
            </w:pPr>
            <w:r w:rsidRPr="005828C6">
              <w:rPr>
                <w:noProof/>
              </w:rPr>
              <w:t>[XX.YY.YY.YY]</w:t>
            </w:r>
          </w:p>
          <w:p w14:paraId="61B9DEFC" w14:textId="77777777" w:rsidR="000217AE" w:rsidRDefault="000217AE" w:rsidP="00B2088F">
            <w:pPr>
              <w:spacing w:after="60"/>
              <w:rPr>
                <w:noProof/>
              </w:rPr>
            </w:pPr>
          </w:p>
        </w:tc>
        <w:tc>
          <w:tcPr>
            <w:tcW w:w="1080" w:type="dxa"/>
            <w:vAlign w:val="center"/>
          </w:tcPr>
          <w:p w14:paraId="32AC567E" w14:textId="77777777" w:rsidR="000217AE" w:rsidRDefault="000217AE" w:rsidP="00B2088F">
            <w:pPr>
              <w:jc w:val="center"/>
              <w:rPr>
                <w:noProof/>
                <w:color w:val="0000FF"/>
              </w:rPr>
            </w:pPr>
          </w:p>
        </w:tc>
        <w:tc>
          <w:tcPr>
            <w:tcW w:w="956" w:type="dxa"/>
            <w:vAlign w:val="center"/>
          </w:tcPr>
          <w:p w14:paraId="187EFDA9" w14:textId="77777777" w:rsidR="000217AE" w:rsidRPr="006A0D14" w:rsidRDefault="000217AE">
            <w:pPr>
              <w:jc w:val="center"/>
              <w:rPr>
                <w:noProof/>
                <w:sz w:val="20"/>
                <w:szCs w:val="20"/>
              </w:rPr>
            </w:pPr>
            <w:r w:rsidRPr="00805B56">
              <w:rPr>
                <w:noProof/>
                <w:sz w:val="20"/>
                <w:szCs w:val="20"/>
              </w:rPr>
              <w:t>YES/NO</w:t>
            </w:r>
          </w:p>
        </w:tc>
        <w:tc>
          <w:tcPr>
            <w:tcW w:w="1080" w:type="dxa"/>
            <w:vAlign w:val="center"/>
          </w:tcPr>
          <w:p w14:paraId="5AD606B9" w14:textId="77777777" w:rsidR="000217AE" w:rsidRPr="006A0D14" w:rsidRDefault="000217AE">
            <w:pPr>
              <w:jc w:val="center"/>
              <w:rPr>
                <w:noProof/>
                <w:color w:val="0000FF"/>
                <w:sz w:val="20"/>
                <w:szCs w:val="20"/>
              </w:rPr>
            </w:pPr>
            <w:r w:rsidRPr="00805B56">
              <w:rPr>
                <w:noProof/>
                <w:sz w:val="20"/>
                <w:szCs w:val="20"/>
              </w:rPr>
              <w:t>YES/NO</w:t>
            </w:r>
          </w:p>
        </w:tc>
        <w:tc>
          <w:tcPr>
            <w:tcW w:w="956" w:type="dxa"/>
            <w:vAlign w:val="center"/>
          </w:tcPr>
          <w:p w14:paraId="5FCCC83D" w14:textId="77777777" w:rsidR="000217AE" w:rsidRPr="006A0D14" w:rsidRDefault="000217AE">
            <w:pPr>
              <w:jc w:val="center"/>
              <w:rPr>
                <w:noProof/>
                <w:color w:val="0000FF"/>
                <w:sz w:val="20"/>
                <w:szCs w:val="20"/>
              </w:rPr>
            </w:pPr>
            <w:r w:rsidRPr="00805B56">
              <w:rPr>
                <w:noProof/>
                <w:sz w:val="20"/>
                <w:szCs w:val="20"/>
              </w:rPr>
              <w:t>YES/NO</w:t>
            </w:r>
          </w:p>
        </w:tc>
        <w:tc>
          <w:tcPr>
            <w:tcW w:w="887" w:type="dxa"/>
            <w:vAlign w:val="center"/>
          </w:tcPr>
          <w:p w14:paraId="4E2AAE9E" w14:textId="77777777" w:rsidR="000217AE" w:rsidRPr="006A0D14" w:rsidRDefault="000217AE">
            <w:pPr>
              <w:jc w:val="center"/>
              <w:rPr>
                <w:noProof/>
                <w:sz w:val="20"/>
                <w:szCs w:val="20"/>
              </w:rPr>
            </w:pPr>
            <w:r w:rsidRPr="00805B56">
              <w:rPr>
                <w:noProof/>
                <w:sz w:val="20"/>
                <w:szCs w:val="20"/>
              </w:rPr>
              <w:t>YES/NO</w:t>
            </w:r>
          </w:p>
        </w:tc>
      </w:tr>
    </w:tbl>
    <w:p w14:paraId="1580744E" w14:textId="77777777" w:rsidR="00436363" w:rsidRDefault="00436363" w:rsidP="00ED2926">
      <w:pPr>
        <w:rPr>
          <w:noProof/>
        </w:rPr>
        <w:sectPr w:rsidR="00436363" w:rsidSect="00A618F2">
          <w:pgSz w:w="11907" w:h="16840" w:code="1"/>
          <w:pgMar w:top="1134" w:right="1418" w:bottom="1134" w:left="1418" w:header="709" w:footer="709" w:gutter="0"/>
          <w:cols w:space="708"/>
          <w:docGrid w:linePitch="360"/>
        </w:sectPr>
      </w:pPr>
    </w:p>
    <w:p w14:paraId="7BFA80EA" w14:textId="18C257E0" w:rsidR="00436363" w:rsidRDefault="00306677" w:rsidP="00306677">
      <w:pPr>
        <w:pStyle w:val="ManualHeading2"/>
        <w:rPr>
          <w:bCs/>
          <w:noProof/>
          <w:szCs w:val="24"/>
        </w:rPr>
      </w:pPr>
      <w:bookmarkStart w:id="113" w:name="_Toc514938052"/>
      <w:bookmarkStart w:id="114" w:name="_Toc520485051"/>
      <w:bookmarkStart w:id="115" w:name="_Toc84517598"/>
      <w:r w:rsidRPr="00306677">
        <w:t>3.2.</w:t>
      </w:r>
      <w:r w:rsidRPr="00306677">
        <w:tab/>
      </w:r>
      <w:r w:rsidR="00436363">
        <w:rPr>
          <w:noProof/>
        </w:rPr>
        <w:t>Estimated financial impact of the proposal on appropriations</w:t>
      </w:r>
      <w:bookmarkEnd w:id="113"/>
      <w:bookmarkEnd w:id="114"/>
      <w:bookmarkEnd w:id="115"/>
      <w:r w:rsidR="00436363">
        <w:rPr>
          <w:noProof/>
        </w:rPr>
        <w:t xml:space="preserve"> </w:t>
      </w:r>
    </w:p>
    <w:p w14:paraId="54309422" w14:textId="69F93710" w:rsidR="00436363" w:rsidRDefault="00306677" w:rsidP="00306677">
      <w:pPr>
        <w:pStyle w:val="ManualHeading3"/>
        <w:rPr>
          <w:noProof/>
        </w:rPr>
      </w:pPr>
      <w:bookmarkStart w:id="116" w:name="_Toc514938053"/>
      <w:bookmarkStart w:id="117" w:name="_Toc520485052"/>
      <w:bookmarkStart w:id="118" w:name="_Toc84517599"/>
      <w:r w:rsidRPr="00306677">
        <w:t>3.2.1.</w:t>
      </w:r>
      <w:r w:rsidRPr="00306677">
        <w:tab/>
      </w:r>
      <w:r w:rsidR="00436363">
        <w:rPr>
          <w:noProof/>
        </w:rPr>
        <w:t>Summary of estimated impact on operational appropriations</w:t>
      </w:r>
      <w:bookmarkEnd w:id="116"/>
      <w:bookmarkEnd w:id="117"/>
      <w:bookmarkEnd w:id="118"/>
      <w:r w:rsidR="00436363">
        <w:rPr>
          <w:noProof/>
        </w:rPr>
        <w:t xml:space="preserve"> </w:t>
      </w:r>
    </w:p>
    <w:p w14:paraId="66AFB165" w14:textId="77777777" w:rsidR="00436363" w:rsidRDefault="00436363" w:rsidP="00917AAD">
      <w:pPr>
        <w:pStyle w:val="ListDash1"/>
        <w:rPr>
          <w:noProof/>
        </w:rPr>
      </w:pPr>
      <w:r>
        <w:rPr>
          <w:noProof/>
        </w:rPr>
        <w:sym w:font="Wingdings" w:char="F0A8"/>
      </w:r>
      <w:r>
        <w:rPr>
          <w:noProof/>
        </w:rPr>
        <w:tab/>
        <w:t xml:space="preserve">The proposal/initiative does not require the use of operational appropriations </w:t>
      </w:r>
    </w:p>
    <w:p w14:paraId="7D354FBF" w14:textId="6B208523" w:rsidR="00436363" w:rsidRDefault="002B3C40" w:rsidP="00917AAD">
      <w:pPr>
        <w:pStyle w:val="ListDash1"/>
        <w:rPr>
          <w:noProof/>
        </w:rPr>
      </w:pPr>
      <w:r>
        <w:rPr>
          <w:noProof/>
        </w:rPr>
        <w:sym w:font="Wingdings" w:char="F0FE"/>
      </w:r>
      <w:r w:rsidR="00436363">
        <w:rPr>
          <w:noProof/>
        </w:rPr>
        <w:t>The proposal/initiative requires the use of operational appropriations, as explained below:</w:t>
      </w:r>
    </w:p>
    <w:p w14:paraId="01414D59" w14:textId="77777777" w:rsidR="00436363" w:rsidRPr="001A68DA" w:rsidRDefault="00436363" w:rsidP="00ED2926">
      <w:pPr>
        <w:jc w:val="right"/>
        <w:rPr>
          <w:noProof/>
          <w:sz w:val="18"/>
          <w:szCs w:val="18"/>
        </w:rPr>
      </w:pPr>
      <w:r w:rsidRPr="007974DD">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462"/>
      </w:tblGrid>
      <w:tr w:rsidR="00436363" w14:paraId="6A4CB58F" w14:textId="77777777" w:rsidTr="006A0D14">
        <w:trPr>
          <w:jc w:val="center"/>
        </w:trPr>
        <w:tc>
          <w:tcPr>
            <w:tcW w:w="4744" w:type="dxa"/>
            <w:shd w:val="clear" w:color="auto" w:fill="auto"/>
            <w:vAlign w:val="center"/>
          </w:tcPr>
          <w:p w14:paraId="414105A8" w14:textId="77777777" w:rsidR="00436363" w:rsidRDefault="00436363" w:rsidP="00ED2926">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14:paraId="7682CBF4" w14:textId="77777777" w:rsidR="00436363" w:rsidRDefault="00436363" w:rsidP="00ED2926">
            <w:pPr>
              <w:spacing w:before="60" w:after="60"/>
              <w:jc w:val="center"/>
              <w:rPr>
                <w:noProof/>
              </w:rPr>
            </w:pPr>
            <w:r>
              <w:rPr>
                <w:noProof/>
                <w:sz w:val="22"/>
              </w:rPr>
              <w:t>Number</w:t>
            </w:r>
          </w:p>
        </w:tc>
        <w:tc>
          <w:tcPr>
            <w:tcW w:w="7462" w:type="dxa"/>
            <w:vAlign w:val="center"/>
          </w:tcPr>
          <w:p w14:paraId="12D757B7" w14:textId="77777777" w:rsidR="00436363" w:rsidRDefault="000217AE" w:rsidP="00ED2926">
            <w:pPr>
              <w:spacing w:before="60" w:after="60"/>
              <w:rPr>
                <w:noProof/>
              </w:rPr>
            </w:pPr>
            <w:r w:rsidRPr="005828C6">
              <w:rPr>
                <w:noProof/>
              </w:rPr>
              <w:t>Headin</w:t>
            </w:r>
            <w:r>
              <w:rPr>
                <w:noProof/>
              </w:rPr>
              <w:t>g 7-Investing in People, Social Cohesion and Values</w:t>
            </w:r>
          </w:p>
        </w:tc>
      </w:tr>
    </w:tbl>
    <w:p w14:paraId="1BDE23FD" w14:textId="77777777" w:rsidR="00436363" w:rsidRDefault="00436363" w:rsidP="00ED2926">
      <w:pPr>
        <w:rPr>
          <w:noProof/>
          <w:sz w:val="16"/>
        </w:rPr>
      </w:pPr>
    </w:p>
    <w:tbl>
      <w:tblPr>
        <w:tblW w:w="133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1440"/>
        <w:gridCol w:w="35"/>
        <w:gridCol w:w="619"/>
        <w:gridCol w:w="1369"/>
        <w:gridCol w:w="1369"/>
        <w:gridCol w:w="1369"/>
        <w:gridCol w:w="1369"/>
        <w:gridCol w:w="2551"/>
      </w:tblGrid>
      <w:tr w:rsidR="009A3AD8" w:rsidRPr="000217AE" w14:paraId="7C32E8C4" w14:textId="77777777" w:rsidTr="006A0D14">
        <w:tc>
          <w:tcPr>
            <w:tcW w:w="3203" w:type="dxa"/>
            <w:vAlign w:val="center"/>
          </w:tcPr>
          <w:p w14:paraId="3417701C" w14:textId="77777777" w:rsidR="009A3AD8" w:rsidRPr="000217AE" w:rsidRDefault="009A3AD8" w:rsidP="000217AE">
            <w:pPr>
              <w:jc w:val="center"/>
              <w:rPr>
                <w:noProof/>
                <w:lang w:eastAsia="en-GB"/>
              </w:rPr>
            </w:pPr>
            <w:r w:rsidRPr="160710AA">
              <w:rPr>
                <w:noProof/>
                <w:sz w:val="22"/>
                <w:lang w:eastAsia="en-GB"/>
              </w:rPr>
              <w:t xml:space="preserve">[Body]: </w:t>
            </w:r>
            <w:r w:rsidRPr="000217AE">
              <w:rPr>
                <w:noProof/>
                <w:lang w:eastAsia="en-GB"/>
              </w:rPr>
              <w:t>Eurojust</w:t>
            </w:r>
          </w:p>
        </w:tc>
        <w:tc>
          <w:tcPr>
            <w:tcW w:w="1475" w:type="dxa"/>
            <w:gridSpan w:val="2"/>
          </w:tcPr>
          <w:p w14:paraId="0234BBCA" w14:textId="77777777" w:rsidR="009A3AD8" w:rsidRPr="000217AE" w:rsidRDefault="009A3AD8" w:rsidP="000217AE">
            <w:pPr>
              <w:rPr>
                <w:noProof/>
                <w:sz w:val="20"/>
                <w:lang w:eastAsia="en-GB"/>
              </w:rPr>
            </w:pPr>
          </w:p>
        </w:tc>
        <w:tc>
          <w:tcPr>
            <w:tcW w:w="619" w:type="dxa"/>
          </w:tcPr>
          <w:p w14:paraId="3C14F126" w14:textId="77777777" w:rsidR="009A3AD8" w:rsidRPr="000217AE" w:rsidRDefault="009A3AD8" w:rsidP="000217AE">
            <w:pPr>
              <w:jc w:val="center"/>
              <w:rPr>
                <w:noProof/>
                <w:sz w:val="20"/>
                <w:lang w:eastAsia="en-GB"/>
              </w:rPr>
            </w:pPr>
          </w:p>
        </w:tc>
        <w:tc>
          <w:tcPr>
            <w:tcW w:w="1369" w:type="dxa"/>
            <w:vAlign w:val="center"/>
          </w:tcPr>
          <w:p w14:paraId="0A742490" w14:textId="77777777" w:rsidR="009A3AD8" w:rsidRPr="000217AE" w:rsidRDefault="009A3AD8"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2024</w:t>
            </w:r>
          </w:p>
        </w:tc>
        <w:tc>
          <w:tcPr>
            <w:tcW w:w="1369" w:type="dxa"/>
            <w:vAlign w:val="center"/>
          </w:tcPr>
          <w:p w14:paraId="24AB660E" w14:textId="77777777" w:rsidR="009A3AD8" w:rsidRPr="000217AE" w:rsidRDefault="009A3AD8"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2025</w:t>
            </w:r>
          </w:p>
        </w:tc>
        <w:tc>
          <w:tcPr>
            <w:tcW w:w="1369" w:type="dxa"/>
            <w:vAlign w:val="center"/>
          </w:tcPr>
          <w:p w14:paraId="5E76F456" w14:textId="77777777" w:rsidR="009A3AD8" w:rsidRPr="000217AE" w:rsidRDefault="009A3AD8"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2026</w:t>
            </w:r>
          </w:p>
        </w:tc>
        <w:tc>
          <w:tcPr>
            <w:tcW w:w="1369" w:type="dxa"/>
            <w:vAlign w:val="center"/>
          </w:tcPr>
          <w:p w14:paraId="14886B80" w14:textId="77777777" w:rsidR="009A3AD8" w:rsidRPr="000217AE" w:rsidRDefault="009A3AD8"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2027</w:t>
            </w:r>
          </w:p>
        </w:tc>
        <w:tc>
          <w:tcPr>
            <w:tcW w:w="2551" w:type="dxa"/>
            <w:vAlign w:val="center"/>
          </w:tcPr>
          <w:p w14:paraId="27B59571" w14:textId="77777777" w:rsidR="009A3AD8" w:rsidRPr="000217AE" w:rsidRDefault="009A3AD8" w:rsidP="000217AE">
            <w:pPr>
              <w:jc w:val="center"/>
              <w:rPr>
                <w:b/>
                <w:noProof/>
                <w:sz w:val="20"/>
                <w:lang w:eastAsia="en-GB"/>
              </w:rPr>
            </w:pPr>
            <w:r w:rsidRPr="000217AE">
              <w:rPr>
                <w:b/>
                <w:noProof/>
                <w:sz w:val="20"/>
                <w:lang w:eastAsia="en-GB"/>
              </w:rPr>
              <w:t>TOTAL</w:t>
            </w:r>
          </w:p>
        </w:tc>
      </w:tr>
      <w:tr w:rsidR="009A3AD8" w:rsidRPr="000217AE" w14:paraId="5CDE7D4A" w14:textId="77777777" w:rsidTr="006A0D14">
        <w:trPr>
          <w:trHeight w:val="277"/>
        </w:trPr>
        <w:tc>
          <w:tcPr>
            <w:tcW w:w="3203" w:type="dxa"/>
            <w:vMerge w:val="restart"/>
            <w:vAlign w:val="center"/>
          </w:tcPr>
          <w:p w14:paraId="48188EF1" w14:textId="77777777" w:rsidR="009A3AD8" w:rsidRPr="000217AE" w:rsidRDefault="009A3AD8" w:rsidP="000217AE">
            <w:pPr>
              <w:rPr>
                <w:noProof/>
                <w:sz w:val="20"/>
                <w:lang w:eastAsia="en-GB"/>
              </w:rPr>
            </w:pPr>
            <w:r w:rsidRPr="000217AE">
              <w:rPr>
                <w:noProof/>
                <w:sz w:val="20"/>
                <w:lang w:eastAsia="en-GB"/>
              </w:rPr>
              <w:t>Title 1</w:t>
            </w:r>
            <w:r w:rsidRPr="000217AE">
              <w:rPr>
                <w:noProof/>
                <w:lang w:eastAsia="en-GB"/>
              </w:rPr>
              <w:t xml:space="preserve"> </w:t>
            </w:r>
            <w:r w:rsidRPr="000217AE">
              <w:rPr>
                <w:noProof/>
                <w:sz w:val="20"/>
                <w:lang w:eastAsia="en-GB"/>
              </w:rPr>
              <w:t>Staff expenditures</w:t>
            </w:r>
          </w:p>
        </w:tc>
        <w:tc>
          <w:tcPr>
            <w:tcW w:w="1440" w:type="dxa"/>
            <w:vAlign w:val="center"/>
          </w:tcPr>
          <w:p w14:paraId="71308CCA" w14:textId="77777777" w:rsidR="009A3AD8" w:rsidRPr="000217AE" w:rsidRDefault="009A3AD8" w:rsidP="000217AE">
            <w:pPr>
              <w:spacing w:before="20" w:after="20"/>
              <w:rPr>
                <w:noProof/>
                <w:lang w:eastAsia="en-GB"/>
              </w:rPr>
            </w:pPr>
            <w:r w:rsidRPr="000217AE">
              <w:rPr>
                <w:noProof/>
                <w:sz w:val="18"/>
                <w:lang w:eastAsia="en-GB"/>
              </w:rPr>
              <w:t>Commitments</w:t>
            </w:r>
          </w:p>
        </w:tc>
        <w:tc>
          <w:tcPr>
            <w:tcW w:w="654" w:type="dxa"/>
            <w:gridSpan w:val="2"/>
            <w:vAlign w:val="center"/>
          </w:tcPr>
          <w:p w14:paraId="6E960808" w14:textId="77777777" w:rsidR="009A3AD8" w:rsidRPr="000217AE" w:rsidRDefault="009A3AD8" w:rsidP="000217AE">
            <w:pPr>
              <w:spacing w:before="20" w:after="20"/>
              <w:jc w:val="center"/>
              <w:rPr>
                <w:noProof/>
                <w:sz w:val="14"/>
                <w:lang w:eastAsia="en-GB"/>
              </w:rPr>
            </w:pPr>
            <w:r w:rsidRPr="000217AE">
              <w:rPr>
                <w:noProof/>
                <w:sz w:val="14"/>
                <w:lang w:eastAsia="en-GB"/>
              </w:rPr>
              <w:t>(1)</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BF156B" w14:textId="77777777" w:rsidR="009A3AD8" w:rsidRPr="006A0D14" w:rsidRDefault="009A3AD8" w:rsidP="006A0D14">
            <w:pPr>
              <w:spacing w:before="20" w:after="20"/>
              <w:jc w:val="right"/>
              <w:rPr>
                <w:noProof/>
                <w:sz w:val="20"/>
                <w:szCs w:val="20"/>
                <w:lang w:eastAsia="en-GB"/>
              </w:rPr>
            </w:pPr>
            <w:r w:rsidRPr="00805B56">
              <w:rPr>
                <w:noProof/>
                <w:color w:val="000000"/>
                <w:sz w:val="20"/>
                <w:szCs w:val="20"/>
                <w:lang w:eastAsia="en-GB"/>
              </w:rPr>
              <w:t>1,125</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19A55CC0" w14:textId="77777777" w:rsidR="009A3AD8" w:rsidRPr="006A0D14" w:rsidRDefault="009A3AD8" w:rsidP="006A0D14">
            <w:pPr>
              <w:spacing w:before="20" w:after="20"/>
              <w:jc w:val="right"/>
              <w:rPr>
                <w:noProof/>
                <w:sz w:val="20"/>
                <w:szCs w:val="20"/>
                <w:lang w:eastAsia="en-GB"/>
              </w:rPr>
            </w:pPr>
            <w:r w:rsidRPr="00805B56">
              <w:rPr>
                <w:noProof/>
                <w:color w:val="000000"/>
                <w:sz w:val="20"/>
                <w:szCs w:val="20"/>
                <w:lang w:eastAsia="en-GB"/>
              </w:rPr>
              <w:t>2,683</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77E3F209" w14:textId="77777777" w:rsidR="009A3AD8" w:rsidRPr="006A0D14" w:rsidRDefault="009A3AD8" w:rsidP="006A0D14">
            <w:pPr>
              <w:spacing w:before="20" w:after="20"/>
              <w:jc w:val="right"/>
              <w:rPr>
                <w:noProof/>
                <w:sz w:val="20"/>
                <w:szCs w:val="20"/>
                <w:lang w:eastAsia="en-GB"/>
              </w:rPr>
            </w:pPr>
            <w:r w:rsidRPr="00805B56">
              <w:rPr>
                <w:noProof/>
                <w:color w:val="000000"/>
                <w:sz w:val="20"/>
                <w:szCs w:val="20"/>
                <w:lang w:eastAsia="en-GB"/>
              </w:rPr>
              <w:t>3,376</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7EC93DA0" w14:textId="669192ED" w:rsidR="009A3AD8" w:rsidRPr="006A0D14" w:rsidRDefault="007A7A43" w:rsidP="006A0D14">
            <w:pPr>
              <w:spacing w:before="20" w:after="20"/>
              <w:jc w:val="right"/>
              <w:rPr>
                <w:noProof/>
                <w:sz w:val="20"/>
                <w:szCs w:val="20"/>
                <w:lang w:eastAsia="en-GB"/>
              </w:rPr>
            </w:pPr>
            <w:r>
              <w:rPr>
                <w:bCs/>
                <w:noProof/>
                <w:color w:val="000000"/>
                <w:sz w:val="20"/>
                <w:szCs w:val="20"/>
                <w:lang w:eastAsia="en-GB"/>
              </w:rPr>
              <w:t>3,981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3F0CE5" w14:textId="1A949D9E" w:rsidR="009A3AD8" w:rsidRPr="006A0D14" w:rsidRDefault="009A3AD8" w:rsidP="006A0D14">
            <w:pPr>
              <w:spacing w:before="20" w:after="20"/>
              <w:jc w:val="right"/>
              <w:rPr>
                <w:b/>
                <w:bCs/>
                <w:noProof/>
                <w:sz w:val="20"/>
                <w:szCs w:val="20"/>
                <w:lang w:eastAsia="en-GB"/>
              </w:rPr>
            </w:pPr>
            <w:r>
              <w:rPr>
                <w:b/>
                <w:bCs/>
                <w:noProof/>
                <w:color w:val="000000"/>
                <w:sz w:val="20"/>
                <w:szCs w:val="20"/>
                <w:lang w:eastAsia="en-GB"/>
              </w:rPr>
              <w:t>11,</w:t>
            </w:r>
            <w:r w:rsidR="007A7A43">
              <w:rPr>
                <w:b/>
                <w:bCs/>
                <w:noProof/>
                <w:color w:val="000000"/>
                <w:sz w:val="20"/>
                <w:szCs w:val="20"/>
                <w:lang w:eastAsia="en-GB"/>
              </w:rPr>
              <w:t>165</w:t>
            </w:r>
          </w:p>
        </w:tc>
      </w:tr>
      <w:tr w:rsidR="009A3AD8" w:rsidRPr="000217AE" w14:paraId="7FF1CA9A" w14:textId="77777777" w:rsidTr="006A0D14">
        <w:tc>
          <w:tcPr>
            <w:tcW w:w="3203" w:type="dxa"/>
            <w:vMerge/>
            <w:vAlign w:val="center"/>
          </w:tcPr>
          <w:p w14:paraId="5E796064" w14:textId="77777777" w:rsidR="009A3AD8" w:rsidRPr="000217AE" w:rsidRDefault="009A3AD8" w:rsidP="000217AE">
            <w:pPr>
              <w:rPr>
                <w:noProof/>
                <w:lang w:eastAsia="en-GB"/>
              </w:rPr>
            </w:pPr>
          </w:p>
        </w:tc>
        <w:tc>
          <w:tcPr>
            <w:tcW w:w="1440" w:type="dxa"/>
            <w:vAlign w:val="center"/>
          </w:tcPr>
          <w:p w14:paraId="7173B45E" w14:textId="77777777" w:rsidR="009A3AD8" w:rsidRPr="000217AE" w:rsidRDefault="009A3AD8" w:rsidP="000217AE">
            <w:pPr>
              <w:spacing w:before="20" w:after="20"/>
              <w:rPr>
                <w:noProof/>
                <w:sz w:val="18"/>
                <w:lang w:eastAsia="en-GB"/>
              </w:rPr>
            </w:pPr>
            <w:r w:rsidRPr="000217AE">
              <w:rPr>
                <w:noProof/>
                <w:sz w:val="18"/>
                <w:lang w:eastAsia="en-GB"/>
              </w:rPr>
              <w:t>Payments</w:t>
            </w:r>
          </w:p>
        </w:tc>
        <w:tc>
          <w:tcPr>
            <w:tcW w:w="654" w:type="dxa"/>
            <w:gridSpan w:val="2"/>
            <w:vAlign w:val="center"/>
          </w:tcPr>
          <w:p w14:paraId="7EDB6465" w14:textId="77777777" w:rsidR="009A3AD8" w:rsidRPr="000217AE" w:rsidRDefault="009A3AD8" w:rsidP="000217AE">
            <w:pPr>
              <w:spacing w:before="20" w:after="20"/>
              <w:jc w:val="center"/>
              <w:rPr>
                <w:noProof/>
                <w:sz w:val="14"/>
                <w:lang w:eastAsia="en-GB"/>
              </w:rPr>
            </w:pPr>
            <w:r w:rsidRPr="000217AE">
              <w:rPr>
                <w:noProof/>
                <w:sz w:val="14"/>
                <w:lang w:eastAsia="en-GB"/>
              </w:rPr>
              <w:t>(2)</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76669" w14:textId="77777777" w:rsidR="009A3AD8" w:rsidRPr="006A0D14" w:rsidRDefault="009A3AD8" w:rsidP="006A0D14">
            <w:pPr>
              <w:spacing w:before="20" w:after="20"/>
              <w:jc w:val="right"/>
              <w:rPr>
                <w:noProof/>
                <w:sz w:val="20"/>
                <w:szCs w:val="20"/>
                <w:lang w:eastAsia="en-GB"/>
              </w:rPr>
            </w:pPr>
            <w:r w:rsidRPr="00805B56">
              <w:rPr>
                <w:noProof/>
                <w:color w:val="000000"/>
                <w:sz w:val="20"/>
                <w:szCs w:val="20"/>
                <w:lang w:eastAsia="en-GB"/>
              </w:rPr>
              <w:t>1,125</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4E109D64" w14:textId="77777777" w:rsidR="009A3AD8" w:rsidRPr="006A0D14" w:rsidRDefault="009A3AD8" w:rsidP="006A0D14">
            <w:pPr>
              <w:spacing w:before="20" w:after="20"/>
              <w:jc w:val="right"/>
              <w:rPr>
                <w:noProof/>
                <w:sz w:val="20"/>
                <w:szCs w:val="20"/>
                <w:lang w:eastAsia="en-GB"/>
              </w:rPr>
            </w:pPr>
            <w:r w:rsidRPr="00805B56">
              <w:rPr>
                <w:noProof/>
                <w:color w:val="000000"/>
                <w:sz w:val="20"/>
                <w:szCs w:val="20"/>
                <w:lang w:eastAsia="en-GB"/>
              </w:rPr>
              <w:t>2,683</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6E72D799" w14:textId="77777777" w:rsidR="009A3AD8" w:rsidRPr="006A0D14" w:rsidRDefault="009A3AD8" w:rsidP="006A0D14">
            <w:pPr>
              <w:spacing w:before="20" w:after="20"/>
              <w:jc w:val="right"/>
              <w:rPr>
                <w:noProof/>
                <w:sz w:val="20"/>
                <w:szCs w:val="20"/>
                <w:lang w:eastAsia="en-GB"/>
              </w:rPr>
            </w:pPr>
            <w:r w:rsidRPr="00805B56">
              <w:rPr>
                <w:noProof/>
                <w:color w:val="000000"/>
                <w:sz w:val="20"/>
                <w:szCs w:val="20"/>
                <w:lang w:eastAsia="en-GB"/>
              </w:rPr>
              <w:t>3,376</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46C5F35B" w14:textId="27640282" w:rsidR="009A3AD8" w:rsidRPr="006A0D14" w:rsidRDefault="007A7A43" w:rsidP="006A0D14">
            <w:pPr>
              <w:spacing w:before="20" w:after="20"/>
              <w:jc w:val="right"/>
              <w:rPr>
                <w:noProof/>
                <w:sz w:val="20"/>
                <w:szCs w:val="20"/>
                <w:lang w:eastAsia="en-GB"/>
              </w:rPr>
            </w:pPr>
            <w:r>
              <w:rPr>
                <w:bCs/>
                <w:noProof/>
                <w:color w:val="000000"/>
                <w:sz w:val="20"/>
                <w:szCs w:val="20"/>
                <w:lang w:eastAsia="en-GB"/>
              </w:rPr>
              <w:t>3,981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25CB36" w14:textId="7FF678AD" w:rsidR="009A3AD8" w:rsidRPr="006A0D14" w:rsidRDefault="009A3AD8" w:rsidP="006A0D14">
            <w:pPr>
              <w:spacing w:before="20" w:after="20"/>
              <w:jc w:val="right"/>
              <w:rPr>
                <w:b/>
                <w:bCs/>
                <w:noProof/>
                <w:sz w:val="20"/>
                <w:szCs w:val="20"/>
                <w:lang w:eastAsia="en-GB"/>
              </w:rPr>
            </w:pPr>
            <w:r>
              <w:rPr>
                <w:b/>
                <w:bCs/>
                <w:noProof/>
                <w:color w:val="000000"/>
                <w:sz w:val="20"/>
                <w:szCs w:val="20"/>
                <w:lang w:eastAsia="en-GB"/>
              </w:rPr>
              <w:t>11,</w:t>
            </w:r>
            <w:r w:rsidR="007A7A43">
              <w:rPr>
                <w:b/>
                <w:bCs/>
                <w:noProof/>
                <w:color w:val="000000"/>
                <w:sz w:val="20"/>
                <w:szCs w:val="20"/>
                <w:lang w:eastAsia="en-GB"/>
              </w:rPr>
              <w:t>165</w:t>
            </w:r>
          </w:p>
        </w:tc>
      </w:tr>
      <w:tr w:rsidR="009A3AD8" w:rsidRPr="000217AE" w14:paraId="42CFF0B6" w14:textId="77777777" w:rsidTr="006A0D14">
        <w:tc>
          <w:tcPr>
            <w:tcW w:w="3203" w:type="dxa"/>
            <w:vMerge w:val="restart"/>
            <w:vAlign w:val="center"/>
          </w:tcPr>
          <w:p w14:paraId="79F67D0A" w14:textId="77777777" w:rsidR="009A3AD8" w:rsidRPr="000217AE" w:rsidRDefault="009A3AD8" w:rsidP="000217AE">
            <w:pPr>
              <w:rPr>
                <w:noProof/>
                <w:lang w:eastAsia="en-GB"/>
              </w:rPr>
            </w:pPr>
            <w:r w:rsidRPr="000217AE">
              <w:rPr>
                <w:noProof/>
                <w:sz w:val="20"/>
                <w:lang w:eastAsia="en-GB"/>
              </w:rPr>
              <w:t>Title 2:</w:t>
            </w:r>
            <w:r w:rsidRPr="000217AE">
              <w:rPr>
                <w:noProof/>
                <w:lang w:eastAsia="en-GB"/>
              </w:rPr>
              <w:t xml:space="preserve"> </w:t>
            </w:r>
            <w:r w:rsidRPr="000217AE">
              <w:rPr>
                <w:noProof/>
                <w:sz w:val="20"/>
                <w:lang w:eastAsia="en-GB"/>
              </w:rPr>
              <w:t>Infrastructure and operating expenditures</w:t>
            </w:r>
          </w:p>
        </w:tc>
        <w:tc>
          <w:tcPr>
            <w:tcW w:w="1440" w:type="dxa"/>
            <w:vAlign w:val="center"/>
          </w:tcPr>
          <w:p w14:paraId="0027D5A8" w14:textId="77777777" w:rsidR="009A3AD8" w:rsidRPr="000217AE" w:rsidRDefault="009A3AD8" w:rsidP="000217AE">
            <w:pPr>
              <w:spacing w:before="20" w:after="20"/>
              <w:rPr>
                <w:noProof/>
                <w:sz w:val="18"/>
                <w:lang w:eastAsia="en-GB"/>
              </w:rPr>
            </w:pPr>
            <w:r w:rsidRPr="000217AE">
              <w:rPr>
                <w:noProof/>
                <w:sz w:val="18"/>
                <w:lang w:eastAsia="en-GB"/>
              </w:rPr>
              <w:t>Commitments</w:t>
            </w:r>
          </w:p>
        </w:tc>
        <w:tc>
          <w:tcPr>
            <w:tcW w:w="654" w:type="dxa"/>
            <w:gridSpan w:val="2"/>
            <w:vAlign w:val="center"/>
          </w:tcPr>
          <w:p w14:paraId="133C4C99" w14:textId="77777777" w:rsidR="009A3AD8" w:rsidRPr="000217AE" w:rsidRDefault="009A3AD8" w:rsidP="000217AE">
            <w:pPr>
              <w:spacing w:before="20" w:after="20"/>
              <w:jc w:val="center"/>
              <w:rPr>
                <w:noProof/>
                <w:sz w:val="14"/>
                <w:lang w:eastAsia="en-GB"/>
              </w:rPr>
            </w:pPr>
            <w:r w:rsidRPr="000217AE">
              <w:rPr>
                <w:noProof/>
                <w:sz w:val="14"/>
                <w:lang w:eastAsia="en-GB"/>
              </w:rPr>
              <w:t>(1a)</w:t>
            </w:r>
          </w:p>
        </w:tc>
        <w:tc>
          <w:tcPr>
            <w:tcW w:w="1369" w:type="dxa"/>
            <w:tcBorders>
              <w:top w:val="single" w:sz="4" w:space="0" w:color="auto"/>
              <w:left w:val="single" w:sz="4" w:space="0" w:color="auto"/>
              <w:bottom w:val="single" w:sz="4" w:space="0" w:color="auto"/>
              <w:right w:val="single" w:sz="4" w:space="0" w:color="auto"/>
            </w:tcBorders>
            <w:vAlign w:val="center"/>
          </w:tcPr>
          <w:p w14:paraId="0B5356C3" w14:textId="77777777" w:rsidR="009A3AD8" w:rsidRPr="000217AE"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17343C22" w14:textId="77777777" w:rsidR="009A3AD8" w:rsidRPr="000217AE"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49F3A05A" w14:textId="77777777" w:rsidR="009A3AD8" w:rsidRPr="000217AE"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225B6AFB" w14:textId="77777777" w:rsidR="009A3AD8" w:rsidRPr="000217AE" w:rsidRDefault="009A3AD8" w:rsidP="000217AE">
            <w:pPr>
              <w:spacing w:before="20" w:after="20"/>
              <w:jc w:val="right"/>
              <w:rPr>
                <w:noProof/>
                <w:sz w:val="20"/>
                <w:lang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133DBEDD" w14:textId="77777777" w:rsidR="009A3AD8" w:rsidRPr="000217AE" w:rsidRDefault="009A3AD8" w:rsidP="000217AE">
            <w:pPr>
              <w:spacing w:before="20" w:after="20"/>
              <w:jc w:val="right"/>
              <w:rPr>
                <w:b/>
                <w:noProof/>
                <w:sz w:val="20"/>
                <w:lang w:eastAsia="en-GB"/>
              </w:rPr>
            </w:pPr>
          </w:p>
        </w:tc>
      </w:tr>
      <w:tr w:rsidR="009A3AD8" w:rsidRPr="000217AE" w14:paraId="0109B371" w14:textId="77777777" w:rsidTr="006A0D14">
        <w:tc>
          <w:tcPr>
            <w:tcW w:w="3203" w:type="dxa"/>
            <w:vMerge/>
            <w:vAlign w:val="center"/>
          </w:tcPr>
          <w:p w14:paraId="3E525A72" w14:textId="77777777" w:rsidR="009A3AD8" w:rsidRPr="000217AE" w:rsidRDefault="009A3AD8" w:rsidP="000217AE">
            <w:pPr>
              <w:rPr>
                <w:noProof/>
                <w:lang w:eastAsia="en-GB"/>
              </w:rPr>
            </w:pPr>
          </w:p>
        </w:tc>
        <w:tc>
          <w:tcPr>
            <w:tcW w:w="1440" w:type="dxa"/>
            <w:vAlign w:val="center"/>
          </w:tcPr>
          <w:p w14:paraId="7864A991" w14:textId="77777777" w:rsidR="009A3AD8" w:rsidRPr="000217AE" w:rsidRDefault="009A3AD8" w:rsidP="000217AE">
            <w:pPr>
              <w:spacing w:before="20" w:after="20"/>
              <w:rPr>
                <w:noProof/>
                <w:sz w:val="18"/>
                <w:lang w:eastAsia="en-GB"/>
              </w:rPr>
            </w:pPr>
            <w:r w:rsidRPr="000217AE">
              <w:rPr>
                <w:noProof/>
                <w:sz w:val="18"/>
                <w:lang w:eastAsia="en-GB"/>
              </w:rPr>
              <w:t>Payments</w:t>
            </w:r>
          </w:p>
        </w:tc>
        <w:tc>
          <w:tcPr>
            <w:tcW w:w="654" w:type="dxa"/>
            <w:gridSpan w:val="2"/>
            <w:vAlign w:val="center"/>
          </w:tcPr>
          <w:p w14:paraId="48CA1DEE" w14:textId="77777777" w:rsidR="009A3AD8" w:rsidRPr="000217AE" w:rsidRDefault="009A3AD8" w:rsidP="000217AE">
            <w:pPr>
              <w:spacing w:before="20" w:after="20"/>
              <w:jc w:val="center"/>
              <w:rPr>
                <w:noProof/>
                <w:sz w:val="14"/>
                <w:lang w:eastAsia="en-GB"/>
              </w:rPr>
            </w:pPr>
            <w:r w:rsidRPr="000217AE">
              <w:rPr>
                <w:noProof/>
                <w:sz w:val="14"/>
                <w:lang w:eastAsia="en-GB"/>
              </w:rPr>
              <w:t>(2a)</w:t>
            </w:r>
          </w:p>
        </w:tc>
        <w:tc>
          <w:tcPr>
            <w:tcW w:w="1369" w:type="dxa"/>
            <w:tcBorders>
              <w:top w:val="single" w:sz="4" w:space="0" w:color="auto"/>
              <w:left w:val="single" w:sz="4" w:space="0" w:color="auto"/>
              <w:bottom w:val="single" w:sz="4" w:space="0" w:color="auto"/>
              <w:right w:val="single" w:sz="4" w:space="0" w:color="auto"/>
            </w:tcBorders>
            <w:vAlign w:val="center"/>
          </w:tcPr>
          <w:p w14:paraId="0CEB0FDA" w14:textId="77777777" w:rsidR="009A3AD8" w:rsidRPr="000217AE"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30CBD040" w14:textId="77777777" w:rsidR="009A3AD8" w:rsidRPr="000217AE"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1600E79E" w14:textId="77777777" w:rsidR="009A3AD8" w:rsidRPr="000217AE"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3BC24D00" w14:textId="77777777" w:rsidR="009A3AD8" w:rsidRPr="000217AE" w:rsidRDefault="009A3AD8" w:rsidP="000217AE">
            <w:pPr>
              <w:spacing w:before="20" w:after="20"/>
              <w:jc w:val="right"/>
              <w:rPr>
                <w:noProof/>
                <w:sz w:val="20"/>
                <w:lang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10329EFB" w14:textId="77777777" w:rsidR="009A3AD8" w:rsidRPr="000217AE" w:rsidRDefault="009A3AD8" w:rsidP="000217AE">
            <w:pPr>
              <w:spacing w:before="20" w:after="20"/>
              <w:jc w:val="right"/>
              <w:rPr>
                <w:b/>
                <w:noProof/>
                <w:sz w:val="20"/>
                <w:lang w:eastAsia="en-GB"/>
              </w:rPr>
            </w:pPr>
          </w:p>
        </w:tc>
      </w:tr>
      <w:tr w:rsidR="009A3AD8" w:rsidRPr="000217AE" w14:paraId="141597AB" w14:textId="77777777" w:rsidTr="006A0D14">
        <w:trPr>
          <w:trHeight w:val="319"/>
        </w:trPr>
        <w:tc>
          <w:tcPr>
            <w:tcW w:w="3203" w:type="dxa"/>
            <w:vAlign w:val="center"/>
          </w:tcPr>
          <w:p w14:paraId="6C35A8A0" w14:textId="77777777" w:rsidR="009A3AD8" w:rsidRPr="000217AE" w:rsidRDefault="009A3AD8" w:rsidP="000217AE">
            <w:pPr>
              <w:spacing w:before="60" w:after="60"/>
              <w:rPr>
                <w:noProof/>
                <w:lang w:eastAsia="en-GB"/>
              </w:rPr>
            </w:pPr>
            <w:r w:rsidRPr="00805B56">
              <w:rPr>
                <w:noProof/>
                <w:sz w:val="20"/>
                <w:szCs w:val="20"/>
                <w:lang w:eastAsia="en-GB"/>
              </w:rPr>
              <w:t>Title 3</w:t>
            </w:r>
            <w:r w:rsidRPr="008E168D">
              <w:rPr>
                <w:noProof/>
                <w:sz w:val="20"/>
                <w:szCs w:val="20"/>
                <w:lang w:eastAsia="en-GB"/>
              </w:rPr>
              <w:t>:</w:t>
            </w:r>
            <w:r w:rsidRPr="008E168D">
              <w:rPr>
                <w:noProof/>
                <w:lang w:eastAsia="en-GB"/>
              </w:rPr>
              <w:t xml:space="preserve"> </w:t>
            </w:r>
            <w:r w:rsidRPr="008E168D">
              <w:rPr>
                <w:noProof/>
                <w:sz w:val="20"/>
                <w:szCs w:val="20"/>
                <w:lang w:eastAsia="en-GB"/>
              </w:rPr>
              <w:t>Operational expenditures</w:t>
            </w:r>
            <w:r w:rsidRPr="00BE7C1D">
              <w:rPr>
                <w:rStyle w:val="FootnoteReference"/>
                <w:noProof/>
              </w:rPr>
              <w:footnoteReference w:id="55"/>
            </w:r>
          </w:p>
        </w:tc>
        <w:tc>
          <w:tcPr>
            <w:tcW w:w="1440" w:type="dxa"/>
            <w:vAlign w:val="center"/>
          </w:tcPr>
          <w:p w14:paraId="6192F344" w14:textId="77777777" w:rsidR="009A3AD8" w:rsidRPr="000217AE" w:rsidRDefault="009A3AD8" w:rsidP="000217AE">
            <w:pPr>
              <w:spacing w:before="40" w:after="40"/>
              <w:rPr>
                <w:noProof/>
                <w:sz w:val="18"/>
                <w:lang w:eastAsia="en-GB"/>
              </w:rPr>
            </w:pPr>
            <w:r w:rsidRPr="000217AE">
              <w:rPr>
                <w:noProof/>
                <w:sz w:val="18"/>
                <w:lang w:eastAsia="en-GB"/>
              </w:rPr>
              <w:t>Commitments</w:t>
            </w:r>
          </w:p>
        </w:tc>
        <w:tc>
          <w:tcPr>
            <w:tcW w:w="654" w:type="dxa"/>
            <w:gridSpan w:val="2"/>
            <w:vAlign w:val="center"/>
          </w:tcPr>
          <w:p w14:paraId="5D8B67B8" w14:textId="77777777" w:rsidR="009A3AD8" w:rsidRPr="000217AE" w:rsidRDefault="009A3AD8" w:rsidP="000217AE">
            <w:pPr>
              <w:spacing w:before="40" w:after="40"/>
              <w:jc w:val="center"/>
              <w:rPr>
                <w:noProof/>
                <w:sz w:val="14"/>
                <w:lang w:eastAsia="en-GB"/>
              </w:rPr>
            </w:pPr>
            <w:r w:rsidRPr="000217AE">
              <w:rPr>
                <w:noProof/>
                <w:sz w:val="14"/>
                <w:lang w:eastAsia="en-GB"/>
              </w:rPr>
              <w:t>(3a)</w:t>
            </w:r>
          </w:p>
        </w:tc>
        <w:tc>
          <w:tcPr>
            <w:tcW w:w="1369" w:type="dxa"/>
            <w:tcBorders>
              <w:top w:val="single" w:sz="4" w:space="0" w:color="auto"/>
              <w:left w:val="single" w:sz="4" w:space="0" w:color="auto"/>
              <w:bottom w:val="single" w:sz="4" w:space="0" w:color="auto"/>
              <w:right w:val="single" w:sz="4" w:space="0" w:color="auto"/>
            </w:tcBorders>
            <w:vAlign w:val="bottom"/>
          </w:tcPr>
          <w:p w14:paraId="4816ECE3" w14:textId="6DEB22B5" w:rsidR="009A3AD8" w:rsidRPr="006A0D14" w:rsidRDefault="008E168D" w:rsidP="006A0D14">
            <w:pPr>
              <w:spacing w:before="40" w:after="40"/>
              <w:jc w:val="right"/>
              <w:rPr>
                <w:b/>
                <w:bCs/>
                <w:noProof/>
                <w:sz w:val="20"/>
                <w:szCs w:val="20"/>
                <w:lang w:eastAsia="en-GB"/>
              </w:rPr>
            </w:pPr>
            <w:r>
              <w:rPr>
                <w:noProof/>
                <w:color w:val="000000"/>
                <w:sz w:val="20"/>
                <w:szCs w:val="20"/>
                <w:lang w:eastAsia="en-GB"/>
              </w:rPr>
              <w:t>1</w:t>
            </w:r>
            <w:r w:rsidR="009A3AD8" w:rsidRPr="000217AE">
              <w:rPr>
                <w:noProof/>
                <w:color w:val="000000"/>
                <w:sz w:val="20"/>
                <w:szCs w:val="20"/>
                <w:lang w:eastAsia="en-GB"/>
              </w:rPr>
              <w:t>,033</w:t>
            </w:r>
          </w:p>
        </w:tc>
        <w:tc>
          <w:tcPr>
            <w:tcW w:w="1369" w:type="dxa"/>
            <w:tcBorders>
              <w:top w:val="single" w:sz="4" w:space="0" w:color="auto"/>
              <w:left w:val="nil"/>
              <w:bottom w:val="single" w:sz="4" w:space="0" w:color="auto"/>
              <w:right w:val="single" w:sz="4" w:space="0" w:color="auto"/>
            </w:tcBorders>
            <w:vAlign w:val="bottom"/>
          </w:tcPr>
          <w:p w14:paraId="328AA1A6" w14:textId="766E4F7D" w:rsidR="009A3AD8" w:rsidRPr="006A0D14" w:rsidRDefault="009A3AD8" w:rsidP="008E168D">
            <w:pPr>
              <w:spacing w:before="40" w:after="40"/>
              <w:jc w:val="right"/>
              <w:rPr>
                <w:b/>
                <w:bCs/>
                <w:noProof/>
                <w:sz w:val="20"/>
                <w:szCs w:val="20"/>
                <w:lang w:eastAsia="en-GB"/>
              </w:rPr>
            </w:pPr>
            <w:r w:rsidRPr="000217AE">
              <w:rPr>
                <w:noProof/>
                <w:color w:val="000000"/>
                <w:sz w:val="20"/>
                <w:szCs w:val="20"/>
                <w:lang w:eastAsia="en-GB"/>
              </w:rPr>
              <w:t>8,</w:t>
            </w:r>
            <w:r w:rsidR="008E168D">
              <w:rPr>
                <w:noProof/>
                <w:color w:val="000000"/>
                <w:sz w:val="20"/>
                <w:szCs w:val="20"/>
                <w:lang w:eastAsia="en-GB"/>
              </w:rPr>
              <w:t>1</w:t>
            </w:r>
            <w:r w:rsidRPr="000217AE">
              <w:rPr>
                <w:noProof/>
                <w:color w:val="000000"/>
                <w:sz w:val="20"/>
                <w:szCs w:val="20"/>
                <w:lang w:eastAsia="en-GB"/>
              </w:rPr>
              <w:t>28</w:t>
            </w:r>
          </w:p>
        </w:tc>
        <w:tc>
          <w:tcPr>
            <w:tcW w:w="1369" w:type="dxa"/>
            <w:tcBorders>
              <w:top w:val="single" w:sz="4" w:space="0" w:color="auto"/>
              <w:left w:val="nil"/>
              <w:bottom w:val="single" w:sz="4" w:space="0" w:color="auto"/>
              <w:right w:val="single" w:sz="4" w:space="0" w:color="auto"/>
            </w:tcBorders>
            <w:vAlign w:val="bottom"/>
          </w:tcPr>
          <w:p w14:paraId="0B682756" w14:textId="77777777" w:rsidR="009A3AD8" w:rsidRPr="006A0D14" w:rsidRDefault="009A3AD8" w:rsidP="006A0D14">
            <w:pPr>
              <w:spacing w:before="40" w:after="40"/>
              <w:jc w:val="right"/>
              <w:rPr>
                <w:b/>
                <w:bCs/>
                <w:noProof/>
                <w:sz w:val="20"/>
                <w:szCs w:val="20"/>
                <w:lang w:eastAsia="en-GB"/>
              </w:rPr>
            </w:pPr>
            <w:r w:rsidRPr="000217AE">
              <w:rPr>
                <w:noProof/>
                <w:color w:val="000000"/>
                <w:sz w:val="20"/>
                <w:szCs w:val="20"/>
                <w:lang w:eastAsia="en-GB"/>
              </w:rPr>
              <w:t>7,027</w:t>
            </w:r>
          </w:p>
        </w:tc>
        <w:tc>
          <w:tcPr>
            <w:tcW w:w="1369" w:type="dxa"/>
            <w:tcBorders>
              <w:top w:val="single" w:sz="4" w:space="0" w:color="auto"/>
              <w:left w:val="nil"/>
              <w:bottom w:val="single" w:sz="4" w:space="0" w:color="auto"/>
              <w:right w:val="single" w:sz="4" w:space="0" w:color="auto"/>
            </w:tcBorders>
            <w:vAlign w:val="bottom"/>
          </w:tcPr>
          <w:p w14:paraId="35B9D367" w14:textId="77777777" w:rsidR="009A3AD8" w:rsidRPr="006A0D14" w:rsidRDefault="009A3AD8" w:rsidP="006A0D14">
            <w:pPr>
              <w:spacing w:before="40" w:after="40"/>
              <w:jc w:val="right"/>
              <w:rPr>
                <w:b/>
                <w:bCs/>
                <w:noProof/>
                <w:sz w:val="20"/>
                <w:szCs w:val="20"/>
                <w:lang w:eastAsia="en-GB"/>
              </w:rPr>
            </w:pPr>
            <w:r w:rsidRPr="000217AE">
              <w:rPr>
                <w:noProof/>
                <w:color w:val="000000"/>
                <w:sz w:val="20"/>
                <w:szCs w:val="20"/>
                <w:lang w:eastAsia="en-GB"/>
              </w:rPr>
              <w:t>5,390</w:t>
            </w:r>
          </w:p>
        </w:tc>
        <w:tc>
          <w:tcPr>
            <w:tcW w:w="2551" w:type="dxa"/>
            <w:tcBorders>
              <w:top w:val="single" w:sz="4" w:space="0" w:color="auto"/>
              <w:left w:val="single" w:sz="4" w:space="0" w:color="auto"/>
              <w:bottom w:val="single" w:sz="4" w:space="0" w:color="auto"/>
              <w:right w:val="single" w:sz="4" w:space="0" w:color="auto"/>
            </w:tcBorders>
            <w:vAlign w:val="bottom"/>
          </w:tcPr>
          <w:p w14:paraId="25ED1A45" w14:textId="268D7481" w:rsidR="009A3AD8" w:rsidRPr="006A0D14" w:rsidRDefault="008E168D" w:rsidP="006A0D14">
            <w:pPr>
              <w:spacing w:before="40" w:after="40"/>
              <w:jc w:val="right"/>
              <w:rPr>
                <w:b/>
                <w:bCs/>
                <w:noProof/>
                <w:sz w:val="20"/>
                <w:szCs w:val="20"/>
                <w:lang w:eastAsia="en-GB"/>
              </w:rPr>
            </w:pPr>
            <w:r>
              <w:rPr>
                <w:b/>
                <w:bCs/>
                <w:noProof/>
                <w:sz w:val="20"/>
                <w:szCs w:val="20"/>
                <w:lang w:eastAsia="en-GB"/>
              </w:rPr>
              <w:t>21,577</w:t>
            </w:r>
          </w:p>
        </w:tc>
      </w:tr>
      <w:tr w:rsidR="009A3AD8" w:rsidRPr="000217AE" w14:paraId="50FC07B9" w14:textId="77777777" w:rsidTr="006A0D14">
        <w:trPr>
          <w:trHeight w:val="319"/>
        </w:trPr>
        <w:tc>
          <w:tcPr>
            <w:tcW w:w="3203" w:type="dxa"/>
            <w:vAlign w:val="center"/>
          </w:tcPr>
          <w:p w14:paraId="1B68435B" w14:textId="77777777" w:rsidR="009A3AD8" w:rsidRPr="000217AE" w:rsidRDefault="009A3AD8" w:rsidP="000217AE">
            <w:pPr>
              <w:spacing w:before="60" w:after="60"/>
              <w:rPr>
                <w:b/>
                <w:noProof/>
                <w:sz w:val="20"/>
                <w:lang w:eastAsia="en-GB"/>
              </w:rPr>
            </w:pPr>
          </w:p>
        </w:tc>
        <w:tc>
          <w:tcPr>
            <w:tcW w:w="1440" w:type="dxa"/>
            <w:vAlign w:val="center"/>
          </w:tcPr>
          <w:p w14:paraId="09ECB16F" w14:textId="77777777" w:rsidR="009A3AD8" w:rsidRPr="000217AE" w:rsidRDefault="009A3AD8" w:rsidP="000217AE">
            <w:pPr>
              <w:spacing w:before="40" w:after="40"/>
              <w:rPr>
                <w:noProof/>
                <w:sz w:val="18"/>
                <w:lang w:eastAsia="en-GB"/>
              </w:rPr>
            </w:pPr>
            <w:r w:rsidRPr="000217AE">
              <w:rPr>
                <w:noProof/>
                <w:sz w:val="18"/>
                <w:lang w:eastAsia="en-GB"/>
              </w:rPr>
              <w:t>Payments</w:t>
            </w:r>
          </w:p>
        </w:tc>
        <w:tc>
          <w:tcPr>
            <w:tcW w:w="654" w:type="dxa"/>
            <w:gridSpan w:val="2"/>
            <w:vAlign w:val="center"/>
          </w:tcPr>
          <w:p w14:paraId="585FABB7" w14:textId="77777777" w:rsidR="009A3AD8" w:rsidRPr="000217AE" w:rsidRDefault="009A3AD8" w:rsidP="000217AE">
            <w:pPr>
              <w:spacing w:before="40" w:after="40"/>
              <w:jc w:val="center"/>
              <w:rPr>
                <w:noProof/>
                <w:sz w:val="14"/>
                <w:lang w:eastAsia="en-GB"/>
              </w:rPr>
            </w:pPr>
            <w:r w:rsidRPr="000217AE">
              <w:rPr>
                <w:noProof/>
                <w:sz w:val="14"/>
                <w:lang w:eastAsia="en-GB"/>
              </w:rPr>
              <w:t>(3b)</w:t>
            </w:r>
          </w:p>
        </w:tc>
        <w:tc>
          <w:tcPr>
            <w:tcW w:w="1369" w:type="dxa"/>
            <w:tcBorders>
              <w:top w:val="nil"/>
              <w:left w:val="single" w:sz="4" w:space="0" w:color="auto"/>
              <w:bottom w:val="single" w:sz="4" w:space="0" w:color="auto"/>
              <w:right w:val="single" w:sz="4" w:space="0" w:color="auto"/>
            </w:tcBorders>
            <w:vAlign w:val="bottom"/>
          </w:tcPr>
          <w:p w14:paraId="694B74C1" w14:textId="69964B04" w:rsidR="009A3AD8" w:rsidRPr="006A0D14" w:rsidRDefault="00900A33" w:rsidP="006A0D14">
            <w:pPr>
              <w:spacing w:before="40" w:after="40"/>
              <w:jc w:val="right"/>
              <w:rPr>
                <w:b/>
                <w:bCs/>
                <w:noProof/>
                <w:sz w:val="20"/>
                <w:szCs w:val="20"/>
                <w:lang w:eastAsia="en-GB"/>
              </w:rPr>
            </w:pPr>
            <w:r>
              <w:rPr>
                <w:noProof/>
                <w:color w:val="000000"/>
                <w:sz w:val="20"/>
                <w:szCs w:val="20"/>
                <w:lang w:eastAsia="en-GB"/>
              </w:rPr>
              <w:t>0,</w:t>
            </w:r>
            <w:r w:rsidR="008E168D">
              <w:rPr>
                <w:noProof/>
                <w:color w:val="000000"/>
                <w:sz w:val="20"/>
                <w:szCs w:val="20"/>
                <w:lang w:eastAsia="en-GB"/>
              </w:rPr>
              <w:t>578</w:t>
            </w:r>
          </w:p>
        </w:tc>
        <w:tc>
          <w:tcPr>
            <w:tcW w:w="1369" w:type="dxa"/>
            <w:tcBorders>
              <w:top w:val="nil"/>
              <w:left w:val="nil"/>
              <w:bottom w:val="single" w:sz="4" w:space="0" w:color="auto"/>
              <w:right w:val="single" w:sz="4" w:space="0" w:color="auto"/>
            </w:tcBorders>
            <w:vAlign w:val="bottom"/>
          </w:tcPr>
          <w:p w14:paraId="0ECAF1D3" w14:textId="29FF38E8" w:rsidR="009A3AD8" w:rsidRPr="006A0D14" w:rsidRDefault="008E168D" w:rsidP="008E168D">
            <w:pPr>
              <w:spacing w:before="40" w:after="40"/>
              <w:jc w:val="right"/>
              <w:rPr>
                <w:b/>
                <w:bCs/>
                <w:noProof/>
                <w:sz w:val="20"/>
                <w:szCs w:val="20"/>
                <w:lang w:eastAsia="en-GB"/>
              </w:rPr>
            </w:pPr>
            <w:r>
              <w:rPr>
                <w:noProof/>
                <w:color w:val="000000"/>
                <w:sz w:val="20"/>
                <w:szCs w:val="20"/>
                <w:lang w:eastAsia="en-GB"/>
              </w:rPr>
              <w:t>4,780</w:t>
            </w:r>
          </w:p>
        </w:tc>
        <w:tc>
          <w:tcPr>
            <w:tcW w:w="1369" w:type="dxa"/>
            <w:tcBorders>
              <w:top w:val="nil"/>
              <w:left w:val="nil"/>
              <w:bottom w:val="single" w:sz="4" w:space="0" w:color="auto"/>
              <w:right w:val="single" w:sz="4" w:space="0" w:color="auto"/>
            </w:tcBorders>
            <w:vAlign w:val="bottom"/>
          </w:tcPr>
          <w:p w14:paraId="1AABD9BC" w14:textId="007D72C1" w:rsidR="009A3AD8" w:rsidRPr="006A0D14" w:rsidRDefault="009A3AD8" w:rsidP="008E168D">
            <w:pPr>
              <w:spacing w:before="40" w:after="40"/>
              <w:jc w:val="right"/>
              <w:rPr>
                <w:b/>
                <w:bCs/>
                <w:noProof/>
                <w:sz w:val="20"/>
                <w:szCs w:val="20"/>
                <w:lang w:eastAsia="en-GB"/>
              </w:rPr>
            </w:pPr>
            <w:r w:rsidRPr="000217AE">
              <w:rPr>
                <w:noProof/>
                <w:color w:val="000000"/>
                <w:sz w:val="20"/>
                <w:szCs w:val="20"/>
                <w:lang w:eastAsia="en-GB"/>
              </w:rPr>
              <w:t>6,</w:t>
            </w:r>
            <w:r w:rsidR="008E168D">
              <w:rPr>
                <w:noProof/>
                <w:color w:val="000000"/>
                <w:sz w:val="20"/>
                <w:szCs w:val="20"/>
                <w:lang w:eastAsia="en-GB"/>
              </w:rPr>
              <w:t>458</w:t>
            </w:r>
          </w:p>
        </w:tc>
        <w:tc>
          <w:tcPr>
            <w:tcW w:w="1369" w:type="dxa"/>
            <w:tcBorders>
              <w:top w:val="nil"/>
              <w:left w:val="nil"/>
              <w:bottom w:val="single" w:sz="4" w:space="0" w:color="auto"/>
              <w:right w:val="single" w:sz="4" w:space="0" w:color="auto"/>
            </w:tcBorders>
            <w:vAlign w:val="bottom"/>
          </w:tcPr>
          <w:p w14:paraId="4DCCCFF9" w14:textId="734E9638" w:rsidR="009A3AD8" w:rsidRPr="006A0D14" w:rsidRDefault="009A3AD8" w:rsidP="008E168D">
            <w:pPr>
              <w:spacing w:before="40" w:after="40"/>
              <w:jc w:val="right"/>
              <w:rPr>
                <w:b/>
                <w:bCs/>
                <w:noProof/>
                <w:sz w:val="20"/>
                <w:szCs w:val="20"/>
                <w:lang w:eastAsia="en-GB"/>
              </w:rPr>
            </w:pPr>
            <w:r>
              <w:rPr>
                <w:noProof/>
                <w:color w:val="000000"/>
                <w:sz w:val="20"/>
                <w:szCs w:val="20"/>
                <w:lang w:eastAsia="en-GB"/>
              </w:rPr>
              <w:t>9,</w:t>
            </w:r>
            <w:r w:rsidR="008E168D">
              <w:rPr>
                <w:noProof/>
                <w:color w:val="000000"/>
                <w:sz w:val="20"/>
                <w:szCs w:val="20"/>
                <w:lang w:eastAsia="en-GB"/>
              </w:rPr>
              <w:t>771</w:t>
            </w:r>
          </w:p>
        </w:tc>
        <w:tc>
          <w:tcPr>
            <w:tcW w:w="2551" w:type="dxa"/>
            <w:tcBorders>
              <w:top w:val="single" w:sz="4" w:space="0" w:color="auto"/>
              <w:left w:val="single" w:sz="4" w:space="0" w:color="auto"/>
              <w:bottom w:val="single" w:sz="4" w:space="0" w:color="auto"/>
              <w:right w:val="single" w:sz="4" w:space="0" w:color="auto"/>
            </w:tcBorders>
            <w:vAlign w:val="bottom"/>
          </w:tcPr>
          <w:p w14:paraId="0635975A" w14:textId="61BB4573" w:rsidR="009A3AD8" w:rsidRPr="006A0D14" w:rsidRDefault="008E168D" w:rsidP="006A0D14">
            <w:pPr>
              <w:spacing w:before="40" w:after="40"/>
              <w:jc w:val="right"/>
              <w:rPr>
                <w:b/>
                <w:bCs/>
                <w:noProof/>
                <w:sz w:val="20"/>
                <w:szCs w:val="20"/>
                <w:lang w:eastAsia="en-GB"/>
              </w:rPr>
            </w:pPr>
            <w:r>
              <w:rPr>
                <w:b/>
                <w:bCs/>
                <w:noProof/>
                <w:sz w:val="20"/>
                <w:szCs w:val="20"/>
                <w:lang w:eastAsia="en-GB"/>
              </w:rPr>
              <w:t>21,577</w:t>
            </w:r>
          </w:p>
        </w:tc>
      </w:tr>
      <w:tr w:rsidR="009A3AD8" w:rsidRPr="000217AE" w14:paraId="0AFD01F6" w14:textId="77777777" w:rsidTr="006A0D14">
        <w:tc>
          <w:tcPr>
            <w:tcW w:w="3203" w:type="dxa"/>
            <w:vMerge w:val="restart"/>
            <w:vAlign w:val="center"/>
          </w:tcPr>
          <w:p w14:paraId="6FC12E9A" w14:textId="77777777" w:rsidR="009A3AD8" w:rsidRPr="000217AE" w:rsidRDefault="009A3AD8" w:rsidP="000217AE">
            <w:pPr>
              <w:jc w:val="center"/>
              <w:rPr>
                <w:noProof/>
                <w:lang w:eastAsia="en-GB"/>
              </w:rPr>
            </w:pPr>
            <w:r w:rsidRPr="000217AE">
              <w:rPr>
                <w:b/>
                <w:noProof/>
                <w:sz w:val="22"/>
                <w:lang w:eastAsia="en-GB"/>
              </w:rPr>
              <w:t>TOTAL appropriations</w:t>
            </w:r>
            <w:r w:rsidRPr="000217AE">
              <w:rPr>
                <w:noProof/>
                <w:sz w:val="22"/>
                <w:lang w:eastAsia="en-GB"/>
              </w:rPr>
              <w:br/>
            </w:r>
            <w:r w:rsidRPr="000217AE">
              <w:rPr>
                <w:b/>
                <w:noProof/>
                <w:sz w:val="22"/>
                <w:lang w:eastAsia="en-GB"/>
              </w:rPr>
              <w:t>for Eurojust</w:t>
            </w:r>
          </w:p>
        </w:tc>
        <w:tc>
          <w:tcPr>
            <w:tcW w:w="1440" w:type="dxa"/>
            <w:vAlign w:val="center"/>
          </w:tcPr>
          <w:p w14:paraId="6125C773" w14:textId="77777777" w:rsidR="009A3AD8" w:rsidRPr="000217AE" w:rsidRDefault="009A3AD8" w:rsidP="000217AE">
            <w:pPr>
              <w:rPr>
                <w:noProof/>
                <w:sz w:val="18"/>
                <w:lang w:eastAsia="en-GB"/>
              </w:rPr>
            </w:pPr>
            <w:r w:rsidRPr="000217AE">
              <w:rPr>
                <w:noProof/>
                <w:sz w:val="18"/>
                <w:lang w:eastAsia="en-GB"/>
              </w:rPr>
              <w:t>Commitments</w:t>
            </w:r>
          </w:p>
        </w:tc>
        <w:tc>
          <w:tcPr>
            <w:tcW w:w="654" w:type="dxa"/>
            <w:gridSpan w:val="2"/>
            <w:vAlign w:val="center"/>
          </w:tcPr>
          <w:p w14:paraId="01616A36" w14:textId="77777777" w:rsidR="009A3AD8" w:rsidRPr="000217AE" w:rsidRDefault="009A3AD8" w:rsidP="000217AE">
            <w:pPr>
              <w:jc w:val="center"/>
              <w:rPr>
                <w:noProof/>
                <w:sz w:val="14"/>
                <w:lang w:eastAsia="en-GB"/>
              </w:rPr>
            </w:pPr>
            <w:r w:rsidRPr="000217AE">
              <w:rPr>
                <w:noProof/>
                <w:sz w:val="14"/>
                <w:lang w:eastAsia="en-GB"/>
              </w:rPr>
              <w:t>=1+1a +3a</w:t>
            </w:r>
          </w:p>
        </w:tc>
        <w:tc>
          <w:tcPr>
            <w:tcW w:w="1369" w:type="dxa"/>
            <w:tcBorders>
              <w:top w:val="single" w:sz="4" w:space="0" w:color="auto"/>
              <w:left w:val="nil"/>
              <w:bottom w:val="single" w:sz="4" w:space="0" w:color="auto"/>
              <w:right w:val="single" w:sz="4" w:space="0" w:color="auto"/>
            </w:tcBorders>
            <w:vAlign w:val="bottom"/>
          </w:tcPr>
          <w:p w14:paraId="11344E85" w14:textId="0D01E25B" w:rsidR="009A3AD8" w:rsidRPr="006A0D14" w:rsidRDefault="008E168D" w:rsidP="006A0D14">
            <w:pPr>
              <w:spacing w:before="20" w:after="20"/>
              <w:jc w:val="right"/>
              <w:rPr>
                <w:noProof/>
                <w:sz w:val="20"/>
                <w:szCs w:val="20"/>
                <w:lang w:eastAsia="en-GB"/>
              </w:rPr>
            </w:pPr>
            <w:r>
              <w:rPr>
                <w:noProof/>
                <w:color w:val="000000"/>
                <w:sz w:val="20"/>
                <w:szCs w:val="20"/>
                <w:lang w:eastAsia="en-GB"/>
              </w:rPr>
              <w:t>2,158</w:t>
            </w:r>
          </w:p>
        </w:tc>
        <w:tc>
          <w:tcPr>
            <w:tcW w:w="1369" w:type="dxa"/>
            <w:tcBorders>
              <w:top w:val="single" w:sz="4" w:space="0" w:color="auto"/>
              <w:left w:val="single" w:sz="4" w:space="0" w:color="auto"/>
              <w:bottom w:val="single" w:sz="4" w:space="0" w:color="auto"/>
              <w:right w:val="single" w:sz="4" w:space="0" w:color="auto"/>
            </w:tcBorders>
            <w:vAlign w:val="bottom"/>
          </w:tcPr>
          <w:p w14:paraId="1EB500F0" w14:textId="72F9D343" w:rsidR="009A3AD8" w:rsidRPr="006A0D14" w:rsidRDefault="008E168D" w:rsidP="006A0D14">
            <w:pPr>
              <w:spacing w:before="20" w:after="20"/>
              <w:jc w:val="right"/>
              <w:rPr>
                <w:noProof/>
                <w:sz w:val="20"/>
                <w:szCs w:val="20"/>
                <w:lang w:eastAsia="en-GB"/>
              </w:rPr>
            </w:pPr>
            <w:r>
              <w:rPr>
                <w:noProof/>
                <w:color w:val="000000"/>
                <w:sz w:val="20"/>
                <w:szCs w:val="20"/>
                <w:lang w:eastAsia="en-GB"/>
              </w:rPr>
              <w:t>10,811</w:t>
            </w:r>
          </w:p>
        </w:tc>
        <w:tc>
          <w:tcPr>
            <w:tcW w:w="1369" w:type="dxa"/>
            <w:tcBorders>
              <w:top w:val="single" w:sz="4" w:space="0" w:color="auto"/>
              <w:left w:val="single" w:sz="4" w:space="0" w:color="auto"/>
              <w:bottom w:val="single" w:sz="4" w:space="0" w:color="auto"/>
              <w:right w:val="single" w:sz="4" w:space="0" w:color="auto"/>
            </w:tcBorders>
            <w:vAlign w:val="bottom"/>
          </w:tcPr>
          <w:p w14:paraId="20F1B425" w14:textId="77777777" w:rsidR="009A3AD8" w:rsidRPr="006A0D14" w:rsidRDefault="009A3AD8" w:rsidP="006A0D14">
            <w:pPr>
              <w:spacing w:before="20" w:after="20"/>
              <w:jc w:val="right"/>
              <w:rPr>
                <w:noProof/>
                <w:sz w:val="20"/>
                <w:szCs w:val="20"/>
                <w:lang w:eastAsia="en-GB"/>
              </w:rPr>
            </w:pPr>
            <w:r w:rsidRPr="000217AE">
              <w:rPr>
                <w:noProof/>
                <w:color w:val="000000"/>
                <w:sz w:val="20"/>
                <w:szCs w:val="20"/>
                <w:lang w:eastAsia="en-GB"/>
              </w:rPr>
              <w:t>10,403</w:t>
            </w:r>
          </w:p>
        </w:tc>
        <w:tc>
          <w:tcPr>
            <w:tcW w:w="1369" w:type="dxa"/>
            <w:tcBorders>
              <w:top w:val="single" w:sz="4" w:space="0" w:color="auto"/>
              <w:left w:val="single" w:sz="4" w:space="0" w:color="auto"/>
              <w:bottom w:val="single" w:sz="4" w:space="0" w:color="auto"/>
              <w:right w:val="single" w:sz="4" w:space="0" w:color="auto"/>
            </w:tcBorders>
            <w:vAlign w:val="bottom"/>
          </w:tcPr>
          <w:p w14:paraId="7398AD11" w14:textId="19690D0B" w:rsidR="009A3AD8" w:rsidRPr="006A0D14" w:rsidRDefault="009A3AD8" w:rsidP="006A0D14">
            <w:pPr>
              <w:spacing w:before="20" w:after="20"/>
              <w:jc w:val="right"/>
              <w:rPr>
                <w:noProof/>
                <w:sz w:val="20"/>
                <w:szCs w:val="20"/>
                <w:lang w:eastAsia="en-GB"/>
              </w:rPr>
            </w:pPr>
            <w:r>
              <w:rPr>
                <w:noProof/>
                <w:color w:val="000000"/>
                <w:sz w:val="20"/>
                <w:szCs w:val="20"/>
                <w:lang w:eastAsia="en-GB"/>
              </w:rPr>
              <w:t>9,</w:t>
            </w:r>
            <w:r w:rsidR="008E168D">
              <w:rPr>
                <w:noProof/>
                <w:color w:val="000000"/>
                <w:sz w:val="20"/>
                <w:szCs w:val="20"/>
                <w:lang w:eastAsia="en-GB"/>
              </w:rPr>
              <w:t>371</w:t>
            </w:r>
          </w:p>
        </w:tc>
        <w:tc>
          <w:tcPr>
            <w:tcW w:w="2551" w:type="dxa"/>
            <w:tcBorders>
              <w:top w:val="single" w:sz="4" w:space="0" w:color="auto"/>
              <w:left w:val="single" w:sz="4" w:space="0" w:color="auto"/>
              <w:bottom w:val="single" w:sz="4" w:space="0" w:color="auto"/>
              <w:right w:val="single" w:sz="4" w:space="0" w:color="auto"/>
            </w:tcBorders>
            <w:vAlign w:val="bottom"/>
          </w:tcPr>
          <w:p w14:paraId="73CFEE7C" w14:textId="17D4DA17" w:rsidR="009A3AD8" w:rsidRPr="006A0D14" w:rsidRDefault="008E168D" w:rsidP="006A0D14">
            <w:pPr>
              <w:spacing w:before="20" w:after="20"/>
              <w:jc w:val="right"/>
              <w:rPr>
                <w:b/>
                <w:bCs/>
                <w:noProof/>
                <w:sz w:val="20"/>
                <w:szCs w:val="20"/>
                <w:lang w:eastAsia="en-GB"/>
              </w:rPr>
            </w:pPr>
            <w:r>
              <w:rPr>
                <w:b/>
                <w:bCs/>
                <w:noProof/>
                <w:color w:val="000000"/>
                <w:sz w:val="20"/>
                <w:szCs w:val="20"/>
                <w:lang w:eastAsia="en-GB"/>
              </w:rPr>
              <w:t>32,743</w:t>
            </w:r>
          </w:p>
        </w:tc>
      </w:tr>
      <w:tr w:rsidR="009A3AD8" w:rsidRPr="000217AE" w14:paraId="04A06BB0" w14:textId="77777777" w:rsidTr="006A0D14">
        <w:tc>
          <w:tcPr>
            <w:tcW w:w="3203" w:type="dxa"/>
            <w:vMerge/>
            <w:vAlign w:val="center"/>
          </w:tcPr>
          <w:p w14:paraId="2740F809" w14:textId="77777777" w:rsidR="009A3AD8" w:rsidRPr="000217AE" w:rsidRDefault="009A3AD8" w:rsidP="000217AE">
            <w:pPr>
              <w:rPr>
                <w:b/>
                <w:noProof/>
                <w:lang w:eastAsia="en-GB"/>
              </w:rPr>
            </w:pPr>
          </w:p>
        </w:tc>
        <w:tc>
          <w:tcPr>
            <w:tcW w:w="1440" w:type="dxa"/>
            <w:vAlign w:val="center"/>
          </w:tcPr>
          <w:p w14:paraId="0278378E" w14:textId="77777777" w:rsidR="009A3AD8" w:rsidRPr="000217AE" w:rsidRDefault="009A3AD8" w:rsidP="000217AE">
            <w:pPr>
              <w:rPr>
                <w:noProof/>
                <w:sz w:val="18"/>
                <w:lang w:eastAsia="en-GB"/>
              </w:rPr>
            </w:pPr>
            <w:r w:rsidRPr="000217AE">
              <w:rPr>
                <w:noProof/>
                <w:sz w:val="18"/>
                <w:lang w:eastAsia="en-GB"/>
              </w:rPr>
              <w:t>Payments</w:t>
            </w:r>
          </w:p>
        </w:tc>
        <w:tc>
          <w:tcPr>
            <w:tcW w:w="654" w:type="dxa"/>
            <w:gridSpan w:val="2"/>
            <w:vAlign w:val="center"/>
          </w:tcPr>
          <w:p w14:paraId="58F80499" w14:textId="77777777" w:rsidR="009A3AD8" w:rsidRPr="000217AE" w:rsidRDefault="009A3AD8" w:rsidP="000217AE">
            <w:pPr>
              <w:jc w:val="center"/>
              <w:rPr>
                <w:noProof/>
                <w:sz w:val="14"/>
                <w:lang w:eastAsia="en-GB"/>
              </w:rPr>
            </w:pPr>
            <w:r w:rsidRPr="000217AE">
              <w:rPr>
                <w:noProof/>
                <w:sz w:val="14"/>
                <w:lang w:eastAsia="en-GB"/>
              </w:rPr>
              <w:t>=2+2a</w:t>
            </w:r>
          </w:p>
          <w:p w14:paraId="3DD53C66" w14:textId="77777777" w:rsidR="009A3AD8" w:rsidRPr="000217AE" w:rsidRDefault="009A3AD8" w:rsidP="000217AE">
            <w:pPr>
              <w:jc w:val="center"/>
              <w:rPr>
                <w:noProof/>
                <w:sz w:val="14"/>
                <w:lang w:eastAsia="en-GB"/>
              </w:rPr>
            </w:pPr>
            <w:r w:rsidRPr="000217AE">
              <w:rPr>
                <w:noProof/>
                <w:sz w:val="14"/>
                <w:lang w:eastAsia="en-GB"/>
              </w:rPr>
              <w:t>+3b</w:t>
            </w:r>
          </w:p>
        </w:tc>
        <w:tc>
          <w:tcPr>
            <w:tcW w:w="1369" w:type="dxa"/>
            <w:tcBorders>
              <w:top w:val="single" w:sz="4" w:space="0" w:color="auto"/>
              <w:left w:val="nil"/>
              <w:bottom w:val="single" w:sz="4" w:space="0" w:color="auto"/>
              <w:right w:val="single" w:sz="4" w:space="0" w:color="auto"/>
            </w:tcBorders>
            <w:vAlign w:val="bottom"/>
          </w:tcPr>
          <w:p w14:paraId="387AE53B" w14:textId="6D4536BE" w:rsidR="009A3AD8" w:rsidRPr="006A0D14" w:rsidRDefault="008E168D" w:rsidP="006A0D14">
            <w:pPr>
              <w:spacing w:before="20" w:after="20"/>
              <w:jc w:val="right"/>
              <w:rPr>
                <w:noProof/>
                <w:sz w:val="20"/>
                <w:szCs w:val="20"/>
                <w:lang w:eastAsia="en-GB"/>
              </w:rPr>
            </w:pPr>
            <w:r>
              <w:rPr>
                <w:noProof/>
                <w:color w:val="000000"/>
                <w:sz w:val="20"/>
                <w:szCs w:val="20"/>
                <w:lang w:eastAsia="en-GB"/>
              </w:rPr>
              <w:t>1,693</w:t>
            </w:r>
          </w:p>
        </w:tc>
        <w:tc>
          <w:tcPr>
            <w:tcW w:w="1369" w:type="dxa"/>
            <w:tcBorders>
              <w:top w:val="single" w:sz="4" w:space="0" w:color="auto"/>
              <w:left w:val="single" w:sz="4" w:space="0" w:color="auto"/>
              <w:bottom w:val="single" w:sz="4" w:space="0" w:color="auto"/>
              <w:right w:val="single" w:sz="4" w:space="0" w:color="auto"/>
            </w:tcBorders>
            <w:vAlign w:val="bottom"/>
          </w:tcPr>
          <w:p w14:paraId="5DB8C98B" w14:textId="232B2E96" w:rsidR="009A3AD8" w:rsidRPr="006A0D14" w:rsidRDefault="008E168D" w:rsidP="006A0D14">
            <w:pPr>
              <w:spacing w:before="20" w:after="20"/>
              <w:jc w:val="right"/>
              <w:rPr>
                <w:noProof/>
                <w:sz w:val="20"/>
                <w:szCs w:val="20"/>
                <w:lang w:eastAsia="en-GB"/>
              </w:rPr>
            </w:pPr>
            <w:r>
              <w:rPr>
                <w:noProof/>
                <w:color w:val="000000"/>
                <w:sz w:val="20"/>
                <w:szCs w:val="20"/>
                <w:lang w:eastAsia="en-GB"/>
              </w:rPr>
              <w:t>7,463</w:t>
            </w:r>
          </w:p>
        </w:tc>
        <w:tc>
          <w:tcPr>
            <w:tcW w:w="1369" w:type="dxa"/>
            <w:tcBorders>
              <w:top w:val="single" w:sz="4" w:space="0" w:color="auto"/>
              <w:left w:val="single" w:sz="4" w:space="0" w:color="auto"/>
              <w:bottom w:val="single" w:sz="4" w:space="0" w:color="auto"/>
              <w:right w:val="single" w:sz="4" w:space="0" w:color="auto"/>
            </w:tcBorders>
            <w:vAlign w:val="bottom"/>
          </w:tcPr>
          <w:p w14:paraId="1518D3C8" w14:textId="3E0580D5" w:rsidR="009A3AD8" w:rsidRPr="006A0D14" w:rsidRDefault="008E168D" w:rsidP="006A0D14">
            <w:pPr>
              <w:spacing w:before="20" w:after="20"/>
              <w:jc w:val="right"/>
              <w:rPr>
                <w:noProof/>
                <w:sz w:val="20"/>
                <w:szCs w:val="20"/>
                <w:lang w:eastAsia="en-GB"/>
              </w:rPr>
            </w:pPr>
            <w:r>
              <w:rPr>
                <w:noProof/>
                <w:color w:val="000000"/>
                <w:sz w:val="20"/>
                <w:szCs w:val="20"/>
                <w:lang w:eastAsia="en-GB"/>
              </w:rPr>
              <w:t>9,834</w:t>
            </w:r>
          </w:p>
        </w:tc>
        <w:tc>
          <w:tcPr>
            <w:tcW w:w="1369" w:type="dxa"/>
            <w:tcBorders>
              <w:top w:val="single" w:sz="4" w:space="0" w:color="auto"/>
              <w:left w:val="single" w:sz="4" w:space="0" w:color="auto"/>
              <w:bottom w:val="single" w:sz="4" w:space="0" w:color="auto"/>
              <w:right w:val="single" w:sz="4" w:space="0" w:color="auto"/>
            </w:tcBorders>
            <w:vAlign w:val="bottom"/>
          </w:tcPr>
          <w:p w14:paraId="748163EA" w14:textId="5004B7A0" w:rsidR="009A3AD8" w:rsidRPr="006A0D14" w:rsidRDefault="002C7C73" w:rsidP="008E168D">
            <w:pPr>
              <w:spacing w:before="20" w:after="20"/>
              <w:jc w:val="right"/>
              <w:rPr>
                <w:noProof/>
                <w:sz w:val="20"/>
                <w:szCs w:val="20"/>
                <w:lang w:eastAsia="en-GB"/>
              </w:rPr>
            </w:pPr>
            <w:r>
              <w:rPr>
                <w:noProof/>
                <w:color w:val="000000"/>
                <w:sz w:val="20"/>
                <w:szCs w:val="20"/>
                <w:lang w:eastAsia="en-GB"/>
              </w:rPr>
              <w:t>13,</w:t>
            </w:r>
            <w:r w:rsidR="008E168D">
              <w:rPr>
                <w:noProof/>
                <w:color w:val="000000"/>
                <w:sz w:val="20"/>
                <w:szCs w:val="20"/>
                <w:lang w:eastAsia="en-GB"/>
              </w:rPr>
              <w:t>752</w:t>
            </w:r>
          </w:p>
        </w:tc>
        <w:tc>
          <w:tcPr>
            <w:tcW w:w="2551" w:type="dxa"/>
            <w:tcBorders>
              <w:top w:val="single" w:sz="4" w:space="0" w:color="auto"/>
              <w:left w:val="single" w:sz="4" w:space="0" w:color="auto"/>
              <w:bottom w:val="single" w:sz="4" w:space="0" w:color="auto"/>
              <w:right w:val="single" w:sz="4" w:space="0" w:color="auto"/>
            </w:tcBorders>
            <w:vAlign w:val="bottom"/>
          </w:tcPr>
          <w:p w14:paraId="3557CEAC" w14:textId="5916CB46" w:rsidR="009A3AD8" w:rsidRPr="006A0D14" w:rsidRDefault="008E168D" w:rsidP="006A0D14">
            <w:pPr>
              <w:spacing w:before="20" w:after="20"/>
              <w:jc w:val="right"/>
              <w:rPr>
                <w:b/>
                <w:bCs/>
                <w:noProof/>
                <w:sz w:val="20"/>
                <w:szCs w:val="20"/>
                <w:lang w:eastAsia="en-GB"/>
              </w:rPr>
            </w:pPr>
            <w:r>
              <w:rPr>
                <w:b/>
                <w:bCs/>
                <w:noProof/>
                <w:color w:val="000000"/>
                <w:sz w:val="20"/>
                <w:szCs w:val="20"/>
                <w:lang w:eastAsia="en-GB"/>
              </w:rPr>
              <w:t>32,743</w:t>
            </w:r>
          </w:p>
        </w:tc>
      </w:tr>
    </w:tbl>
    <w:p w14:paraId="194FF231" w14:textId="77777777" w:rsidR="000217AE" w:rsidRDefault="000217AE" w:rsidP="00ED2926">
      <w:pPr>
        <w:rPr>
          <w:noProof/>
        </w:rPr>
      </w:pPr>
    </w:p>
    <w:p w14:paraId="2B0AFE92" w14:textId="77777777" w:rsidR="000217AE" w:rsidRDefault="000217AE" w:rsidP="00ED2926">
      <w:pPr>
        <w:rPr>
          <w:noProof/>
        </w:rPr>
      </w:pPr>
    </w:p>
    <w:p w14:paraId="5FD4E66D" w14:textId="124AF414" w:rsidR="000217AE" w:rsidRDefault="000217AE" w:rsidP="00ED2926">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217AE" w:rsidRPr="000217AE" w14:paraId="116B9423" w14:textId="77777777" w:rsidTr="00B2088F">
        <w:trPr>
          <w:jc w:val="center"/>
        </w:trPr>
        <w:tc>
          <w:tcPr>
            <w:tcW w:w="4744" w:type="dxa"/>
            <w:shd w:val="thinDiagStripe" w:color="C0C0C0" w:fill="auto"/>
            <w:vAlign w:val="center"/>
          </w:tcPr>
          <w:p w14:paraId="0598D711" w14:textId="77777777" w:rsidR="000217AE" w:rsidRPr="000217AE" w:rsidRDefault="000217AE" w:rsidP="000217AE">
            <w:pPr>
              <w:spacing w:before="60" w:after="60"/>
              <w:jc w:val="center"/>
              <w:rPr>
                <w:b/>
                <w:noProof/>
                <w:lang w:eastAsia="en-GB"/>
              </w:rPr>
            </w:pPr>
            <w:r w:rsidRPr="000217AE">
              <w:rPr>
                <w:noProof/>
                <w:sz w:val="22"/>
                <w:lang w:eastAsia="en-GB"/>
              </w:rPr>
              <w:br w:type="page"/>
            </w:r>
            <w:r w:rsidRPr="000217AE">
              <w:rPr>
                <w:b/>
                <w:noProof/>
                <w:sz w:val="22"/>
                <w:lang w:eastAsia="en-GB"/>
              </w:rPr>
              <w:t xml:space="preserve">Heading of multiannual financial </w:t>
            </w:r>
            <w:r w:rsidRPr="000217AE">
              <w:rPr>
                <w:noProof/>
                <w:sz w:val="22"/>
                <w:lang w:eastAsia="en-GB"/>
              </w:rPr>
              <w:br/>
            </w:r>
            <w:r w:rsidRPr="000217AE">
              <w:rPr>
                <w:b/>
                <w:noProof/>
                <w:sz w:val="22"/>
                <w:lang w:eastAsia="en-GB"/>
              </w:rPr>
              <w:t xml:space="preserve">framework </w:t>
            </w:r>
          </w:p>
        </w:tc>
        <w:tc>
          <w:tcPr>
            <w:tcW w:w="1080" w:type="dxa"/>
            <w:shd w:val="thinDiagStripe" w:color="C0C0C0" w:fill="auto"/>
            <w:vAlign w:val="center"/>
          </w:tcPr>
          <w:p w14:paraId="537F5721" w14:textId="77777777" w:rsidR="000217AE" w:rsidRPr="000217AE" w:rsidRDefault="000217AE" w:rsidP="000217AE">
            <w:pPr>
              <w:spacing w:before="60" w:after="60"/>
              <w:jc w:val="center"/>
              <w:rPr>
                <w:noProof/>
                <w:lang w:eastAsia="en-GB"/>
              </w:rPr>
            </w:pPr>
            <w:r w:rsidRPr="000217AE">
              <w:rPr>
                <w:b/>
                <w:noProof/>
                <w:sz w:val="22"/>
                <w:lang w:eastAsia="en-GB"/>
              </w:rPr>
              <w:t>7</w:t>
            </w:r>
          </w:p>
        </w:tc>
        <w:tc>
          <w:tcPr>
            <w:tcW w:w="7817" w:type="dxa"/>
            <w:vAlign w:val="center"/>
          </w:tcPr>
          <w:p w14:paraId="573E706B" w14:textId="77777777" w:rsidR="000217AE" w:rsidRPr="000217AE" w:rsidRDefault="000217AE" w:rsidP="000217AE">
            <w:pPr>
              <w:spacing w:before="60" w:after="60"/>
              <w:rPr>
                <w:noProof/>
                <w:lang w:eastAsia="en-GB"/>
              </w:rPr>
            </w:pPr>
            <w:r w:rsidRPr="000217AE">
              <w:rPr>
                <w:noProof/>
                <w:sz w:val="22"/>
                <w:lang w:eastAsia="en-GB"/>
              </w:rPr>
              <w:t>‘Administrative expenditure’</w:t>
            </w:r>
          </w:p>
        </w:tc>
      </w:tr>
    </w:tbl>
    <w:p w14:paraId="671EBF54" w14:textId="77777777" w:rsidR="000217AE" w:rsidRPr="000217AE" w:rsidRDefault="000217AE" w:rsidP="000217AE">
      <w:pPr>
        <w:jc w:val="right"/>
        <w:rPr>
          <w:noProof/>
          <w:sz w:val="20"/>
        </w:rPr>
      </w:pPr>
      <w:r>
        <w:rPr>
          <w:noProof/>
        </w:rPr>
        <w:tab/>
      </w:r>
      <w:r>
        <w:rPr>
          <w:noProof/>
          <w:sz w:val="20"/>
        </w:rPr>
        <w:t>EUR million (to three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176"/>
        <w:gridCol w:w="358"/>
        <w:gridCol w:w="1425"/>
        <w:gridCol w:w="1134"/>
        <w:gridCol w:w="1276"/>
        <w:gridCol w:w="1418"/>
        <w:gridCol w:w="2551"/>
      </w:tblGrid>
      <w:tr w:rsidR="001F14ED" w:rsidRPr="000217AE" w14:paraId="3A703853" w14:textId="77777777" w:rsidTr="006A0D14">
        <w:tc>
          <w:tcPr>
            <w:tcW w:w="3960" w:type="dxa"/>
            <w:tcBorders>
              <w:top w:val="nil"/>
              <w:left w:val="nil"/>
              <w:right w:val="nil"/>
            </w:tcBorders>
            <w:vAlign w:val="center"/>
          </w:tcPr>
          <w:p w14:paraId="219EF7B2" w14:textId="77777777" w:rsidR="001F14ED" w:rsidRPr="000217AE" w:rsidRDefault="001F14ED" w:rsidP="000217AE">
            <w:pPr>
              <w:jc w:val="center"/>
              <w:rPr>
                <w:noProof/>
                <w:lang w:eastAsia="en-GB"/>
              </w:rPr>
            </w:pPr>
          </w:p>
        </w:tc>
        <w:tc>
          <w:tcPr>
            <w:tcW w:w="1560" w:type="dxa"/>
            <w:gridSpan w:val="2"/>
            <w:tcBorders>
              <w:top w:val="nil"/>
              <w:left w:val="nil"/>
              <w:right w:val="nil"/>
            </w:tcBorders>
          </w:tcPr>
          <w:p w14:paraId="6A913D01" w14:textId="77777777" w:rsidR="001F14ED" w:rsidRPr="000217AE" w:rsidRDefault="001F14ED" w:rsidP="000217AE">
            <w:pPr>
              <w:rPr>
                <w:noProof/>
                <w:sz w:val="20"/>
                <w:lang w:eastAsia="en-GB"/>
              </w:rPr>
            </w:pPr>
          </w:p>
        </w:tc>
        <w:tc>
          <w:tcPr>
            <w:tcW w:w="534" w:type="dxa"/>
            <w:gridSpan w:val="2"/>
            <w:tcBorders>
              <w:top w:val="nil"/>
              <w:left w:val="nil"/>
            </w:tcBorders>
          </w:tcPr>
          <w:p w14:paraId="60DE4B4B" w14:textId="77777777" w:rsidR="001F14ED" w:rsidRPr="000217AE" w:rsidRDefault="001F14ED" w:rsidP="000217AE">
            <w:pPr>
              <w:jc w:val="center"/>
              <w:rPr>
                <w:noProof/>
                <w:sz w:val="20"/>
                <w:lang w:eastAsia="en-GB"/>
              </w:rPr>
            </w:pPr>
          </w:p>
        </w:tc>
        <w:tc>
          <w:tcPr>
            <w:tcW w:w="1425" w:type="dxa"/>
            <w:vAlign w:val="center"/>
          </w:tcPr>
          <w:p w14:paraId="4AFB66B8" w14:textId="77777777" w:rsidR="001F14ED" w:rsidRPr="000217AE" w:rsidRDefault="001F14ED"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2024</w:t>
            </w:r>
          </w:p>
        </w:tc>
        <w:tc>
          <w:tcPr>
            <w:tcW w:w="1134" w:type="dxa"/>
            <w:tcBorders>
              <w:bottom w:val="single" w:sz="4" w:space="0" w:color="auto"/>
            </w:tcBorders>
            <w:vAlign w:val="center"/>
          </w:tcPr>
          <w:p w14:paraId="29A07EF5" w14:textId="77777777" w:rsidR="001F14ED" w:rsidRPr="000217AE" w:rsidRDefault="001F14ED"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2025</w:t>
            </w:r>
          </w:p>
        </w:tc>
        <w:tc>
          <w:tcPr>
            <w:tcW w:w="1276" w:type="dxa"/>
            <w:tcBorders>
              <w:bottom w:val="single" w:sz="4" w:space="0" w:color="auto"/>
            </w:tcBorders>
            <w:vAlign w:val="center"/>
          </w:tcPr>
          <w:p w14:paraId="0D3335E1" w14:textId="77777777" w:rsidR="001F14ED" w:rsidRPr="000217AE" w:rsidRDefault="001F14ED"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2026</w:t>
            </w:r>
          </w:p>
        </w:tc>
        <w:tc>
          <w:tcPr>
            <w:tcW w:w="1418" w:type="dxa"/>
            <w:tcBorders>
              <w:bottom w:val="single" w:sz="4" w:space="0" w:color="auto"/>
            </w:tcBorders>
          </w:tcPr>
          <w:p w14:paraId="00A6A70C" w14:textId="77777777" w:rsidR="001F14ED" w:rsidRPr="000217AE" w:rsidRDefault="001F14ED" w:rsidP="000217AE">
            <w:pPr>
              <w:jc w:val="center"/>
              <w:rPr>
                <w:noProof/>
                <w:sz w:val="20"/>
                <w:lang w:eastAsia="en-GB"/>
              </w:rPr>
            </w:pPr>
            <w:r w:rsidRPr="000217AE">
              <w:rPr>
                <w:noProof/>
                <w:sz w:val="20"/>
                <w:lang w:eastAsia="en-GB"/>
              </w:rPr>
              <w:t>Year</w:t>
            </w:r>
            <w:r w:rsidRPr="000217AE">
              <w:rPr>
                <w:noProof/>
                <w:sz w:val="22"/>
                <w:lang w:eastAsia="en-GB"/>
              </w:rPr>
              <w:br/>
            </w:r>
            <w:r w:rsidRPr="000217AE">
              <w:rPr>
                <w:b/>
                <w:noProof/>
                <w:sz w:val="20"/>
                <w:lang w:eastAsia="en-GB"/>
              </w:rPr>
              <w:t>2027</w:t>
            </w:r>
          </w:p>
        </w:tc>
        <w:tc>
          <w:tcPr>
            <w:tcW w:w="2551" w:type="dxa"/>
            <w:tcBorders>
              <w:bottom w:val="single" w:sz="4" w:space="0" w:color="auto"/>
            </w:tcBorders>
            <w:vAlign w:val="center"/>
          </w:tcPr>
          <w:p w14:paraId="31BCFE30" w14:textId="77777777" w:rsidR="001F14ED" w:rsidRPr="000217AE" w:rsidRDefault="001F14ED" w:rsidP="000217AE">
            <w:pPr>
              <w:jc w:val="center"/>
              <w:rPr>
                <w:b/>
                <w:noProof/>
                <w:sz w:val="20"/>
                <w:lang w:eastAsia="en-GB"/>
              </w:rPr>
            </w:pPr>
            <w:r w:rsidRPr="000217AE">
              <w:rPr>
                <w:b/>
                <w:noProof/>
                <w:sz w:val="20"/>
                <w:lang w:eastAsia="en-GB"/>
              </w:rPr>
              <w:t>TOTAL</w:t>
            </w:r>
          </w:p>
        </w:tc>
      </w:tr>
      <w:tr w:rsidR="001F14ED" w:rsidRPr="000217AE" w14:paraId="5BE214C9" w14:textId="77777777" w:rsidTr="006A0D14">
        <w:trPr>
          <w:gridAfter w:val="6"/>
          <w:wAfter w:w="8162" w:type="dxa"/>
        </w:trPr>
        <w:tc>
          <w:tcPr>
            <w:tcW w:w="3960" w:type="dxa"/>
            <w:vAlign w:val="center"/>
          </w:tcPr>
          <w:p w14:paraId="7E2DAD87" w14:textId="77777777" w:rsidR="001F14ED" w:rsidRPr="000217AE" w:rsidRDefault="001F14ED" w:rsidP="000217AE">
            <w:pPr>
              <w:spacing w:before="60" w:after="60"/>
              <w:jc w:val="center"/>
              <w:rPr>
                <w:noProof/>
                <w:lang w:eastAsia="en-GB"/>
              </w:rPr>
            </w:pPr>
            <w:r w:rsidRPr="160710AA">
              <w:rPr>
                <w:noProof/>
                <w:sz w:val="22"/>
                <w:lang w:eastAsia="en-GB"/>
              </w:rPr>
              <w:t xml:space="preserve">DG: </w:t>
            </w:r>
            <w:r w:rsidRPr="000217AE">
              <w:rPr>
                <w:noProof/>
                <w:lang w:eastAsia="en-GB"/>
              </w:rPr>
              <w:t>JUST</w:t>
            </w:r>
          </w:p>
        </w:tc>
        <w:tc>
          <w:tcPr>
            <w:tcW w:w="868" w:type="dxa"/>
          </w:tcPr>
          <w:p w14:paraId="39670B08" w14:textId="77777777" w:rsidR="001F14ED" w:rsidRPr="000217AE" w:rsidRDefault="001F14ED" w:rsidP="000217AE">
            <w:pPr>
              <w:spacing w:before="60" w:after="60"/>
              <w:jc w:val="center"/>
              <w:rPr>
                <w:noProof/>
                <w:sz w:val="22"/>
                <w:lang w:eastAsia="en-GB"/>
              </w:rPr>
            </w:pPr>
          </w:p>
        </w:tc>
        <w:tc>
          <w:tcPr>
            <w:tcW w:w="868" w:type="dxa"/>
            <w:gridSpan w:val="2"/>
          </w:tcPr>
          <w:p w14:paraId="411EF677" w14:textId="77777777" w:rsidR="001F14ED" w:rsidRPr="000217AE" w:rsidRDefault="001F14ED" w:rsidP="000217AE">
            <w:pPr>
              <w:spacing w:before="60" w:after="60"/>
              <w:jc w:val="center"/>
              <w:rPr>
                <w:noProof/>
                <w:sz w:val="22"/>
                <w:lang w:eastAsia="en-GB"/>
              </w:rPr>
            </w:pPr>
          </w:p>
        </w:tc>
      </w:tr>
      <w:tr w:rsidR="001F14ED" w:rsidRPr="000217AE" w14:paraId="0FF98B4E" w14:textId="77777777" w:rsidTr="006A0D14">
        <w:trPr>
          <w:trHeight w:val="313"/>
        </w:trPr>
        <w:tc>
          <w:tcPr>
            <w:tcW w:w="6054" w:type="dxa"/>
            <w:gridSpan w:val="5"/>
            <w:vAlign w:val="center"/>
          </w:tcPr>
          <w:p w14:paraId="0B444FE5" w14:textId="77777777" w:rsidR="001F14ED" w:rsidRPr="000217AE" w:rsidRDefault="001F14ED" w:rsidP="000217AE">
            <w:pPr>
              <w:spacing w:before="20" w:after="20"/>
              <w:rPr>
                <w:noProof/>
                <w:lang w:eastAsia="en-GB"/>
              </w:rPr>
            </w:pPr>
            <w:r w:rsidRPr="000217AE">
              <w:rPr>
                <w:noProof/>
                <w:sz w:val="22"/>
                <w:lang w:eastAsia="en-GB"/>
              </w:rPr>
              <w:sym w:font="Wingdings" w:char="F09F"/>
            </w:r>
            <w:r w:rsidRPr="000217AE">
              <w:rPr>
                <w:noProof/>
                <w:sz w:val="22"/>
                <w:lang w:eastAsia="en-GB"/>
              </w:rPr>
              <w:t xml:space="preserve"> Human Resources </w:t>
            </w:r>
          </w:p>
        </w:tc>
        <w:tc>
          <w:tcPr>
            <w:tcW w:w="1425" w:type="dxa"/>
            <w:vAlign w:val="center"/>
          </w:tcPr>
          <w:p w14:paraId="56B9B4BE" w14:textId="60824D39" w:rsidR="001F14ED" w:rsidRPr="006A0D14" w:rsidRDefault="001F14ED" w:rsidP="006A0D14">
            <w:pPr>
              <w:spacing w:before="20" w:after="20"/>
              <w:jc w:val="right"/>
              <w:rPr>
                <w:noProof/>
                <w:sz w:val="20"/>
                <w:szCs w:val="20"/>
                <w:lang w:eastAsia="en-GB"/>
              </w:rPr>
            </w:pPr>
            <w:r w:rsidRPr="00F0090D">
              <w:rPr>
                <w:noProof/>
                <w:sz w:val="20"/>
                <w:szCs w:val="20"/>
                <w:lang w:eastAsia="en-GB"/>
              </w:rPr>
              <w:t>0,2</w:t>
            </w:r>
            <w:r w:rsidR="00553E3B" w:rsidRPr="00F0090D">
              <w:rPr>
                <w:noProof/>
                <w:sz w:val="20"/>
                <w:szCs w:val="20"/>
                <w:lang w:eastAsia="en-GB"/>
              </w:rPr>
              <w:t>3</w:t>
            </w:r>
            <w:r w:rsidRPr="00F0090D">
              <w:rPr>
                <w:noProof/>
                <w:sz w:val="20"/>
                <w:szCs w:val="20"/>
                <w:lang w:eastAsia="en-GB"/>
              </w:rPr>
              <w:t>8</w:t>
            </w:r>
          </w:p>
        </w:tc>
        <w:tc>
          <w:tcPr>
            <w:tcW w:w="1134" w:type="dxa"/>
            <w:vAlign w:val="center"/>
          </w:tcPr>
          <w:p w14:paraId="2D57D1D7" w14:textId="01D97920" w:rsidR="001F14ED" w:rsidRPr="006A0D14" w:rsidRDefault="001F14ED" w:rsidP="006A0D14">
            <w:pPr>
              <w:spacing w:before="20" w:after="20"/>
              <w:jc w:val="right"/>
              <w:rPr>
                <w:noProof/>
                <w:sz w:val="20"/>
                <w:szCs w:val="20"/>
                <w:lang w:eastAsia="en-GB"/>
              </w:rPr>
            </w:pPr>
            <w:r w:rsidRPr="00F0090D">
              <w:rPr>
                <w:noProof/>
                <w:sz w:val="20"/>
                <w:szCs w:val="20"/>
                <w:lang w:eastAsia="en-GB"/>
              </w:rPr>
              <w:t>0,2</w:t>
            </w:r>
            <w:r w:rsidR="00553E3B" w:rsidRPr="00F0090D">
              <w:rPr>
                <w:noProof/>
                <w:sz w:val="20"/>
                <w:szCs w:val="20"/>
                <w:lang w:eastAsia="en-GB"/>
              </w:rPr>
              <w:t>3</w:t>
            </w:r>
            <w:r w:rsidRPr="00F0090D">
              <w:rPr>
                <w:noProof/>
                <w:sz w:val="20"/>
                <w:szCs w:val="20"/>
                <w:lang w:eastAsia="en-GB"/>
              </w:rPr>
              <w:t>8</w:t>
            </w:r>
          </w:p>
        </w:tc>
        <w:tc>
          <w:tcPr>
            <w:tcW w:w="1276" w:type="dxa"/>
            <w:vAlign w:val="center"/>
          </w:tcPr>
          <w:p w14:paraId="1D19DF67" w14:textId="0F0865F1" w:rsidR="001F14ED" w:rsidRPr="006A0D14" w:rsidRDefault="001F14ED" w:rsidP="006A0D14">
            <w:pPr>
              <w:spacing w:before="20" w:after="20"/>
              <w:jc w:val="right"/>
              <w:rPr>
                <w:noProof/>
                <w:sz w:val="20"/>
                <w:szCs w:val="20"/>
                <w:lang w:eastAsia="en-GB"/>
              </w:rPr>
            </w:pPr>
            <w:r w:rsidRPr="00F0090D">
              <w:rPr>
                <w:noProof/>
                <w:sz w:val="20"/>
                <w:szCs w:val="20"/>
                <w:lang w:eastAsia="en-GB"/>
              </w:rPr>
              <w:t>0,2</w:t>
            </w:r>
            <w:r w:rsidR="00553E3B" w:rsidRPr="00F0090D">
              <w:rPr>
                <w:noProof/>
                <w:sz w:val="20"/>
                <w:szCs w:val="20"/>
                <w:lang w:eastAsia="en-GB"/>
              </w:rPr>
              <w:t>3</w:t>
            </w:r>
            <w:r w:rsidRPr="00F0090D">
              <w:rPr>
                <w:noProof/>
                <w:sz w:val="20"/>
                <w:szCs w:val="20"/>
                <w:lang w:eastAsia="en-GB"/>
              </w:rPr>
              <w:t>8</w:t>
            </w:r>
          </w:p>
        </w:tc>
        <w:tc>
          <w:tcPr>
            <w:tcW w:w="1418" w:type="dxa"/>
          </w:tcPr>
          <w:p w14:paraId="049C3209" w14:textId="503B9390" w:rsidR="001F14ED" w:rsidRPr="006A0D14" w:rsidRDefault="001F14ED" w:rsidP="006A0D14">
            <w:pPr>
              <w:spacing w:before="20" w:after="20"/>
              <w:jc w:val="right"/>
              <w:rPr>
                <w:noProof/>
                <w:sz w:val="20"/>
                <w:szCs w:val="20"/>
                <w:lang w:eastAsia="en-GB"/>
              </w:rPr>
            </w:pPr>
            <w:r w:rsidRPr="00F0090D">
              <w:rPr>
                <w:noProof/>
                <w:sz w:val="20"/>
                <w:szCs w:val="20"/>
                <w:lang w:eastAsia="en-GB"/>
              </w:rPr>
              <w:t>0,2</w:t>
            </w:r>
            <w:r w:rsidR="00553E3B" w:rsidRPr="00F0090D">
              <w:rPr>
                <w:noProof/>
                <w:sz w:val="20"/>
                <w:szCs w:val="20"/>
                <w:lang w:eastAsia="en-GB"/>
              </w:rPr>
              <w:t>3</w:t>
            </w:r>
            <w:r w:rsidRPr="00F0090D">
              <w:rPr>
                <w:noProof/>
                <w:sz w:val="20"/>
                <w:szCs w:val="20"/>
                <w:lang w:eastAsia="en-GB"/>
              </w:rPr>
              <w:t>8</w:t>
            </w:r>
          </w:p>
        </w:tc>
        <w:tc>
          <w:tcPr>
            <w:tcW w:w="2551" w:type="dxa"/>
            <w:vAlign w:val="center"/>
          </w:tcPr>
          <w:p w14:paraId="78DEA1FE" w14:textId="39951215" w:rsidR="001F14ED" w:rsidRPr="006A0D14" w:rsidRDefault="00E845AC" w:rsidP="006A0D14">
            <w:pPr>
              <w:spacing w:before="20" w:after="20"/>
              <w:jc w:val="right"/>
              <w:rPr>
                <w:b/>
                <w:bCs/>
                <w:noProof/>
                <w:sz w:val="20"/>
                <w:szCs w:val="20"/>
                <w:lang w:eastAsia="en-GB"/>
              </w:rPr>
            </w:pPr>
            <w:r w:rsidRPr="00805B56">
              <w:rPr>
                <w:b/>
                <w:bCs/>
                <w:noProof/>
                <w:sz w:val="20"/>
                <w:szCs w:val="20"/>
                <w:lang w:eastAsia="en-GB"/>
              </w:rPr>
              <w:t>0,</w:t>
            </w:r>
            <w:r w:rsidR="002E7B42">
              <w:rPr>
                <w:b/>
                <w:bCs/>
                <w:noProof/>
                <w:sz w:val="20"/>
                <w:szCs w:val="20"/>
                <w:lang w:eastAsia="en-GB"/>
              </w:rPr>
              <w:t>952</w:t>
            </w:r>
          </w:p>
        </w:tc>
      </w:tr>
      <w:tr w:rsidR="001F14ED" w:rsidRPr="000217AE" w14:paraId="24F5AA1B" w14:textId="77777777" w:rsidTr="006A0D14">
        <w:trPr>
          <w:trHeight w:val="351"/>
        </w:trPr>
        <w:tc>
          <w:tcPr>
            <w:tcW w:w="6054" w:type="dxa"/>
            <w:gridSpan w:val="5"/>
            <w:vAlign w:val="center"/>
          </w:tcPr>
          <w:p w14:paraId="7361F6E4" w14:textId="77777777" w:rsidR="001F14ED" w:rsidRPr="000217AE" w:rsidRDefault="001F14ED" w:rsidP="000217AE">
            <w:pPr>
              <w:spacing w:before="20" w:after="20"/>
              <w:rPr>
                <w:noProof/>
                <w:lang w:eastAsia="en-GB"/>
              </w:rPr>
            </w:pPr>
            <w:r w:rsidRPr="000217AE">
              <w:rPr>
                <w:noProof/>
                <w:sz w:val="22"/>
                <w:lang w:eastAsia="en-GB"/>
              </w:rPr>
              <w:sym w:font="Wingdings" w:char="F09F"/>
            </w:r>
            <w:r w:rsidRPr="000217AE">
              <w:rPr>
                <w:noProof/>
                <w:sz w:val="22"/>
                <w:lang w:eastAsia="en-GB"/>
              </w:rPr>
              <w:t xml:space="preserve"> Other administrative expenditure </w:t>
            </w:r>
          </w:p>
        </w:tc>
        <w:tc>
          <w:tcPr>
            <w:tcW w:w="1425" w:type="dxa"/>
            <w:vAlign w:val="center"/>
          </w:tcPr>
          <w:p w14:paraId="10497494" w14:textId="77777777" w:rsidR="001F14ED" w:rsidRPr="000217AE" w:rsidRDefault="001F14ED" w:rsidP="000217AE">
            <w:pPr>
              <w:spacing w:before="20" w:after="20"/>
              <w:jc w:val="right"/>
              <w:rPr>
                <w:b/>
                <w:noProof/>
                <w:sz w:val="20"/>
                <w:lang w:eastAsia="en-GB"/>
              </w:rPr>
            </w:pPr>
            <w:r w:rsidRPr="000217AE">
              <w:rPr>
                <w:b/>
                <w:noProof/>
                <w:sz w:val="20"/>
                <w:lang w:eastAsia="en-GB"/>
              </w:rPr>
              <w:t>0</w:t>
            </w:r>
          </w:p>
        </w:tc>
        <w:tc>
          <w:tcPr>
            <w:tcW w:w="1134" w:type="dxa"/>
            <w:vAlign w:val="center"/>
          </w:tcPr>
          <w:p w14:paraId="6D0A0D08" w14:textId="77777777" w:rsidR="001F14ED" w:rsidRPr="000217AE" w:rsidRDefault="001F14ED" w:rsidP="000217AE">
            <w:pPr>
              <w:spacing w:before="20" w:after="20"/>
              <w:jc w:val="right"/>
              <w:rPr>
                <w:b/>
                <w:noProof/>
                <w:sz w:val="20"/>
                <w:lang w:eastAsia="en-GB"/>
              </w:rPr>
            </w:pPr>
            <w:r w:rsidRPr="000217AE">
              <w:rPr>
                <w:b/>
                <w:noProof/>
                <w:sz w:val="20"/>
                <w:lang w:eastAsia="en-GB"/>
              </w:rPr>
              <w:t>0</w:t>
            </w:r>
          </w:p>
        </w:tc>
        <w:tc>
          <w:tcPr>
            <w:tcW w:w="1276" w:type="dxa"/>
            <w:vAlign w:val="center"/>
          </w:tcPr>
          <w:p w14:paraId="35A2DFBF" w14:textId="77777777" w:rsidR="001F14ED" w:rsidRPr="000217AE" w:rsidRDefault="001F14ED" w:rsidP="000217AE">
            <w:pPr>
              <w:spacing w:before="20" w:after="20"/>
              <w:jc w:val="right"/>
              <w:rPr>
                <w:b/>
                <w:noProof/>
                <w:sz w:val="20"/>
                <w:lang w:eastAsia="en-GB"/>
              </w:rPr>
            </w:pPr>
            <w:r w:rsidRPr="000217AE">
              <w:rPr>
                <w:b/>
                <w:noProof/>
                <w:sz w:val="20"/>
                <w:lang w:eastAsia="en-GB"/>
              </w:rPr>
              <w:t>0</w:t>
            </w:r>
          </w:p>
        </w:tc>
        <w:tc>
          <w:tcPr>
            <w:tcW w:w="1418" w:type="dxa"/>
          </w:tcPr>
          <w:p w14:paraId="446E7555" w14:textId="77777777" w:rsidR="001F14ED" w:rsidRPr="000217AE" w:rsidRDefault="001F14ED" w:rsidP="000217AE">
            <w:pPr>
              <w:spacing w:before="20" w:after="20"/>
              <w:jc w:val="right"/>
              <w:rPr>
                <w:b/>
                <w:noProof/>
                <w:sz w:val="20"/>
                <w:lang w:eastAsia="en-GB"/>
              </w:rPr>
            </w:pPr>
            <w:r w:rsidRPr="000217AE">
              <w:rPr>
                <w:b/>
                <w:noProof/>
                <w:sz w:val="20"/>
                <w:lang w:eastAsia="en-GB"/>
              </w:rPr>
              <w:t>0</w:t>
            </w:r>
          </w:p>
        </w:tc>
        <w:tc>
          <w:tcPr>
            <w:tcW w:w="2551" w:type="dxa"/>
            <w:vAlign w:val="center"/>
          </w:tcPr>
          <w:p w14:paraId="69C42614" w14:textId="77777777" w:rsidR="001F14ED" w:rsidRPr="000217AE" w:rsidRDefault="001F14ED" w:rsidP="000217AE">
            <w:pPr>
              <w:spacing w:before="20" w:after="20"/>
              <w:jc w:val="right"/>
              <w:rPr>
                <w:b/>
                <w:noProof/>
                <w:sz w:val="20"/>
                <w:lang w:eastAsia="en-GB"/>
              </w:rPr>
            </w:pPr>
            <w:r w:rsidRPr="000217AE">
              <w:rPr>
                <w:b/>
                <w:noProof/>
                <w:sz w:val="20"/>
                <w:lang w:eastAsia="en-GB"/>
              </w:rPr>
              <w:t>0</w:t>
            </w:r>
          </w:p>
        </w:tc>
      </w:tr>
      <w:tr w:rsidR="001F14ED" w:rsidRPr="000217AE" w14:paraId="116774F9" w14:textId="77777777" w:rsidTr="006A0D14">
        <w:tc>
          <w:tcPr>
            <w:tcW w:w="3960" w:type="dxa"/>
            <w:vAlign w:val="center"/>
          </w:tcPr>
          <w:p w14:paraId="7F8B834E" w14:textId="77777777" w:rsidR="001F14ED" w:rsidRPr="006A0D14" w:rsidRDefault="001F14ED">
            <w:pPr>
              <w:jc w:val="center"/>
              <w:rPr>
                <w:b/>
                <w:bCs/>
                <w:noProof/>
                <w:lang w:eastAsia="en-GB"/>
              </w:rPr>
            </w:pPr>
            <w:r w:rsidRPr="160710AA">
              <w:rPr>
                <w:b/>
                <w:bCs/>
                <w:noProof/>
                <w:sz w:val="22"/>
                <w:lang w:eastAsia="en-GB"/>
              </w:rPr>
              <w:t xml:space="preserve">TOTAL DG </w:t>
            </w:r>
            <w:r w:rsidRPr="000217AE">
              <w:rPr>
                <w:noProof/>
                <w:lang w:eastAsia="en-GB"/>
              </w:rPr>
              <w:t>JUST</w:t>
            </w:r>
          </w:p>
        </w:tc>
        <w:tc>
          <w:tcPr>
            <w:tcW w:w="2094" w:type="dxa"/>
            <w:gridSpan w:val="4"/>
            <w:vAlign w:val="center"/>
          </w:tcPr>
          <w:p w14:paraId="26393BB4" w14:textId="77777777" w:rsidR="001F14ED" w:rsidRPr="000217AE" w:rsidRDefault="001F14ED" w:rsidP="000217AE">
            <w:pPr>
              <w:rPr>
                <w:noProof/>
                <w:sz w:val="14"/>
                <w:lang w:eastAsia="en-GB"/>
              </w:rPr>
            </w:pPr>
            <w:r w:rsidRPr="000217AE">
              <w:rPr>
                <w:noProof/>
                <w:sz w:val="18"/>
                <w:lang w:eastAsia="en-GB"/>
              </w:rPr>
              <w:t xml:space="preserve">Appropriations </w:t>
            </w:r>
          </w:p>
        </w:tc>
        <w:tc>
          <w:tcPr>
            <w:tcW w:w="1425" w:type="dxa"/>
            <w:vAlign w:val="center"/>
          </w:tcPr>
          <w:p w14:paraId="7CB41F4F" w14:textId="77777777" w:rsidR="001F14ED" w:rsidRPr="000217AE" w:rsidRDefault="001F14ED" w:rsidP="000217AE">
            <w:pPr>
              <w:spacing w:before="60" w:after="60"/>
              <w:jc w:val="right"/>
              <w:rPr>
                <w:noProof/>
                <w:sz w:val="20"/>
                <w:lang w:eastAsia="en-GB"/>
              </w:rPr>
            </w:pPr>
          </w:p>
        </w:tc>
        <w:tc>
          <w:tcPr>
            <w:tcW w:w="1134" w:type="dxa"/>
            <w:vAlign w:val="center"/>
          </w:tcPr>
          <w:p w14:paraId="25221F60" w14:textId="77777777" w:rsidR="001F14ED" w:rsidRPr="000217AE" w:rsidRDefault="001F14ED" w:rsidP="000217AE">
            <w:pPr>
              <w:spacing w:before="20" w:after="20"/>
              <w:jc w:val="right"/>
              <w:rPr>
                <w:noProof/>
                <w:sz w:val="20"/>
                <w:lang w:eastAsia="en-GB"/>
              </w:rPr>
            </w:pPr>
          </w:p>
        </w:tc>
        <w:tc>
          <w:tcPr>
            <w:tcW w:w="1276" w:type="dxa"/>
            <w:vAlign w:val="center"/>
          </w:tcPr>
          <w:p w14:paraId="291A5B27" w14:textId="77777777" w:rsidR="001F14ED" w:rsidRPr="000217AE" w:rsidRDefault="001F14ED" w:rsidP="000217AE">
            <w:pPr>
              <w:spacing w:before="20" w:after="20"/>
              <w:jc w:val="right"/>
              <w:rPr>
                <w:noProof/>
                <w:sz w:val="20"/>
                <w:lang w:eastAsia="en-GB"/>
              </w:rPr>
            </w:pPr>
          </w:p>
        </w:tc>
        <w:tc>
          <w:tcPr>
            <w:tcW w:w="1418" w:type="dxa"/>
          </w:tcPr>
          <w:p w14:paraId="7327A043" w14:textId="77777777" w:rsidR="001F14ED" w:rsidRPr="000217AE" w:rsidRDefault="001F14ED" w:rsidP="000217AE">
            <w:pPr>
              <w:spacing w:before="20" w:after="20"/>
              <w:jc w:val="right"/>
              <w:rPr>
                <w:noProof/>
                <w:sz w:val="20"/>
                <w:lang w:eastAsia="en-GB"/>
              </w:rPr>
            </w:pPr>
          </w:p>
        </w:tc>
        <w:tc>
          <w:tcPr>
            <w:tcW w:w="2551" w:type="dxa"/>
            <w:vAlign w:val="center"/>
          </w:tcPr>
          <w:p w14:paraId="302187E7" w14:textId="77777777" w:rsidR="001F14ED" w:rsidRPr="000217AE" w:rsidRDefault="001F14ED" w:rsidP="000217AE">
            <w:pPr>
              <w:spacing w:before="20" w:after="20"/>
              <w:jc w:val="right"/>
              <w:rPr>
                <w:b/>
                <w:noProof/>
                <w:sz w:val="20"/>
                <w:lang w:eastAsia="en-GB"/>
              </w:rPr>
            </w:pPr>
          </w:p>
        </w:tc>
      </w:tr>
    </w:tbl>
    <w:p w14:paraId="48FF35F2" w14:textId="77777777" w:rsidR="000217AE" w:rsidRDefault="000217AE" w:rsidP="00ED2926">
      <w:pPr>
        <w:rPr>
          <w:noProof/>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25"/>
        <w:gridCol w:w="1134"/>
        <w:gridCol w:w="1276"/>
        <w:gridCol w:w="1418"/>
        <w:gridCol w:w="2551"/>
      </w:tblGrid>
      <w:tr w:rsidR="001F14ED" w14:paraId="5C4C61B8" w14:textId="77777777" w:rsidTr="006A0D14">
        <w:tc>
          <w:tcPr>
            <w:tcW w:w="3960" w:type="dxa"/>
            <w:shd w:val="clear" w:color="auto" w:fill="auto"/>
            <w:vAlign w:val="center"/>
          </w:tcPr>
          <w:p w14:paraId="01C55551" w14:textId="77777777" w:rsidR="001F14ED" w:rsidRDefault="001F14ED" w:rsidP="00B2088F">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14:paraId="0A66B415" w14:textId="77777777" w:rsidR="001F14ED" w:rsidRDefault="001F14ED" w:rsidP="00B2088F">
            <w:pPr>
              <w:spacing w:before="40" w:after="40"/>
              <w:rPr>
                <w:noProof/>
              </w:rPr>
            </w:pPr>
            <w:r>
              <w:rPr>
                <w:noProof/>
                <w:sz w:val="18"/>
              </w:rPr>
              <w:t>(Total commitments = Total payments)</w:t>
            </w:r>
          </w:p>
        </w:tc>
        <w:tc>
          <w:tcPr>
            <w:tcW w:w="1425" w:type="dxa"/>
            <w:vAlign w:val="center"/>
          </w:tcPr>
          <w:p w14:paraId="21175131" w14:textId="26E3899F" w:rsidR="001F14ED" w:rsidRPr="006A0D14" w:rsidRDefault="001F14ED" w:rsidP="006A0D14">
            <w:pPr>
              <w:spacing w:before="20" w:after="20"/>
              <w:jc w:val="right"/>
              <w:rPr>
                <w:noProof/>
                <w:sz w:val="20"/>
                <w:szCs w:val="20"/>
              </w:rPr>
            </w:pPr>
            <w:r w:rsidRPr="00F0090D">
              <w:rPr>
                <w:noProof/>
                <w:sz w:val="20"/>
                <w:szCs w:val="20"/>
              </w:rPr>
              <w:t>0,2</w:t>
            </w:r>
            <w:r w:rsidR="00553E3B" w:rsidRPr="00F0090D">
              <w:rPr>
                <w:noProof/>
                <w:sz w:val="20"/>
                <w:szCs w:val="20"/>
              </w:rPr>
              <w:t>3</w:t>
            </w:r>
            <w:r w:rsidRPr="00F0090D">
              <w:rPr>
                <w:noProof/>
                <w:sz w:val="20"/>
                <w:szCs w:val="20"/>
              </w:rPr>
              <w:t>8</w:t>
            </w:r>
          </w:p>
        </w:tc>
        <w:tc>
          <w:tcPr>
            <w:tcW w:w="1134" w:type="dxa"/>
            <w:vAlign w:val="center"/>
          </w:tcPr>
          <w:p w14:paraId="16927AD1" w14:textId="02235203" w:rsidR="001F14ED" w:rsidRPr="006A0D14" w:rsidRDefault="001F14ED" w:rsidP="006A0D14">
            <w:pPr>
              <w:spacing w:before="20" w:after="20"/>
              <w:jc w:val="right"/>
              <w:rPr>
                <w:noProof/>
                <w:sz w:val="20"/>
                <w:szCs w:val="20"/>
              </w:rPr>
            </w:pPr>
            <w:r w:rsidRPr="00F0090D">
              <w:rPr>
                <w:noProof/>
                <w:sz w:val="20"/>
                <w:szCs w:val="20"/>
              </w:rPr>
              <w:t>0,2</w:t>
            </w:r>
            <w:r w:rsidR="00553E3B" w:rsidRPr="00F0090D">
              <w:rPr>
                <w:noProof/>
                <w:sz w:val="20"/>
                <w:szCs w:val="20"/>
              </w:rPr>
              <w:t>3</w:t>
            </w:r>
            <w:r w:rsidRPr="00F0090D">
              <w:rPr>
                <w:noProof/>
                <w:sz w:val="20"/>
                <w:szCs w:val="20"/>
              </w:rPr>
              <w:t>8</w:t>
            </w:r>
          </w:p>
        </w:tc>
        <w:tc>
          <w:tcPr>
            <w:tcW w:w="1276" w:type="dxa"/>
            <w:vAlign w:val="center"/>
          </w:tcPr>
          <w:p w14:paraId="0C7E6D19" w14:textId="200DE7E0" w:rsidR="001F14ED" w:rsidRPr="006A0D14" w:rsidRDefault="001F14ED" w:rsidP="006A0D14">
            <w:pPr>
              <w:spacing w:before="20" w:after="20"/>
              <w:jc w:val="right"/>
              <w:rPr>
                <w:noProof/>
                <w:sz w:val="20"/>
                <w:szCs w:val="20"/>
              </w:rPr>
            </w:pPr>
            <w:r w:rsidRPr="00F0090D">
              <w:rPr>
                <w:noProof/>
                <w:sz w:val="20"/>
                <w:szCs w:val="20"/>
              </w:rPr>
              <w:t>0,2</w:t>
            </w:r>
            <w:r w:rsidR="00553E3B" w:rsidRPr="00F0090D">
              <w:rPr>
                <w:noProof/>
                <w:sz w:val="20"/>
                <w:szCs w:val="20"/>
              </w:rPr>
              <w:t>3</w:t>
            </w:r>
            <w:r w:rsidRPr="00F0090D">
              <w:rPr>
                <w:noProof/>
                <w:sz w:val="20"/>
                <w:szCs w:val="20"/>
              </w:rPr>
              <w:t>8</w:t>
            </w:r>
          </w:p>
        </w:tc>
        <w:tc>
          <w:tcPr>
            <w:tcW w:w="1418" w:type="dxa"/>
            <w:vAlign w:val="center"/>
          </w:tcPr>
          <w:p w14:paraId="692C06A6" w14:textId="50854B5A" w:rsidR="001F14ED" w:rsidRPr="006A0D14" w:rsidRDefault="001F14ED" w:rsidP="006A0D14">
            <w:pPr>
              <w:spacing w:before="20" w:after="20"/>
              <w:jc w:val="right"/>
              <w:rPr>
                <w:noProof/>
                <w:sz w:val="20"/>
                <w:szCs w:val="20"/>
              </w:rPr>
            </w:pPr>
            <w:r w:rsidRPr="00F0090D">
              <w:rPr>
                <w:noProof/>
                <w:sz w:val="20"/>
                <w:szCs w:val="20"/>
              </w:rPr>
              <w:t>0,2</w:t>
            </w:r>
            <w:r w:rsidR="00553E3B" w:rsidRPr="00F0090D">
              <w:rPr>
                <w:noProof/>
                <w:sz w:val="20"/>
                <w:szCs w:val="20"/>
              </w:rPr>
              <w:t>3</w:t>
            </w:r>
            <w:r w:rsidRPr="00F0090D">
              <w:rPr>
                <w:noProof/>
                <w:sz w:val="20"/>
                <w:szCs w:val="20"/>
              </w:rPr>
              <w:t>8</w:t>
            </w:r>
          </w:p>
        </w:tc>
        <w:tc>
          <w:tcPr>
            <w:tcW w:w="2551" w:type="dxa"/>
            <w:vAlign w:val="center"/>
          </w:tcPr>
          <w:p w14:paraId="6FE9180B" w14:textId="72C55735" w:rsidR="001F14ED" w:rsidRPr="006A0D14" w:rsidRDefault="00E845AC" w:rsidP="006A0D14">
            <w:pPr>
              <w:spacing w:before="20" w:after="20"/>
              <w:jc w:val="right"/>
              <w:rPr>
                <w:b/>
                <w:bCs/>
                <w:noProof/>
                <w:sz w:val="20"/>
                <w:szCs w:val="20"/>
              </w:rPr>
            </w:pPr>
            <w:r w:rsidRPr="00805B56">
              <w:rPr>
                <w:b/>
                <w:bCs/>
                <w:noProof/>
                <w:sz w:val="20"/>
                <w:szCs w:val="20"/>
              </w:rPr>
              <w:t>0,</w:t>
            </w:r>
            <w:r w:rsidR="002E7B42">
              <w:rPr>
                <w:b/>
                <w:bCs/>
                <w:noProof/>
                <w:sz w:val="20"/>
                <w:szCs w:val="20"/>
              </w:rPr>
              <w:t>952</w:t>
            </w:r>
          </w:p>
        </w:tc>
      </w:tr>
    </w:tbl>
    <w:p w14:paraId="794DB644" w14:textId="77777777" w:rsidR="007270A0" w:rsidRDefault="007270A0" w:rsidP="00ED2926">
      <w:pPr>
        <w:rPr>
          <w:noProof/>
        </w:rPr>
      </w:pPr>
    </w:p>
    <w:p w14:paraId="35565A85" w14:textId="77777777" w:rsidR="007270A0" w:rsidRPr="007270A0" w:rsidRDefault="007270A0" w:rsidP="007270A0">
      <w:pPr>
        <w:jc w:val="right"/>
        <w:rPr>
          <w:noProof/>
          <w:sz w:val="20"/>
        </w:rPr>
      </w:pPr>
      <w:r>
        <w:rPr>
          <w:noProof/>
        </w:rPr>
        <w:tab/>
      </w:r>
      <w:r>
        <w:rPr>
          <w:noProof/>
          <w:sz w:val="20"/>
        </w:rPr>
        <w:t>EUR million (to three decimal places)</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25"/>
        <w:gridCol w:w="1134"/>
        <w:gridCol w:w="1276"/>
        <w:gridCol w:w="1418"/>
        <w:gridCol w:w="2551"/>
      </w:tblGrid>
      <w:tr w:rsidR="00A838BB" w14:paraId="4C223C84" w14:textId="77777777" w:rsidTr="00534D23">
        <w:tc>
          <w:tcPr>
            <w:tcW w:w="3960" w:type="dxa"/>
            <w:tcBorders>
              <w:top w:val="nil"/>
              <w:left w:val="nil"/>
              <w:right w:val="nil"/>
            </w:tcBorders>
            <w:vAlign w:val="center"/>
          </w:tcPr>
          <w:p w14:paraId="4CDB780F" w14:textId="77777777" w:rsidR="00A838BB" w:rsidRDefault="00A838BB" w:rsidP="00B2088F">
            <w:pPr>
              <w:jc w:val="center"/>
              <w:rPr>
                <w:noProof/>
              </w:rPr>
            </w:pPr>
          </w:p>
        </w:tc>
        <w:tc>
          <w:tcPr>
            <w:tcW w:w="1560" w:type="dxa"/>
            <w:tcBorders>
              <w:top w:val="nil"/>
              <w:left w:val="nil"/>
              <w:right w:val="nil"/>
            </w:tcBorders>
          </w:tcPr>
          <w:p w14:paraId="1A99A5D4" w14:textId="77777777" w:rsidR="00A838BB" w:rsidRDefault="00A838BB" w:rsidP="00B2088F">
            <w:pPr>
              <w:rPr>
                <w:noProof/>
                <w:sz w:val="20"/>
              </w:rPr>
            </w:pPr>
          </w:p>
        </w:tc>
        <w:tc>
          <w:tcPr>
            <w:tcW w:w="534" w:type="dxa"/>
            <w:tcBorders>
              <w:top w:val="nil"/>
              <w:left w:val="nil"/>
            </w:tcBorders>
          </w:tcPr>
          <w:p w14:paraId="137B6958" w14:textId="77777777" w:rsidR="00A838BB" w:rsidRDefault="00A838BB" w:rsidP="00B2088F">
            <w:pPr>
              <w:jc w:val="center"/>
              <w:rPr>
                <w:noProof/>
                <w:sz w:val="20"/>
              </w:rPr>
            </w:pPr>
          </w:p>
        </w:tc>
        <w:tc>
          <w:tcPr>
            <w:tcW w:w="1425" w:type="dxa"/>
            <w:vAlign w:val="center"/>
          </w:tcPr>
          <w:p w14:paraId="008518B5" w14:textId="77777777" w:rsidR="00A838BB" w:rsidRDefault="00A838BB" w:rsidP="00B2088F">
            <w:pPr>
              <w:jc w:val="center"/>
              <w:rPr>
                <w:noProof/>
                <w:sz w:val="20"/>
              </w:rPr>
            </w:pPr>
            <w:r w:rsidRPr="00805B56">
              <w:rPr>
                <w:noProof/>
                <w:sz w:val="20"/>
                <w:szCs w:val="20"/>
              </w:rPr>
              <w:t>Year</w:t>
            </w:r>
            <w:r>
              <w:rPr>
                <w:noProof/>
                <w:sz w:val="22"/>
              </w:rPr>
              <w:br/>
            </w:r>
            <w:r w:rsidRPr="00805B56">
              <w:rPr>
                <w:b/>
                <w:bCs/>
                <w:noProof/>
                <w:sz w:val="20"/>
                <w:szCs w:val="20"/>
              </w:rPr>
              <w:t>2024</w:t>
            </w:r>
            <w:r w:rsidRPr="00805B56">
              <w:rPr>
                <w:rStyle w:val="FootnoteReference"/>
                <w:b/>
                <w:bCs/>
                <w:noProof/>
                <w:sz w:val="20"/>
                <w:szCs w:val="20"/>
              </w:rPr>
              <w:footnoteReference w:id="56"/>
            </w:r>
          </w:p>
        </w:tc>
        <w:tc>
          <w:tcPr>
            <w:tcW w:w="1134" w:type="dxa"/>
            <w:vAlign w:val="center"/>
          </w:tcPr>
          <w:p w14:paraId="0D119307" w14:textId="2190A1A4" w:rsidR="00A838BB" w:rsidRDefault="00A838BB" w:rsidP="00B2088F">
            <w:pPr>
              <w:jc w:val="center"/>
              <w:rPr>
                <w:noProof/>
                <w:sz w:val="20"/>
              </w:rPr>
            </w:pPr>
            <w:r>
              <w:rPr>
                <w:noProof/>
                <w:sz w:val="20"/>
              </w:rPr>
              <w:t>Year</w:t>
            </w:r>
            <w:r>
              <w:rPr>
                <w:noProof/>
                <w:sz w:val="22"/>
              </w:rPr>
              <w:br/>
            </w:r>
            <w:r>
              <w:rPr>
                <w:b/>
                <w:noProof/>
                <w:sz w:val="20"/>
              </w:rPr>
              <w:t>2025</w:t>
            </w:r>
          </w:p>
        </w:tc>
        <w:tc>
          <w:tcPr>
            <w:tcW w:w="1276" w:type="dxa"/>
            <w:vAlign w:val="center"/>
          </w:tcPr>
          <w:p w14:paraId="76421AA7" w14:textId="4495C627" w:rsidR="00A838BB" w:rsidRDefault="00A838BB" w:rsidP="00B2088F">
            <w:pPr>
              <w:jc w:val="center"/>
              <w:rPr>
                <w:noProof/>
                <w:sz w:val="20"/>
              </w:rPr>
            </w:pPr>
            <w:r>
              <w:rPr>
                <w:noProof/>
                <w:sz w:val="20"/>
              </w:rPr>
              <w:t>Year</w:t>
            </w:r>
            <w:r>
              <w:rPr>
                <w:noProof/>
                <w:sz w:val="22"/>
              </w:rPr>
              <w:br/>
            </w:r>
            <w:r>
              <w:rPr>
                <w:b/>
                <w:noProof/>
                <w:sz w:val="20"/>
              </w:rPr>
              <w:t>2026</w:t>
            </w:r>
          </w:p>
        </w:tc>
        <w:tc>
          <w:tcPr>
            <w:tcW w:w="1418" w:type="dxa"/>
            <w:vAlign w:val="center"/>
          </w:tcPr>
          <w:p w14:paraId="61057D54" w14:textId="40DF9B23" w:rsidR="00A838BB" w:rsidRDefault="00A838BB" w:rsidP="00A838BB">
            <w:pPr>
              <w:jc w:val="center"/>
              <w:rPr>
                <w:noProof/>
                <w:sz w:val="20"/>
              </w:rPr>
            </w:pPr>
            <w:r>
              <w:rPr>
                <w:noProof/>
                <w:sz w:val="20"/>
              </w:rPr>
              <w:t>Year</w:t>
            </w:r>
            <w:r>
              <w:rPr>
                <w:noProof/>
                <w:sz w:val="22"/>
              </w:rPr>
              <w:br/>
            </w:r>
            <w:r>
              <w:rPr>
                <w:b/>
                <w:noProof/>
                <w:sz w:val="20"/>
              </w:rPr>
              <w:t>2027</w:t>
            </w:r>
          </w:p>
        </w:tc>
        <w:tc>
          <w:tcPr>
            <w:tcW w:w="2551" w:type="dxa"/>
            <w:vAlign w:val="center"/>
          </w:tcPr>
          <w:p w14:paraId="3F2A12DB" w14:textId="77777777" w:rsidR="00A838BB" w:rsidRDefault="00A838BB" w:rsidP="00B2088F">
            <w:pPr>
              <w:jc w:val="center"/>
              <w:rPr>
                <w:b/>
                <w:noProof/>
                <w:sz w:val="20"/>
              </w:rPr>
            </w:pPr>
            <w:r>
              <w:rPr>
                <w:b/>
                <w:noProof/>
                <w:sz w:val="20"/>
              </w:rPr>
              <w:t>TOTAL</w:t>
            </w:r>
          </w:p>
        </w:tc>
      </w:tr>
      <w:tr w:rsidR="00A838BB" w14:paraId="4099E2A0" w14:textId="77777777" w:rsidTr="00534D23">
        <w:tc>
          <w:tcPr>
            <w:tcW w:w="3960" w:type="dxa"/>
            <w:vMerge w:val="restart"/>
            <w:shd w:val="clear" w:color="auto" w:fill="C0C0C0"/>
            <w:vAlign w:val="center"/>
          </w:tcPr>
          <w:p w14:paraId="58786F70" w14:textId="77777777" w:rsidR="00A838BB" w:rsidRDefault="00A838BB" w:rsidP="00B2088F">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14:paraId="1F581393" w14:textId="77777777" w:rsidR="00A838BB" w:rsidRDefault="00A838BB" w:rsidP="00B2088F">
            <w:pPr>
              <w:rPr>
                <w:noProof/>
                <w:sz w:val="14"/>
              </w:rPr>
            </w:pPr>
            <w:r>
              <w:rPr>
                <w:noProof/>
                <w:sz w:val="18"/>
              </w:rPr>
              <w:t>Commitments</w:t>
            </w:r>
          </w:p>
        </w:tc>
        <w:tc>
          <w:tcPr>
            <w:tcW w:w="1425" w:type="dxa"/>
            <w:vAlign w:val="center"/>
          </w:tcPr>
          <w:p w14:paraId="10F3B9DC" w14:textId="149A36CA" w:rsidR="00A838BB" w:rsidRDefault="00A838BB" w:rsidP="00B2088F">
            <w:pPr>
              <w:spacing w:before="60" w:after="60"/>
              <w:jc w:val="right"/>
              <w:rPr>
                <w:noProof/>
                <w:sz w:val="20"/>
              </w:rPr>
            </w:pPr>
            <w:r>
              <w:rPr>
                <w:noProof/>
                <w:sz w:val="20"/>
              </w:rPr>
              <w:t>2,396</w:t>
            </w:r>
          </w:p>
        </w:tc>
        <w:tc>
          <w:tcPr>
            <w:tcW w:w="1134" w:type="dxa"/>
            <w:vAlign w:val="center"/>
          </w:tcPr>
          <w:p w14:paraId="712DDD06" w14:textId="03BF15F8" w:rsidR="00A838BB" w:rsidRDefault="00A838BB" w:rsidP="00B2088F">
            <w:pPr>
              <w:spacing w:before="60" w:after="60"/>
              <w:jc w:val="right"/>
              <w:rPr>
                <w:noProof/>
                <w:sz w:val="20"/>
              </w:rPr>
            </w:pPr>
            <w:r>
              <w:rPr>
                <w:noProof/>
                <w:sz w:val="20"/>
              </w:rPr>
              <w:t>11,049</w:t>
            </w:r>
          </w:p>
        </w:tc>
        <w:tc>
          <w:tcPr>
            <w:tcW w:w="1276" w:type="dxa"/>
            <w:vAlign w:val="center"/>
          </w:tcPr>
          <w:p w14:paraId="0785208D" w14:textId="62B53BCC" w:rsidR="00A838BB" w:rsidRDefault="00A838BB" w:rsidP="00B2088F">
            <w:pPr>
              <w:spacing w:before="60" w:after="60"/>
              <w:jc w:val="right"/>
              <w:rPr>
                <w:noProof/>
                <w:sz w:val="20"/>
              </w:rPr>
            </w:pPr>
            <w:r>
              <w:rPr>
                <w:noProof/>
                <w:sz w:val="20"/>
              </w:rPr>
              <w:t>10,641</w:t>
            </w:r>
          </w:p>
        </w:tc>
        <w:tc>
          <w:tcPr>
            <w:tcW w:w="1418" w:type="dxa"/>
            <w:vAlign w:val="center"/>
          </w:tcPr>
          <w:p w14:paraId="193E6DF5" w14:textId="02F92E29" w:rsidR="00A838BB" w:rsidRDefault="00A838BB" w:rsidP="00B2088F">
            <w:pPr>
              <w:spacing w:before="60" w:after="60"/>
              <w:jc w:val="right"/>
              <w:rPr>
                <w:noProof/>
                <w:sz w:val="20"/>
              </w:rPr>
            </w:pPr>
            <w:r>
              <w:rPr>
                <w:noProof/>
                <w:sz w:val="20"/>
              </w:rPr>
              <w:t>9,609</w:t>
            </w:r>
          </w:p>
        </w:tc>
        <w:tc>
          <w:tcPr>
            <w:tcW w:w="2551" w:type="dxa"/>
            <w:vAlign w:val="center"/>
          </w:tcPr>
          <w:p w14:paraId="0A4628DA" w14:textId="773585A8" w:rsidR="00A838BB" w:rsidRDefault="00A838BB" w:rsidP="00B2088F">
            <w:pPr>
              <w:spacing w:before="60" w:after="60"/>
              <w:jc w:val="right"/>
              <w:rPr>
                <w:b/>
                <w:noProof/>
                <w:sz w:val="20"/>
              </w:rPr>
            </w:pPr>
            <w:r>
              <w:rPr>
                <w:b/>
                <w:noProof/>
                <w:sz w:val="20"/>
              </w:rPr>
              <w:t>33,695</w:t>
            </w:r>
          </w:p>
        </w:tc>
      </w:tr>
      <w:tr w:rsidR="00A838BB" w14:paraId="739038D5" w14:textId="77777777" w:rsidTr="00534D23">
        <w:tc>
          <w:tcPr>
            <w:tcW w:w="3960" w:type="dxa"/>
            <w:vMerge/>
            <w:vAlign w:val="center"/>
          </w:tcPr>
          <w:p w14:paraId="6A97ED23" w14:textId="77777777" w:rsidR="00A838BB" w:rsidRDefault="00A838BB" w:rsidP="00B2088F">
            <w:pPr>
              <w:rPr>
                <w:b/>
                <w:noProof/>
              </w:rPr>
            </w:pPr>
          </w:p>
        </w:tc>
        <w:tc>
          <w:tcPr>
            <w:tcW w:w="2094" w:type="dxa"/>
            <w:gridSpan w:val="2"/>
            <w:vAlign w:val="center"/>
          </w:tcPr>
          <w:p w14:paraId="61714FD3" w14:textId="77777777" w:rsidR="00A838BB" w:rsidRDefault="00A838BB" w:rsidP="00B2088F">
            <w:pPr>
              <w:rPr>
                <w:noProof/>
                <w:sz w:val="14"/>
              </w:rPr>
            </w:pPr>
            <w:r>
              <w:rPr>
                <w:noProof/>
                <w:sz w:val="18"/>
              </w:rPr>
              <w:t>Payments</w:t>
            </w:r>
          </w:p>
        </w:tc>
        <w:tc>
          <w:tcPr>
            <w:tcW w:w="1425" w:type="dxa"/>
            <w:vAlign w:val="center"/>
          </w:tcPr>
          <w:p w14:paraId="53103202" w14:textId="77C15916" w:rsidR="00A838BB" w:rsidRDefault="00A838BB" w:rsidP="00B2088F">
            <w:pPr>
              <w:spacing w:before="60" w:after="60"/>
              <w:jc w:val="right"/>
              <w:rPr>
                <w:noProof/>
                <w:sz w:val="20"/>
              </w:rPr>
            </w:pPr>
            <w:r>
              <w:rPr>
                <w:noProof/>
                <w:sz w:val="20"/>
              </w:rPr>
              <w:t>1,931</w:t>
            </w:r>
          </w:p>
        </w:tc>
        <w:tc>
          <w:tcPr>
            <w:tcW w:w="1134" w:type="dxa"/>
            <w:vAlign w:val="center"/>
          </w:tcPr>
          <w:p w14:paraId="2F5B6732" w14:textId="0361AFA5" w:rsidR="00A838BB" w:rsidRDefault="00A838BB" w:rsidP="00B2088F">
            <w:pPr>
              <w:spacing w:before="60" w:after="60"/>
              <w:jc w:val="right"/>
              <w:rPr>
                <w:noProof/>
                <w:sz w:val="20"/>
              </w:rPr>
            </w:pPr>
            <w:r>
              <w:rPr>
                <w:noProof/>
                <w:sz w:val="20"/>
              </w:rPr>
              <w:t>7,701</w:t>
            </w:r>
          </w:p>
        </w:tc>
        <w:tc>
          <w:tcPr>
            <w:tcW w:w="1276" w:type="dxa"/>
            <w:vAlign w:val="center"/>
          </w:tcPr>
          <w:p w14:paraId="6092B54A" w14:textId="3BF871A6" w:rsidR="00A838BB" w:rsidRDefault="00A838BB" w:rsidP="00B2088F">
            <w:pPr>
              <w:spacing w:before="60" w:after="60"/>
              <w:jc w:val="right"/>
              <w:rPr>
                <w:noProof/>
                <w:sz w:val="20"/>
              </w:rPr>
            </w:pPr>
            <w:r>
              <w:rPr>
                <w:noProof/>
                <w:sz w:val="20"/>
              </w:rPr>
              <w:t>10,072</w:t>
            </w:r>
          </w:p>
        </w:tc>
        <w:tc>
          <w:tcPr>
            <w:tcW w:w="1418" w:type="dxa"/>
            <w:vAlign w:val="center"/>
          </w:tcPr>
          <w:p w14:paraId="7741C6B3" w14:textId="2F8A2537" w:rsidR="00A838BB" w:rsidRDefault="00A838BB" w:rsidP="00B2088F">
            <w:pPr>
              <w:spacing w:before="60" w:after="60"/>
              <w:jc w:val="right"/>
              <w:rPr>
                <w:noProof/>
                <w:sz w:val="20"/>
              </w:rPr>
            </w:pPr>
            <w:r>
              <w:rPr>
                <w:noProof/>
                <w:sz w:val="20"/>
              </w:rPr>
              <w:t>13,99</w:t>
            </w:r>
          </w:p>
        </w:tc>
        <w:tc>
          <w:tcPr>
            <w:tcW w:w="2551" w:type="dxa"/>
            <w:vAlign w:val="center"/>
          </w:tcPr>
          <w:p w14:paraId="4046B4BB" w14:textId="40A6F2E0" w:rsidR="00A838BB" w:rsidRDefault="00A838BB" w:rsidP="00B2088F">
            <w:pPr>
              <w:spacing w:before="60" w:after="60"/>
              <w:jc w:val="right"/>
              <w:rPr>
                <w:b/>
                <w:noProof/>
                <w:sz w:val="20"/>
              </w:rPr>
            </w:pPr>
            <w:r>
              <w:rPr>
                <w:b/>
                <w:noProof/>
                <w:sz w:val="20"/>
              </w:rPr>
              <w:t>33,695</w:t>
            </w:r>
          </w:p>
        </w:tc>
      </w:tr>
    </w:tbl>
    <w:p w14:paraId="0F9D80F1" w14:textId="77777777" w:rsidR="00436363" w:rsidRDefault="00436363" w:rsidP="00ED2926">
      <w:pPr>
        <w:rPr>
          <w:noProof/>
        </w:rPr>
      </w:pPr>
    </w:p>
    <w:p w14:paraId="28685958" w14:textId="09890E60" w:rsidR="007270A0" w:rsidRPr="00900A33" w:rsidRDefault="00306677" w:rsidP="00306677">
      <w:pPr>
        <w:pStyle w:val="ManualHeading3"/>
        <w:rPr>
          <w:noProof/>
        </w:rPr>
      </w:pPr>
      <w:bookmarkStart w:id="119" w:name="_Toc514938054"/>
      <w:bookmarkStart w:id="120" w:name="_Toc520485053"/>
      <w:bookmarkStart w:id="121" w:name="_Toc84517600"/>
      <w:r w:rsidRPr="00306677">
        <w:t>3.2.2.</w:t>
      </w:r>
      <w:r w:rsidRPr="00306677">
        <w:tab/>
      </w:r>
      <w:r w:rsidR="00436363" w:rsidRPr="00900A33">
        <w:rPr>
          <w:noProof/>
        </w:rPr>
        <w:t>Estimated output funded with operational appropriations</w:t>
      </w:r>
      <w:bookmarkEnd w:id="119"/>
      <w:bookmarkEnd w:id="120"/>
      <w:bookmarkEnd w:id="121"/>
      <w:r w:rsidR="00436363" w:rsidRPr="00900A33">
        <w:rPr>
          <w:noProof/>
        </w:rPr>
        <w:t xml:space="preserve"> </w:t>
      </w:r>
    </w:p>
    <w:p w14:paraId="46385CDC" w14:textId="77777777" w:rsidR="007270A0" w:rsidRPr="00957C3E" w:rsidRDefault="007270A0" w:rsidP="007270A0">
      <w:pPr>
        <w:pStyle w:val="ListDash1"/>
        <w:tabs>
          <w:tab w:val="clear" w:pos="1134"/>
          <w:tab w:val="num" w:pos="993"/>
        </w:tabs>
        <w:ind w:hanging="425"/>
        <w:rPr>
          <w:noProof/>
        </w:rPr>
      </w:pPr>
      <w:r w:rsidRPr="00957C3E">
        <w:rPr>
          <w:noProof/>
        </w:rPr>
        <w:sym w:font="Wingdings" w:char="F0A8"/>
      </w:r>
      <w:r w:rsidRPr="00957C3E">
        <w:rPr>
          <w:noProof/>
        </w:rPr>
        <w:tab/>
        <w:t xml:space="preserve">The proposal/initiative does not require the use of operational appropriations </w:t>
      </w:r>
    </w:p>
    <w:p w14:paraId="7B4F403B" w14:textId="77777777" w:rsidR="007270A0" w:rsidRPr="007270A0" w:rsidRDefault="007270A0" w:rsidP="00906BEE">
      <w:pPr>
        <w:pStyle w:val="ListDash1"/>
        <w:tabs>
          <w:tab w:val="clear" w:pos="1134"/>
          <w:tab w:val="num" w:pos="993"/>
        </w:tabs>
        <w:ind w:hanging="425"/>
        <w:rPr>
          <w:noProof/>
        </w:rPr>
      </w:pPr>
      <w:r w:rsidRPr="00957C3E">
        <w:rPr>
          <w:noProof/>
        </w:rPr>
        <w:sym w:font="Wingdings" w:char="F0FE"/>
      </w:r>
      <w:r w:rsidRPr="00957C3E">
        <w:rPr>
          <w:noProof/>
        </w:rPr>
        <w:tab/>
        <w:t>The proposal/initiative requires the use of operational appropriations, as explained below:</w:t>
      </w:r>
    </w:p>
    <w:p w14:paraId="2A600F3F" w14:textId="77777777" w:rsidR="007270A0" w:rsidRPr="007270A0" w:rsidRDefault="00436363" w:rsidP="007270A0">
      <w:pPr>
        <w:jc w:val="right"/>
        <w:rPr>
          <w:noProof/>
          <w:sz w:val="20"/>
        </w:rPr>
      </w:pPr>
      <w:r>
        <w:rPr>
          <w:noProof/>
          <w:sz w:val="20"/>
        </w:rPr>
        <w:t>Commitment appropriations in EUR mi</w:t>
      </w:r>
      <w:r w:rsidR="007270A0">
        <w:rPr>
          <w:noProof/>
          <w:sz w:val="20"/>
        </w:rPr>
        <w:t>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63"/>
        <w:gridCol w:w="708"/>
        <w:gridCol w:w="567"/>
        <w:gridCol w:w="142"/>
        <w:gridCol w:w="616"/>
        <w:gridCol w:w="720"/>
        <w:gridCol w:w="900"/>
      </w:tblGrid>
      <w:tr w:rsidR="001B6792" w:rsidRPr="00957C3E" w14:paraId="1F828DA4" w14:textId="77777777" w:rsidTr="006A0D14">
        <w:trPr>
          <w:jc w:val="center"/>
        </w:trPr>
        <w:tc>
          <w:tcPr>
            <w:tcW w:w="1423" w:type="dxa"/>
            <w:vMerge w:val="restart"/>
            <w:vAlign w:val="center"/>
          </w:tcPr>
          <w:p w14:paraId="4235A872" w14:textId="77777777" w:rsidR="001B6792" w:rsidRPr="00957C3E" w:rsidRDefault="001B6792" w:rsidP="00B2088F">
            <w:pPr>
              <w:ind w:right="-29"/>
              <w:jc w:val="center"/>
              <w:rPr>
                <w:b/>
                <w:noProof/>
                <w:sz w:val="18"/>
              </w:rPr>
            </w:pPr>
            <w:r w:rsidRPr="00957C3E">
              <w:rPr>
                <w:b/>
                <w:noProof/>
                <w:sz w:val="18"/>
              </w:rPr>
              <w:t xml:space="preserve">Indicate objectives and outputs </w:t>
            </w:r>
          </w:p>
          <w:p w14:paraId="1F8BFEF9" w14:textId="77777777" w:rsidR="001B6792" w:rsidRPr="00957C3E" w:rsidRDefault="001B6792" w:rsidP="00B2088F">
            <w:pPr>
              <w:ind w:right="-29"/>
              <w:jc w:val="center"/>
              <w:rPr>
                <w:b/>
                <w:noProof/>
                <w:sz w:val="18"/>
              </w:rPr>
            </w:pPr>
          </w:p>
          <w:p w14:paraId="58C15CF7" w14:textId="77777777" w:rsidR="001B6792" w:rsidRPr="00957C3E" w:rsidRDefault="001B6792" w:rsidP="00B2088F">
            <w:pPr>
              <w:ind w:right="-29"/>
              <w:jc w:val="center"/>
              <w:rPr>
                <w:noProof/>
                <w:sz w:val="18"/>
              </w:rPr>
            </w:pPr>
            <w:r w:rsidRPr="00957C3E">
              <w:rPr>
                <w:noProof/>
                <w:sz w:val="18"/>
              </w:rPr>
              <w:sym w:font="Wingdings" w:char="F0F2"/>
            </w:r>
          </w:p>
        </w:tc>
        <w:tc>
          <w:tcPr>
            <w:tcW w:w="720" w:type="dxa"/>
            <w:vAlign w:val="center"/>
          </w:tcPr>
          <w:p w14:paraId="0D1846A7" w14:textId="77777777" w:rsidR="001B6792" w:rsidRPr="00957C3E" w:rsidRDefault="001B6792" w:rsidP="00B2088F">
            <w:pPr>
              <w:ind w:right="-29"/>
              <w:jc w:val="center"/>
              <w:rPr>
                <w:noProof/>
                <w:sz w:val="18"/>
              </w:rPr>
            </w:pPr>
          </w:p>
        </w:tc>
        <w:tc>
          <w:tcPr>
            <w:tcW w:w="701" w:type="dxa"/>
            <w:vAlign w:val="center"/>
          </w:tcPr>
          <w:p w14:paraId="775B1CC0" w14:textId="77777777" w:rsidR="001B6792" w:rsidRPr="00957C3E" w:rsidRDefault="001B6792" w:rsidP="00B2088F">
            <w:pPr>
              <w:ind w:right="-29"/>
              <w:jc w:val="center"/>
              <w:rPr>
                <w:noProof/>
                <w:sz w:val="18"/>
              </w:rPr>
            </w:pPr>
          </w:p>
        </w:tc>
        <w:tc>
          <w:tcPr>
            <w:tcW w:w="1224" w:type="dxa"/>
            <w:gridSpan w:val="2"/>
            <w:tcBorders>
              <w:left w:val="nil"/>
            </w:tcBorders>
            <w:vAlign w:val="center"/>
          </w:tcPr>
          <w:p w14:paraId="7D6AF8C4" w14:textId="77777777" w:rsidR="001B6792" w:rsidRPr="00957C3E" w:rsidRDefault="001B6792" w:rsidP="00B2088F">
            <w:pPr>
              <w:ind w:right="-29"/>
              <w:jc w:val="center"/>
              <w:rPr>
                <w:noProof/>
                <w:sz w:val="18"/>
              </w:rPr>
            </w:pPr>
            <w:r w:rsidRPr="00957C3E">
              <w:rPr>
                <w:noProof/>
                <w:sz w:val="18"/>
              </w:rPr>
              <w:t>Year</w:t>
            </w:r>
            <w:r w:rsidRPr="00957C3E">
              <w:rPr>
                <w:noProof/>
                <w:sz w:val="22"/>
              </w:rPr>
              <w:br/>
            </w:r>
            <w:r w:rsidRPr="00957C3E">
              <w:rPr>
                <w:b/>
                <w:noProof/>
                <w:sz w:val="18"/>
              </w:rPr>
              <w:t>2024</w:t>
            </w:r>
          </w:p>
        </w:tc>
        <w:tc>
          <w:tcPr>
            <w:tcW w:w="1260" w:type="dxa"/>
            <w:gridSpan w:val="2"/>
            <w:vAlign w:val="center"/>
          </w:tcPr>
          <w:p w14:paraId="0BD683B2" w14:textId="77777777" w:rsidR="001B6792" w:rsidRPr="00957C3E" w:rsidRDefault="001B6792" w:rsidP="00B2088F">
            <w:pPr>
              <w:ind w:right="-29"/>
              <w:jc w:val="center"/>
              <w:rPr>
                <w:noProof/>
                <w:sz w:val="18"/>
              </w:rPr>
            </w:pPr>
            <w:r w:rsidRPr="00957C3E">
              <w:rPr>
                <w:noProof/>
                <w:sz w:val="18"/>
              </w:rPr>
              <w:t>Year</w:t>
            </w:r>
            <w:r w:rsidRPr="00957C3E">
              <w:rPr>
                <w:noProof/>
                <w:sz w:val="22"/>
              </w:rPr>
              <w:br/>
            </w:r>
            <w:r w:rsidRPr="00957C3E">
              <w:rPr>
                <w:b/>
                <w:noProof/>
                <w:sz w:val="18"/>
              </w:rPr>
              <w:t>2025</w:t>
            </w:r>
          </w:p>
        </w:tc>
        <w:tc>
          <w:tcPr>
            <w:tcW w:w="1471" w:type="dxa"/>
            <w:gridSpan w:val="2"/>
            <w:vAlign w:val="center"/>
          </w:tcPr>
          <w:p w14:paraId="3F870D52" w14:textId="77777777" w:rsidR="001B6792" w:rsidRPr="00957C3E" w:rsidRDefault="001B6792" w:rsidP="00B2088F">
            <w:pPr>
              <w:ind w:right="-29"/>
              <w:jc w:val="center"/>
              <w:rPr>
                <w:noProof/>
                <w:sz w:val="18"/>
              </w:rPr>
            </w:pPr>
            <w:r w:rsidRPr="00957C3E">
              <w:rPr>
                <w:noProof/>
                <w:sz w:val="18"/>
              </w:rPr>
              <w:t>Year</w:t>
            </w:r>
            <w:r w:rsidRPr="00957C3E">
              <w:rPr>
                <w:noProof/>
                <w:sz w:val="22"/>
              </w:rPr>
              <w:br/>
            </w:r>
            <w:r w:rsidRPr="00957C3E">
              <w:rPr>
                <w:b/>
                <w:noProof/>
                <w:sz w:val="18"/>
              </w:rPr>
              <w:t>2026</w:t>
            </w:r>
          </w:p>
        </w:tc>
        <w:tc>
          <w:tcPr>
            <w:tcW w:w="1325" w:type="dxa"/>
            <w:gridSpan w:val="3"/>
            <w:tcBorders>
              <w:bottom w:val="single" w:sz="4" w:space="0" w:color="auto"/>
            </w:tcBorders>
            <w:vAlign w:val="center"/>
          </w:tcPr>
          <w:p w14:paraId="3B16CB78" w14:textId="77777777" w:rsidR="001B6792" w:rsidRPr="00957C3E" w:rsidRDefault="001B6792" w:rsidP="00B2088F">
            <w:pPr>
              <w:ind w:right="-29"/>
              <w:jc w:val="center"/>
              <w:rPr>
                <w:noProof/>
                <w:sz w:val="18"/>
              </w:rPr>
            </w:pPr>
            <w:r w:rsidRPr="00957C3E">
              <w:rPr>
                <w:noProof/>
                <w:sz w:val="18"/>
              </w:rPr>
              <w:t>Year</w:t>
            </w:r>
            <w:r w:rsidRPr="00957C3E">
              <w:rPr>
                <w:noProof/>
                <w:sz w:val="22"/>
              </w:rPr>
              <w:br/>
            </w:r>
            <w:r w:rsidRPr="00957C3E">
              <w:rPr>
                <w:b/>
                <w:noProof/>
                <w:sz w:val="18"/>
              </w:rPr>
              <w:t>2027</w:t>
            </w:r>
          </w:p>
        </w:tc>
        <w:tc>
          <w:tcPr>
            <w:tcW w:w="1620" w:type="dxa"/>
            <w:gridSpan w:val="2"/>
            <w:tcBorders>
              <w:left w:val="nil"/>
              <w:bottom w:val="single" w:sz="4" w:space="0" w:color="auto"/>
            </w:tcBorders>
            <w:vAlign w:val="center"/>
          </w:tcPr>
          <w:p w14:paraId="4B6C9450" w14:textId="77777777" w:rsidR="001B6792" w:rsidRPr="00957C3E" w:rsidRDefault="001B6792" w:rsidP="00B2088F">
            <w:pPr>
              <w:ind w:right="-29"/>
              <w:jc w:val="center"/>
              <w:rPr>
                <w:noProof/>
                <w:sz w:val="18"/>
              </w:rPr>
            </w:pPr>
            <w:r w:rsidRPr="00957C3E">
              <w:rPr>
                <w:b/>
                <w:noProof/>
                <w:sz w:val="18"/>
              </w:rPr>
              <w:t>TOTAL</w:t>
            </w:r>
          </w:p>
        </w:tc>
      </w:tr>
      <w:tr w:rsidR="001B6792" w:rsidRPr="00957C3E" w14:paraId="56668099" w14:textId="77777777" w:rsidTr="00B2088F">
        <w:trPr>
          <w:gridAfter w:val="13"/>
          <w:wAfter w:w="8321" w:type="dxa"/>
          <w:trHeight w:val="447"/>
          <w:jc w:val="center"/>
        </w:trPr>
        <w:tc>
          <w:tcPr>
            <w:tcW w:w="1423" w:type="dxa"/>
            <w:vMerge/>
            <w:vAlign w:val="center"/>
          </w:tcPr>
          <w:p w14:paraId="6E80987A" w14:textId="77777777" w:rsidR="001B6792" w:rsidRPr="00957C3E" w:rsidRDefault="001B6792" w:rsidP="00B2088F">
            <w:pPr>
              <w:rPr>
                <w:noProof/>
                <w:sz w:val="18"/>
              </w:rPr>
            </w:pPr>
          </w:p>
        </w:tc>
      </w:tr>
      <w:tr w:rsidR="001B6792" w:rsidRPr="00957C3E" w14:paraId="046D3087" w14:textId="77777777" w:rsidTr="006A0D14">
        <w:trPr>
          <w:cantSplit/>
          <w:trHeight w:val="1134"/>
          <w:jc w:val="center"/>
        </w:trPr>
        <w:tc>
          <w:tcPr>
            <w:tcW w:w="1423" w:type="dxa"/>
            <w:vMerge/>
            <w:vAlign w:val="center"/>
          </w:tcPr>
          <w:p w14:paraId="35604639" w14:textId="77777777" w:rsidR="001B6792" w:rsidRPr="00957C3E" w:rsidRDefault="001B6792" w:rsidP="00B2088F">
            <w:pPr>
              <w:rPr>
                <w:noProof/>
                <w:sz w:val="18"/>
              </w:rPr>
            </w:pPr>
          </w:p>
        </w:tc>
        <w:tc>
          <w:tcPr>
            <w:tcW w:w="720" w:type="dxa"/>
            <w:vAlign w:val="center"/>
          </w:tcPr>
          <w:p w14:paraId="4972CDFA" w14:textId="77777777" w:rsidR="001B6792" w:rsidRPr="00957C3E" w:rsidRDefault="001B6792" w:rsidP="00B2088F">
            <w:pPr>
              <w:jc w:val="center"/>
              <w:rPr>
                <w:noProof/>
                <w:sz w:val="18"/>
              </w:rPr>
            </w:pPr>
            <w:r w:rsidRPr="00805B56">
              <w:rPr>
                <w:noProof/>
                <w:sz w:val="18"/>
                <w:szCs w:val="18"/>
              </w:rPr>
              <w:t>Type</w:t>
            </w:r>
            <w:r w:rsidRPr="00805B56">
              <w:rPr>
                <w:rStyle w:val="FootnoteReference"/>
                <w:noProof/>
                <w:sz w:val="18"/>
                <w:szCs w:val="18"/>
              </w:rPr>
              <w:footnoteReference w:id="57"/>
            </w:r>
          </w:p>
        </w:tc>
        <w:tc>
          <w:tcPr>
            <w:tcW w:w="701" w:type="dxa"/>
            <w:vAlign w:val="center"/>
          </w:tcPr>
          <w:p w14:paraId="5454BE6B" w14:textId="77777777" w:rsidR="001B6792" w:rsidRPr="00957C3E" w:rsidRDefault="001B6792" w:rsidP="00B2088F">
            <w:pPr>
              <w:jc w:val="center"/>
              <w:rPr>
                <w:noProof/>
              </w:rPr>
            </w:pPr>
            <w:r w:rsidRPr="00957C3E">
              <w:rPr>
                <w:noProof/>
                <w:sz w:val="18"/>
              </w:rPr>
              <w:t>Average cost</w:t>
            </w:r>
          </w:p>
        </w:tc>
        <w:tc>
          <w:tcPr>
            <w:tcW w:w="504" w:type="dxa"/>
            <w:tcBorders>
              <w:left w:val="nil"/>
              <w:right w:val="dashSmallGap" w:sz="4" w:space="0" w:color="auto"/>
            </w:tcBorders>
            <w:shd w:val="clear" w:color="auto" w:fill="auto"/>
            <w:textDirection w:val="btLr"/>
            <w:vAlign w:val="center"/>
          </w:tcPr>
          <w:p w14:paraId="5219FD77" w14:textId="77777777" w:rsidR="001B6792" w:rsidRPr="00957C3E" w:rsidRDefault="001B6792" w:rsidP="00B2088F">
            <w:pPr>
              <w:ind w:left="113" w:right="113"/>
              <w:jc w:val="center"/>
              <w:rPr>
                <w:noProof/>
              </w:rPr>
            </w:pPr>
            <w:r w:rsidRPr="00957C3E">
              <w:rPr>
                <w:noProof/>
                <w:sz w:val="18"/>
              </w:rPr>
              <w:t>No</w:t>
            </w:r>
          </w:p>
        </w:tc>
        <w:tc>
          <w:tcPr>
            <w:tcW w:w="720" w:type="dxa"/>
            <w:tcBorders>
              <w:left w:val="dashSmallGap" w:sz="4" w:space="0" w:color="auto"/>
            </w:tcBorders>
            <w:shd w:val="clear" w:color="auto" w:fill="auto"/>
            <w:vAlign w:val="center"/>
          </w:tcPr>
          <w:p w14:paraId="4A1D9BF7" w14:textId="77777777" w:rsidR="001B6792" w:rsidRPr="00957C3E" w:rsidRDefault="001B6792" w:rsidP="00B2088F">
            <w:pPr>
              <w:jc w:val="center"/>
              <w:rPr>
                <w:noProof/>
                <w:sz w:val="18"/>
              </w:rPr>
            </w:pPr>
            <w:r w:rsidRPr="00957C3E">
              <w:rPr>
                <w:noProof/>
                <w:sz w:val="18"/>
              </w:rPr>
              <w:t>Cost</w:t>
            </w:r>
          </w:p>
        </w:tc>
        <w:tc>
          <w:tcPr>
            <w:tcW w:w="540" w:type="dxa"/>
            <w:tcBorders>
              <w:right w:val="dashSmallGap" w:sz="4" w:space="0" w:color="auto"/>
            </w:tcBorders>
            <w:shd w:val="clear" w:color="auto" w:fill="auto"/>
            <w:textDirection w:val="btLr"/>
            <w:vAlign w:val="center"/>
          </w:tcPr>
          <w:p w14:paraId="6CF5357C" w14:textId="77777777" w:rsidR="001B6792" w:rsidRPr="00957C3E" w:rsidRDefault="001B6792" w:rsidP="00B2088F">
            <w:pPr>
              <w:ind w:left="113" w:right="113"/>
              <w:jc w:val="center"/>
              <w:rPr>
                <w:noProof/>
              </w:rPr>
            </w:pPr>
            <w:r w:rsidRPr="00957C3E">
              <w:rPr>
                <w:noProof/>
                <w:sz w:val="18"/>
              </w:rPr>
              <w:t>No</w:t>
            </w:r>
          </w:p>
        </w:tc>
        <w:tc>
          <w:tcPr>
            <w:tcW w:w="720" w:type="dxa"/>
            <w:tcBorders>
              <w:left w:val="dashSmallGap" w:sz="4" w:space="0" w:color="auto"/>
            </w:tcBorders>
            <w:shd w:val="clear" w:color="auto" w:fill="auto"/>
            <w:vAlign w:val="center"/>
          </w:tcPr>
          <w:p w14:paraId="1611BF53" w14:textId="77777777" w:rsidR="001B6792" w:rsidRPr="00957C3E" w:rsidRDefault="001B6792" w:rsidP="00B2088F">
            <w:pPr>
              <w:jc w:val="center"/>
              <w:rPr>
                <w:noProof/>
                <w:sz w:val="18"/>
              </w:rPr>
            </w:pPr>
            <w:r w:rsidRPr="00957C3E">
              <w:rPr>
                <w:noProof/>
                <w:sz w:val="18"/>
              </w:rPr>
              <w:t>Cost</w:t>
            </w:r>
          </w:p>
        </w:tc>
        <w:tc>
          <w:tcPr>
            <w:tcW w:w="763" w:type="dxa"/>
            <w:tcBorders>
              <w:right w:val="dashSmallGap" w:sz="4" w:space="0" w:color="auto"/>
            </w:tcBorders>
            <w:shd w:val="clear" w:color="auto" w:fill="auto"/>
            <w:textDirection w:val="btLr"/>
            <w:vAlign w:val="center"/>
          </w:tcPr>
          <w:p w14:paraId="41E58E92" w14:textId="77777777" w:rsidR="001B6792" w:rsidRPr="00957C3E" w:rsidRDefault="001B6792" w:rsidP="00B2088F">
            <w:pPr>
              <w:ind w:left="113" w:right="113"/>
              <w:jc w:val="center"/>
              <w:rPr>
                <w:noProof/>
              </w:rPr>
            </w:pPr>
            <w:r w:rsidRPr="00957C3E">
              <w:rPr>
                <w:noProof/>
                <w:sz w:val="18"/>
              </w:rPr>
              <w:t>No</w:t>
            </w:r>
          </w:p>
        </w:tc>
        <w:tc>
          <w:tcPr>
            <w:tcW w:w="708" w:type="dxa"/>
            <w:tcBorders>
              <w:left w:val="dashSmallGap" w:sz="4" w:space="0" w:color="auto"/>
            </w:tcBorders>
            <w:shd w:val="clear" w:color="auto" w:fill="auto"/>
            <w:vAlign w:val="center"/>
          </w:tcPr>
          <w:p w14:paraId="1E9B5274" w14:textId="77777777" w:rsidR="001B6792" w:rsidRPr="00957C3E" w:rsidRDefault="001B6792" w:rsidP="00B2088F">
            <w:pPr>
              <w:jc w:val="center"/>
              <w:rPr>
                <w:noProof/>
                <w:sz w:val="18"/>
              </w:rPr>
            </w:pPr>
            <w:r w:rsidRPr="00957C3E">
              <w:rPr>
                <w:noProof/>
                <w:sz w:val="18"/>
              </w:rPr>
              <w:t>Cost</w:t>
            </w:r>
          </w:p>
        </w:tc>
        <w:tc>
          <w:tcPr>
            <w:tcW w:w="567" w:type="dxa"/>
            <w:tcBorders>
              <w:right w:val="dashSmallGap" w:sz="4" w:space="0" w:color="auto"/>
            </w:tcBorders>
            <w:shd w:val="clear" w:color="auto" w:fill="auto"/>
            <w:textDirection w:val="btLr"/>
            <w:vAlign w:val="center"/>
          </w:tcPr>
          <w:p w14:paraId="47B6F6B2" w14:textId="77777777" w:rsidR="001B6792" w:rsidRPr="00957C3E" w:rsidRDefault="001B6792" w:rsidP="00B2088F">
            <w:pPr>
              <w:ind w:left="113" w:right="113"/>
              <w:jc w:val="center"/>
              <w:rPr>
                <w:noProof/>
              </w:rPr>
            </w:pPr>
            <w:r w:rsidRPr="00957C3E">
              <w:rPr>
                <w:noProof/>
                <w:sz w:val="18"/>
              </w:rPr>
              <w:t>No</w:t>
            </w:r>
          </w:p>
        </w:tc>
        <w:tc>
          <w:tcPr>
            <w:tcW w:w="758" w:type="dxa"/>
            <w:gridSpan w:val="2"/>
            <w:tcBorders>
              <w:left w:val="dashSmallGap" w:sz="4" w:space="0" w:color="auto"/>
            </w:tcBorders>
            <w:shd w:val="clear" w:color="auto" w:fill="auto"/>
            <w:vAlign w:val="center"/>
          </w:tcPr>
          <w:p w14:paraId="5122DA3D" w14:textId="77777777" w:rsidR="001B6792" w:rsidRPr="00957C3E" w:rsidRDefault="001B6792" w:rsidP="00B2088F">
            <w:pPr>
              <w:jc w:val="center"/>
              <w:rPr>
                <w:noProof/>
                <w:sz w:val="18"/>
              </w:rPr>
            </w:pPr>
            <w:r w:rsidRPr="00957C3E">
              <w:rPr>
                <w:noProof/>
                <w:sz w:val="18"/>
              </w:rPr>
              <w:t>Cost</w:t>
            </w:r>
          </w:p>
        </w:tc>
        <w:tc>
          <w:tcPr>
            <w:tcW w:w="720" w:type="dxa"/>
            <w:tcBorders>
              <w:right w:val="dashSmallGap" w:sz="4" w:space="0" w:color="auto"/>
            </w:tcBorders>
            <w:shd w:val="clear" w:color="auto" w:fill="auto"/>
            <w:vAlign w:val="center"/>
          </w:tcPr>
          <w:p w14:paraId="6C6C6E3F" w14:textId="77777777" w:rsidR="001B6792" w:rsidRPr="00957C3E" w:rsidRDefault="001B6792" w:rsidP="00B2088F">
            <w:pPr>
              <w:jc w:val="center"/>
              <w:rPr>
                <w:noProof/>
                <w:sz w:val="18"/>
              </w:rPr>
            </w:pPr>
            <w:r w:rsidRPr="00957C3E">
              <w:rPr>
                <w:noProof/>
                <w:sz w:val="18"/>
              </w:rPr>
              <w:t>Total No</w:t>
            </w:r>
          </w:p>
        </w:tc>
        <w:tc>
          <w:tcPr>
            <w:tcW w:w="900" w:type="dxa"/>
            <w:tcBorders>
              <w:left w:val="dashSmallGap" w:sz="4" w:space="0" w:color="auto"/>
            </w:tcBorders>
            <w:shd w:val="clear" w:color="auto" w:fill="auto"/>
            <w:vAlign w:val="center"/>
          </w:tcPr>
          <w:p w14:paraId="16CE53AF" w14:textId="77777777" w:rsidR="001B6792" w:rsidRPr="00957C3E" w:rsidRDefault="001B6792" w:rsidP="00B2088F">
            <w:pPr>
              <w:jc w:val="center"/>
              <w:rPr>
                <w:noProof/>
              </w:rPr>
            </w:pPr>
            <w:r w:rsidRPr="00957C3E">
              <w:rPr>
                <w:noProof/>
                <w:sz w:val="18"/>
              </w:rPr>
              <w:t>Total cost</w:t>
            </w:r>
          </w:p>
        </w:tc>
      </w:tr>
      <w:tr w:rsidR="001B6792" w:rsidRPr="00957C3E" w14:paraId="21AF9619" w14:textId="77777777" w:rsidTr="006A0D14">
        <w:trPr>
          <w:jc w:val="center"/>
        </w:trPr>
        <w:tc>
          <w:tcPr>
            <w:tcW w:w="2844" w:type="dxa"/>
            <w:gridSpan w:val="3"/>
            <w:vAlign w:val="center"/>
          </w:tcPr>
          <w:p w14:paraId="6BEB5740" w14:textId="77777777" w:rsidR="001B6792" w:rsidRPr="00957C3E" w:rsidRDefault="001B6792" w:rsidP="00B2088F">
            <w:pPr>
              <w:spacing w:before="60" w:after="60"/>
              <w:ind w:right="-29"/>
              <w:jc w:val="center"/>
              <w:rPr>
                <w:noProof/>
                <w:sz w:val="18"/>
              </w:rPr>
            </w:pPr>
            <w:r w:rsidRPr="00805B56">
              <w:rPr>
                <w:noProof/>
                <w:sz w:val="18"/>
                <w:szCs w:val="18"/>
              </w:rPr>
              <w:t>SPECIFIC OBJECTIVE No 1</w:t>
            </w:r>
            <w:r w:rsidRPr="00805B56">
              <w:rPr>
                <w:rStyle w:val="FootnoteReference"/>
                <w:noProof/>
                <w:sz w:val="18"/>
                <w:szCs w:val="18"/>
              </w:rPr>
              <w:footnoteReference w:id="58"/>
            </w:r>
          </w:p>
          <w:p w14:paraId="3E7F1289" w14:textId="77777777" w:rsidR="001B6792" w:rsidRPr="00957C3E" w:rsidRDefault="001B6792" w:rsidP="00906BEE">
            <w:pPr>
              <w:spacing w:before="60" w:after="60"/>
              <w:ind w:right="-29"/>
              <w:jc w:val="center"/>
              <w:rPr>
                <w:noProof/>
                <w:sz w:val="18"/>
              </w:rPr>
            </w:pPr>
            <w:r w:rsidRPr="00957C3E">
              <w:rPr>
                <w:noProof/>
                <w:sz w:val="18"/>
              </w:rPr>
              <w:t>To enable Eurojust to identify links between parallel cross-border investigations and prosecutions regarding terrorist offences more efficiently and to provide feedback on t</w:t>
            </w:r>
            <w:r>
              <w:rPr>
                <w:noProof/>
                <w:sz w:val="18"/>
              </w:rPr>
              <w:t>hese links to the Member States</w:t>
            </w:r>
          </w:p>
        </w:tc>
        <w:tc>
          <w:tcPr>
            <w:tcW w:w="504" w:type="dxa"/>
            <w:tcBorders>
              <w:top w:val="nil"/>
              <w:left w:val="nil"/>
              <w:bottom w:val="nil"/>
              <w:right w:val="nil"/>
            </w:tcBorders>
          </w:tcPr>
          <w:p w14:paraId="2BF6D4FB" w14:textId="77777777" w:rsidR="001B6792" w:rsidRPr="00957C3E" w:rsidRDefault="001B6792" w:rsidP="00B2088F">
            <w:pPr>
              <w:spacing w:before="60" w:after="60"/>
              <w:ind w:right="-29"/>
              <w:jc w:val="center"/>
              <w:rPr>
                <w:noProof/>
                <w:sz w:val="18"/>
              </w:rPr>
            </w:pPr>
          </w:p>
        </w:tc>
        <w:tc>
          <w:tcPr>
            <w:tcW w:w="720" w:type="dxa"/>
            <w:tcBorders>
              <w:top w:val="nil"/>
              <w:left w:val="nil"/>
              <w:bottom w:val="nil"/>
              <w:right w:val="nil"/>
            </w:tcBorders>
          </w:tcPr>
          <w:p w14:paraId="37557867" w14:textId="77777777" w:rsidR="001B6792" w:rsidRPr="00957C3E" w:rsidRDefault="001B6792" w:rsidP="00B2088F">
            <w:pPr>
              <w:spacing w:before="60" w:after="60"/>
              <w:ind w:right="-29"/>
              <w:jc w:val="center"/>
              <w:rPr>
                <w:noProof/>
                <w:sz w:val="18"/>
              </w:rPr>
            </w:pPr>
          </w:p>
        </w:tc>
        <w:tc>
          <w:tcPr>
            <w:tcW w:w="540" w:type="dxa"/>
            <w:tcBorders>
              <w:top w:val="nil"/>
              <w:left w:val="nil"/>
              <w:bottom w:val="nil"/>
              <w:right w:val="nil"/>
            </w:tcBorders>
          </w:tcPr>
          <w:p w14:paraId="64F8CB60" w14:textId="77777777" w:rsidR="001B6792" w:rsidRPr="00957C3E" w:rsidRDefault="001B6792" w:rsidP="00B2088F">
            <w:pPr>
              <w:spacing w:before="60" w:after="60"/>
              <w:ind w:right="-29"/>
              <w:jc w:val="center"/>
              <w:rPr>
                <w:noProof/>
                <w:sz w:val="18"/>
              </w:rPr>
            </w:pPr>
          </w:p>
        </w:tc>
        <w:tc>
          <w:tcPr>
            <w:tcW w:w="720" w:type="dxa"/>
            <w:tcBorders>
              <w:top w:val="nil"/>
              <w:left w:val="nil"/>
              <w:bottom w:val="nil"/>
              <w:right w:val="nil"/>
            </w:tcBorders>
          </w:tcPr>
          <w:p w14:paraId="379F186A" w14:textId="77777777" w:rsidR="001B6792" w:rsidRPr="00957C3E" w:rsidRDefault="001B6792" w:rsidP="00B2088F">
            <w:pPr>
              <w:spacing w:before="60" w:after="60"/>
              <w:ind w:right="-29"/>
              <w:jc w:val="center"/>
              <w:rPr>
                <w:noProof/>
                <w:sz w:val="18"/>
              </w:rPr>
            </w:pPr>
          </w:p>
        </w:tc>
        <w:tc>
          <w:tcPr>
            <w:tcW w:w="763" w:type="dxa"/>
            <w:tcBorders>
              <w:top w:val="nil"/>
              <w:left w:val="nil"/>
              <w:bottom w:val="nil"/>
              <w:right w:val="nil"/>
            </w:tcBorders>
          </w:tcPr>
          <w:p w14:paraId="6D785B9E" w14:textId="77777777" w:rsidR="001B6792" w:rsidRPr="00957C3E" w:rsidRDefault="001B6792" w:rsidP="00B2088F">
            <w:pPr>
              <w:spacing w:before="60" w:after="60"/>
              <w:ind w:right="-29"/>
              <w:jc w:val="center"/>
              <w:rPr>
                <w:noProof/>
                <w:sz w:val="18"/>
              </w:rPr>
            </w:pPr>
          </w:p>
        </w:tc>
        <w:tc>
          <w:tcPr>
            <w:tcW w:w="708" w:type="dxa"/>
            <w:tcBorders>
              <w:top w:val="nil"/>
              <w:left w:val="nil"/>
              <w:bottom w:val="nil"/>
              <w:right w:val="nil"/>
            </w:tcBorders>
          </w:tcPr>
          <w:p w14:paraId="3D5FB6AF" w14:textId="77777777" w:rsidR="001B6792" w:rsidRPr="00957C3E" w:rsidRDefault="001B6792" w:rsidP="00B2088F">
            <w:pPr>
              <w:spacing w:before="60" w:after="60"/>
              <w:ind w:right="-29"/>
              <w:jc w:val="center"/>
              <w:rPr>
                <w:noProof/>
                <w:sz w:val="18"/>
              </w:rPr>
            </w:pPr>
          </w:p>
        </w:tc>
        <w:tc>
          <w:tcPr>
            <w:tcW w:w="567" w:type="dxa"/>
            <w:tcBorders>
              <w:top w:val="nil"/>
              <w:left w:val="nil"/>
              <w:bottom w:val="nil"/>
              <w:right w:val="nil"/>
            </w:tcBorders>
          </w:tcPr>
          <w:p w14:paraId="1BF01BD6" w14:textId="77777777" w:rsidR="001B6792" w:rsidRPr="00957C3E" w:rsidRDefault="001B6792" w:rsidP="00B2088F">
            <w:pPr>
              <w:spacing w:before="60" w:after="60"/>
              <w:ind w:right="-29"/>
              <w:jc w:val="center"/>
              <w:rPr>
                <w:noProof/>
                <w:sz w:val="18"/>
              </w:rPr>
            </w:pPr>
          </w:p>
        </w:tc>
        <w:tc>
          <w:tcPr>
            <w:tcW w:w="758" w:type="dxa"/>
            <w:gridSpan w:val="2"/>
            <w:tcBorders>
              <w:top w:val="nil"/>
              <w:left w:val="nil"/>
              <w:bottom w:val="nil"/>
              <w:right w:val="nil"/>
            </w:tcBorders>
          </w:tcPr>
          <w:p w14:paraId="6568A66C" w14:textId="77777777" w:rsidR="001B6792" w:rsidRPr="00957C3E" w:rsidRDefault="001B6792" w:rsidP="00B2088F">
            <w:pPr>
              <w:spacing w:before="60" w:after="60"/>
              <w:ind w:right="-29"/>
              <w:jc w:val="center"/>
              <w:rPr>
                <w:noProof/>
                <w:sz w:val="18"/>
              </w:rPr>
            </w:pPr>
          </w:p>
        </w:tc>
        <w:tc>
          <w:tcPr>
            <w:tcW w:w="720" w:type="dxa"/>
            <w:tcBorders>
              <w:top w:val="nil"/>
              <w:left w:val="nil"/>
              <w:bottom w:val="nil"/>
              <w:right w:val="nil"/>
            </w:tcBorders>
          </w:tcPr>
          <w:p w14:paraId="3B27CF44" w14:textId="77777777" w:rsidR="001B6792" w:rsidRPr="00957C3E" w:rsidRDefault="001B6792" w:rsidP="00B2088F">
            <w:pPr>
              <w:spacing w:before="60" w:after="60"/>
              <w:ind w:right="-29"/>
              <w:jc w:val="center"/>
              <w:rPr>
                <w:noProof/>
                <w:sz w:val="18"/>
              </w:rPr>
            </w:pPr>
          </w:p>
        </w:tc>
        <w:tc>
          <w:tcPr>
            <w:tcW w:w="900" w:type="dxa"/>
            <w:tcBorders>
              <w:top w:val="nil"/>
              <w:left w:val="nil"/>
              <w:bottom w:val="nil"/>
              <w:right w:val="nil"/>
            </w:tcBorders>
          </w:tcPr>
          <w:p w14:paraId="014726FE" w14:textId="77777777" w:rsidR="001B6792" w:rsidRPr="00957C3E" w:rsidRDefault="001B6792" w:rsidP="00B2088F">
            <w:pPr>
              <w:spacing w:before="60" w:after="60"/>
              <w:ind w:right="-29"/>
              <w:jc w:val="center"/>
              <w:rPr>
                <w:noProof/>
                <w:sz w:val="18"/>
              </w:rPr>
            </w:pPr>
          </w:p>
        </w:tc>
      </w:tr>
      <w:tr w:rsidR="001B6792" w:rsidRPr="00957C3E" w14:paraId="13238EFB" w14:textId="77777777" w:rsidTr="006A0D14">
        <w:trPr>
          <w:trHeight w:hRule="exact" w:val="1194"/>
          <w:jc w:val="center"/>
        </w:trPr>
        <w:tc>
          <w:tcPr>
            <w:tcW w:w="1423" w:type="dxa"/>
          </w:tcPr>
          <w:p w14:paraId="681DFCEC" w14:textId="77777777" w:rsidR="001B6792" w:rsidRPr="00957C3E" w:rsidRDefault="001B6792" w:rsidP="00B2088F">
            <w:pPr>
              <w:ind w:right="-29"/>
              <w:jc w:val="center"/>
              <w:rPr>
                <w:noProof/>
                <w:sz w:val="18"/>
              </w:rPr>
            </w:pPr>
            <w:r w:rsidRPr="00957C3E">
              <w:rPr>
                <w:noProof/>
                <w:sz w:val="18"/>
              </w:rPr>
              <w:t xml:space="preserve">- </w:t>
            </w:r>
            <w:r w:rsidRPr="00900A33">
              <w:rPr>
                <w:noProof/>
                <w:sz w:val="18"/>
              </w:rPr>
              <w:t>Output</w:t>
            </w:r>
          </w:p>
        </w:tc>
        <w:tc>
          <w:tcPr>
            <w:tcW w:w="1421" w:type="dxa"/>
            <w:gridSpan w:val="2"/>
          </w:tcPr>
          <w:p w14:paraId="617CC5C8" w14:textId="77777777" w:rsidR="001B6792" w:rsidRPr="00957C3E" w:rsidRDefault="001B6792" w:rsidP="00B2088F">
            <w:pPr>
              <w:ind w:right="-29"/>
              <w:jc w:val="center"/>
              <w:rPr>
                <w:noProof/>
                <w:sz w:val="18"/>
              </w:rPr>
            </w:pPr>
            <w:r w:rsidRPr="00957C3E">
              <w:rPr>
                <w:noProof/>
                <w:sz w:val="18"/>
              </w:rPr>
              <w:t>Identifying links between cross border cases established by Eurojust</w:t>
            </w:r>
          </w:p>
        </w:tc>
        <w:tc>
          <w:tcPr>
            <w:tcW w:w="504" w:type="dxa"/>
            <w:tcBorders>
              <w:top w:val="single" w:sz="4" w:space="0" w:color="auto"/>
              <w:left w:val="single" w:sz="4" w:space="0" w:color="auto"/>
              <w:bottom w:val="single" w:sz="4" w:space="0" w:color="auto"/>
              <w:right w:val="dashSmallGap" w:sz="4" w:space="0" w:color="auto"/>
            </w:tcBorders>
          </w:tcPr>
          <w:p w14:paraId="0ABC7C4D" w14:textId="77777777" w:rsidR="001B6792" w:rsidRPr="00957C3E" w:rsidRDefault="001B6792" w:rsidP="00B2088F">
            <w:pPr>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BF94600" w14:textId="34076C4F" w:rsidR="001B6792" w:rsidRPr="00957C3E" w:rsidRDefault="00900A33" w:rsidP="00B2088F">
            <w:pPr>
              <w:ind w:right="-29"/>
              <w:jc w:val="center"/>
              <w:rPr>
                <w:noProof/>
                <w:sz w:val="18"/>
              </w:rPr>
            </w:pPr>
            <w:r>
              <w:rPr>
                <w:noProof/>
                <w:sz w:val="18"/>
              </w:rPr>
              <w:t>1,8</w:t>
            </w:r>
            <w:r w:rsidR="001B6792">
              <w:rPr>
                <w:noProof/>
                <w:sz w:val="18"/>
              </w:rPr>
              <w:t>35</w:t>
            </w:r>
          </w:p>
        </w:tc>
        <w:tc>
          <w:tcPr>
            <w:tcW w:w="540" w:type="dxa"/>
            <w:tcBorders>
              <w:top w:val="single" w:sz="4" w:space="0" w:color="auto"/>
              <w:left w:val="single" w:sz="4" w:space="0" w:color="auto"/>
              <w:bottom w:val="single" w:sz="4" w:space="0" w:color="auto"/>
              <w:right w:val="dashSmallGap" w:sz="4" w:space="0" w:color="auto"/>
            </w:tcBorders>
          </w:tcPr>
          <w:p w14:paraId="24FF5866" w14:textId="77777777" w:rsidR="001B6792" w:rsidRPr="00957C3E" w:rsidRDefault="001B6792" w:rsidP="00B2088F">
            <w:pPr>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2EF1832" w14:textId="7D421C71" w:rsidR="001B6792" w:rsidRPr="00957C3E" w:rsidRDefault="001B6792" w:rsidP="00900A33">
            <w:pPr>
              <w:ind w:right="-29"/>
              <w:jc w:val="center"/>
              <w:rPr>
                <w:noProof/>
                <w:sz w:val="18"/>
              </w:rPr>
            </w:pPr>
            <w:r>
              <w:rPr>
                <w:noProof/>
                <w:sz w:val="18"/>
              </w:rPr>
              <w:t>9,</w:t>
            </w:r>
            <w:r w:rsidR="00900A33">
              <w:rPr>
                <w:noProof/>
                <w:sz w:val="18"/>
              </w:rPr>
              <w:t>190</w:t>
            </w:r>
          </w:p>
        </w:tc>
        <w:tc>
          <w:tcPr>
            <w:tcW w:w="763" w:type="dxa"/>
            <w:tcBorders>
              <w:top w:val="single" w:sz="4" w:space="0" w:color="auto"/>
              <w:left w:val="single" w:sz="4" w:space="0" w:color="auto"/>
              <w:bottom w:val="single" w:sz="4" w:space="0" w:color="auto"/>
              <w:right w:val="dashSmallGap" w:sz="4" w:space="0" w:color="auto"/>
            </w:tcBorders>
          </w:tcPr>
          <w:p w14:paraId="59801985" w14:textId="77777777" w:rsidR="001B6792" w:rsidRPr="00957C3E" w:rsidRDefault="001B6792" w:rsidP="00B2088F">
            <w:pPr>
              <w:ind w:right="-29"/>
              <w:jc w:val="center"/>
              <w:rPr>
                <w:noProof/>
                <w:sz w:val="18"/>
              </w:rPr>
            </w:pPr>
          </w:p>
        </w:tc>
        <w:tc>
          <w:tcPr>
            <w:tcW w:w="708" w:type="dxa"/>
            <w:tcBorders>
              <w:top w:val="single" w:sz="4" w:space="0" w:color="auto"/>
              <w:left w:val="dashSmallGap" w:sz="4" w:space="0" w:color="auto"/>
              <w:bottom w:val="single" w:sz="4" w:space="0" w:color="auto"/>
              <w:right w:val="single" w:sz="4" w:space="0" w:color="auto"/>
            </w:tcBorders>
          </w:tcPr>
          <w:p w14:paraId="225FD7C3" w14:textId="77777777" w:rsidR="001B6792" w:rsidRPr="00957C3E" w:rsidRDefault="001B6792" w:rsidP="00B2088F">
            <w:pPr>
              <w:ind w:right="-29"/>
              <w:jc w:val="center"/>
              <w:rPr>
                <w:noProof/>
                <w:sz w:val="18"/>
              </w:rPr>
            </w:pPr>
            <w:r>
              <w:rPr>
                <w:noProof/>
                <w:sz w:val="18"/>
              </w:rPr>
              <w:t>8,843</w:t>
            </w:r>
          </w:p>
        </w:tc>
        <w:tc>
          <w:tcPr>
            <w:tcW w:w="709" w:type="dxa"/>
            <w:gridSpan w:val="2"/>
            <w:tcBorders>
              <w:top w:val="single" w:sz="4" w:space="0" w:color="auto"/>
              <w:left w:val="single" w:sz="4" w:space="0" w:color="auto"/>
              <w:bottom w:val="single" w:sz="4" w:space="0" w:color="auto"/>
              <w:right w:val="dashSmallGap" w:sz="4" w:space="0" w:color="auto"/>
            </w:tcBorders>
          </w:tcPr>
          <w:p w14:paraId="51E52284" w14:textId="77777777" w:rsidR="001B6792" w:rsidRPr="00957C3E" w:rsidRDefault="001B6792" w:rsidP="00B2088F">
            <w:pPr>
              <w:ind w:right="-29"/>
              <w:jc w:val="center"/>
              <w:rPr>
                <w:noProof/>
                <w:sz w:val="18"/>
              </w:rPr>
            </w:pPr>
          </w:p>
        </w:tc>
        <w:tc>
          <w:tcPr>
            <w:tcW w:w="616" w:type="dxa"/>
            <w:tcBorders>
              <w:top w:val="single" w:sz="4" w:space="0" w:color="auto"/>
              <w:left w:val="dashSmallGap" w:sz="4" w:space="0" w:color="auto"/>
              <w:bottom w:val="single" w:sz="4" w:space="0" w:color="auto"/>
              <w:right w:val="single" w:sz="4" w:space="0" w:color="auto"/>
            </w:tcBorders>
          </w:tcPr>
          <w:p w14:paraId="5E69F127" w14:textId="2EF29A7F" w:rsidR="001B6792" w:rsidRPr="006A0D14" w:rsidRDefault="00900A33" w:rsidP="00D051F5">
            <w:pPr>
              <w:ind w:right="-29"/>
              <w:jc w:val="center"/>
              <w:rPr>
                <w:noProof/>
                <w:sz w:val="18"/>
                <w:szCs w:val="18"/>
              </w:rPr>
            </w:pPr>
            <w:r>
              <w:rPr>
                <w:noProof/>
                <w:sz w:val="18"/>
              </w:rPr>
              <w:t>7,965</w:t>
            </w:r>
          </w:p>
        </w:tc>
        <w:tc>
          <w:tcPr>
            <w:tcW w:w="720" w:type="dxa"/>
            <w:tcBorders>
              <w:top w:val="single" w:sz="4" w:space="0" w:color="auto"/>
              <w:left w:val="single" w:sz="4" w:space="0" w:color="auto"/>
              <w:bottom w:val="single" w:sz="4" w:space="0" w:color="auto"/>
              <w:right w:val="single" w:sz="4" w:space="0" w:color="auto"/>
            </w:tcBorders>
          </w:tcPr>
          <w:p w14:paraId="20A4073A" w14:textId="77777777" w:rsidR="001B6792" w:rsidRPr="00957C3E"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FB5F923" w14:textId="6733FE3A" w:rsidR="001B6792" w:rsidRPr="006A0D14" w:rsidRDefault="00900A33">
            <w:pPr>
              <w:ind w:right="-29"/>
              <w:jc w:val="center"/>
              <w:rPr>
                <w:noProof/>
                <w:sz w:val="18"/>
                <w:szCs w:val="18"/>
              </w:rPr>
            </w:pPr>
            <w:r>
              <w:rPr>
                <w:noProof/>
                <w:sz w:val="18"/>
              </w:rPr>
              <w:t>27,832</w:t>
            </w:r>
          </w:p>
        </w:tc>
      </w:tr>
      <w:tr w:rsidR="001B6792" w:rsidRPr="00957C3E" w14:paraId="22690312" w14:textId="77777777" w:rsidTr="006A0D14">
        <w:trPr>
          <w:jc w:val="center"/>
        </w:trPr>
        <w:tc>
          <w:tcPr>
            <w:tcW w:w="2844" w:type="dxa"/>
            <w:gridSpan w:val="3"/>
            <w:vAlign w:val="center"/>
          </w:tcPr>
          <w:p w14:paraId="5630EFCD" w14:textId="77777777" w:rsidR="001B6792" w:rsidRPr="00957C3E" w:rsidRDefault="001B6792" w:rsidP="00B2088F">
            <w:pPr>
              <w:spacing w:before="60" w:after="60"/>
              <w:ind w:right="-29"/>
              <w:jc w:val="center"/>
              <w:rPr>
                <w:noProof/>
                <w:sz w:val="18"/>
              </w:rPr>
            </w:pPr>
            <w:r w:rsidRPr="00957C3E">
              <w:rPr>
                <w:noProof/>
                <w:sz w:val="18"/>
              </w:rPr>
              <w:t xml:space="preserve">SPECIFIC OBJECTIVE No 2 </w:t>
            </w:r>
          </w:p>
          <w:p w14:paraId="2E6C634A" w14:textId="77777777" w:rsidR="001B6792" w:rsidRPr="00957C3E" w:rsidRDefault="001B6792" w:rsidP="00906BEE">
            <w:pPr>
              <w:spacing w:before="60" w:after="60"/>
              <w:ind w:right="-29"/>
              <w:jc w:val="center"/>
              <w:rPr>
                <w:noProof/>
                <w:sz w:val="18"/>
              </w:rPr>
            </w:pPr>
            <w:r w:rsidRPr="00957C3E">
              <w:rPr>
                <w:noProof/>
                <w:sz w:val="18"/>
              </w:rPr>
              <w:t>To render the data exchange between Member States, Eurojust and 3rd countries more efficient and secure.</w:t>
            </w:r>
          </w:p>
        </w:tc>
        <w:tc>
          <w:tcPr>
            <w:tcW w:w="504" w:type="dxa"/>
            <w:tcBorders>
              <w:top w:val="nil"/>
              <w:left w:val="nil"/>
              <w:bottom w:val="nil"/>
              <w:right w:val="nil"/>
            </w:tcBorders>
          </w:tcPr>
          <w:p w14:paraId="0F29E33B" w14:textId="77777777" w:rsidR="001B6792" w:rsidRPr="00957C3E" w:rsidRDefault="001B6792" w:rsidP="00B2088F">
            <w:pPr>
              <w:spacing w:before="60" w:after="60"/>
              <w:ind w:right="-29"/>
              <w:jc w:val="center"/>
              <w:rPr>
                <w:noProof/>
                <w:sz w:val="18"/>
              </w:rPr>
            </w:pPr>
          </w:p>
        </w:tc>
        <w:tc>
          <w:tcPr>
            <w:tcW w:w="720" w:type="dxa"/>
            <w:tcBorders>
              <w:top w:val="nil"/>
              <w:left w:val="nil"/>
              <w:bottom w:val="nil"/>
              <w:right w:val="nil"/>
            </w:tcBorders>
          </w:tcPr>
          <w:p w14:paraId="54FEFDA3" w14:textId="77777777" w:rsidR="001B6792" w:rsidRPr="00957C3E" w:rsidRDefault="001B6792" w:rsidP="00B2088F">
            <w:pPr>
              <w:spacing w:before="60" w:after="60"/>
              <w:ind w:right="-29"/>
              <w:jc w:val="center"/>
              <w:rPr>
                <w:noProof/>
                <w:sz w:val="18"/>
              </w:rPr>
            </w:pPr>
          </w:p>
        </w:tc>
        <w:tc>
          <w:tcPr>
            <w:tcW w:w="540" w:type="dxa"/>
            <w:tcBorders>
              <w:top w:val="nil"/>
              <w:left w:val="nil"/>
              <w:bottom w:val="nil"/>
              <w:right w:val="nil"/>
            </w:tcBorders>
          </w:tcPr>
          <w:p w14:paraId="555540B0" w14:textId="77777777" w:rsidR="001B6792" w:rsidRPr="00957C3E" w:rsidRDefault="001B6792" w:rsidP="00B2088F">
            <w:pPr>
              <w:spacing w:before="60" w:after="60"/>
              <w:ind w:right="-29"/>
              <w:jc w:val="center"/>
              <w:rPr>
                <w:noProof/>
                <w:sz w:val="18"/>
              </w:rPr>
            </w:pPr>
          </w:p>
        </w:tc>
        <w:tc>
          <w:tcPr>
            <w:tcW w:w="720" w:type="dxa"/>
            <w:tcBorders>
              <w:top w:val="nil"/>
              <w:left w:val="nil"/>
              <w:bottom w:val="nil"/>
              <w:right w:val="nil"/>
            </w:tcBorders>
          </w:tcPr>
          <w:p w14:paraId="429F7E0C" w14:textId="77777777" w:rsidR="001B6792" w:rsidRPr="00957C3E" w:rsidRDefault="001B6792" w:rsidP="00B2088F">
            <w:pPr>
              <w:spacing w:before="60" w:after="60"/>
              <w:ind w:right="-29"/>
              <w:jc w:val="center"/>
              <w:rPr>
                <w:noProof/>
                <w:sz w:val="18"/>
              </w:rPr>
            </w:pPr>
          </w:p>
        </w:tc>
        <w:tc>
          <w:tcPr>
            <w:tcW w:w="763" w:type="dxa"/>
            <w:tcBorders>
              <w:top w:val="nil"/>
              <w:left w:val="nil"/>
              <w:bottom w:val="nil"/>
              <w:right w:val="nil"/>
            </w:tcBorders>
          </w:tcPr>
          <w:p w14:paraId="7BB37197" w14:textId="77777777" w:rsidR="001B6792" w:rsidRPr="00957C3E" w:rsidRDefault="001B6792" w:rsidP="00B2088F">
            <w:pPr>
              <w:spacing w:before="60" w:after="60"/>
              <w:ind w:right="-29"/>
              <w:jc w:val="center"/>
              <w:rPr>
                <w:noProof/>
                <w:sz w:val="18"/>
              </w:rPr>
            </w:pPr>
          </w:p>
        </w:tc>
        <w:tc>
          <w:tcPr>
            <w:tcW w:w="708" w:type="dxa"/>
            <w:tcBorders>
              <w:top w:val="nil"/>
              <w:left w:val="nil"/>
              <w:bottom w:val="nil"/>
              <w:right w:val="nil"/>
            </w:tcBorders>
          </w:tcPr>
          <w:p w14:paraId="2E19A8E4" w14:textId="77777777" w:rsidR="001B6792" w:rsidRPr="00957C3E" w:rsidRDefault="001B6792" w:rsidP="00B2088F">
            <w:pPr>
              <w:spacing w:before="60" w:after="60"/>
              <w:ind w:right="-29"/>
              <w:jc w:val="center"/>
              <w:rPr>
                <w:noProof/>
                <w:sz w:val="18"/>
              </w:rPr>
            </w:pPr>
          </w:p>
        </w:tc>
        <w:tc>
          <w:tcPr>
            <w:tcW w:w="567" w:type="dxa"/>
            <w:tcBorders>
              <w:top w:val="nil"/>
              <w:left w:val="nil"/>
              <w:bottom w:val="nil"/>
              <w:right w:val="nil"/>
            </w:tcBorders>
          </w:tcPr>
          <w:p w14:paraId="2970F032" w14:textId="77777777" w:rsidR="001B6792" w:rsidRPr="00957C3E" w:rsidRDefault="001B6792" w:rsidP="00B2088F">
            <w:pPr>
              <w:spacing w:before="60" w:after="60"/>
              <w:ind w:right="-29"/>
              <w:jc w:val="center"/>
              <w:rPr>
                <w:noProof/>
                <w:sz w:val="18"/>
              </w:rPr>
            </w:pPr>
          </w:p>
        </w:tc>
        <w:tc>
          <w:tcPr>
            <w:tcW w:w="758" w:type="dxa"/>
            <w:gridSpan w:val="2"/>
            <w:tcBorders>
              <w:top w:val="nil"/>
              <w:left w:val="nil"/>
              <w:bottom w:val="nil"/>
              <w:right w:val="nil"/>
            </w:tcBorders>
          </w:tcPr>
          <w:p w14:paraId="6CBB7EEF" w14:textId="77777777" w:rsidR="001B6792" w:rsidRPr="00957C3E" w:rsidRDefault="001B6792" w:rsidP="00B2088F">
            <w:pPr>
              <w:spacing w:before="60" w:after="60"/>
              <w:ind w:right="-29"/>
              <w:jc w:val="center"/>
              <w:rPr>
                <w:noProof/>
                <w:sz w:val="18"/>
              </w:rPr>
            </w:pPr>
          </w:p>
        </w:tc>
        <w:tc>
          <w:tcPr>
            <w:tcW w:w="720" w:type="dxa"/>
            <w:tcBorders>
              <w:top w:val="nil"/>
              <w:left w:val="nil"/>
              <w:bottom w:val="nil"/>
              <w:right w:val="nil"/>
            </w:tcBorders>
          </w:tcPr>
          <w:p w14:paraId="29C4B459" w14:textId="77777777" w:rsidR="001B6792" w:rsidRPr="00957C3E" w:rsidRDefault="001B6792" w:rsidP="00B2088F">
            <w:pPr>
              <w:spacing w:before="60" w:after="60"/>
              <w:ind w:right="-29"/>
              <w:jc w:val="center"/>
              <w:rPr>
                <w:noProof/>
                <w:sz w:val="18"/>
              </w:rPr>
            </w:pPr>
          </w:p>
        </w:tc>
        <w:tc>
          <w:tcPr>
            <w:tcW w:w="900" w:type="dxa"/>
            <w:tcBorders>
              <w:top w:val="nil"/>
              <w:left w:val="nil"/>
              <w:bottom w:val="nil"/>
              <w:right w:val="nil"/>
            </w:tcBorders>
          </w:tcPr>
          <w:p w14:paraId="7A477539" w14:textId="77777777" w:rsidR="001B6792" w:rsidRPr="00957C3E" w:rsidRDefault="001B6792" w:rsidP="00B2088F">
            <w:pPr>
              <w:spacing w:before="60" w:after="60"/>
              <w:ind w:right="-29"/>
              <w:jc w:val="center"/>
              <w:rPr>
                <w:noProof/>
                <w:sz w:val="18"/>
              </w:rPr>
            </w:pPr>
          </w:p>
        </w:tc>
      </w:tr>
      <w:tr w:rsidR="001B6792" w:rsidRPr="00957C3E" w14:paraId="7E077A55" w14:textId="77777777" w:rsidTr="006A0D14">
        <w:trPr>
          <w:trHeight w:hRule="exact" w:val="1329"/>
          <w:jc w:val="center"/>
        </w:trPr>
        <w:tc>
          <w:tcPr>
            <w:tcW w:w="1423" w:type="dxa"/>
          </w:tcPr>
          <w:p w14:paraId="31A78AA7" w14:textId="77777777" w:rsidR="001B6792" w:rsidRPr="00957C3E" w:rsidRDefault="001B6792" w:rsidP="00B2088F">
            <w:pPr>
              <w:ind w:right="-29"/>
              <w:jc w:val="center"/>
              <w:rPr>
                <w:noProof/>
                <w:sz w:val="18"/>
              </w:rPr>
            </w:pPr>
            <w:r w:rsidRPr="00957C3E">
              <w:rPr>
                <w:noProof/>
                <w:sz w:val="18"/>
              </w:rPr>
              <w:t>- Output</w:t>
            </w:r>
          </w:p>
        </w:tc>
        <w:tc>
          <w:tcPr>
            <w:tcW w:w="1421" w:type="dxa"/>
            <w:gridSpan w:val="2"/>
          </w:tcPr>
          <w:p w14:paraId="037EFC97" w14:textId="77777777" w:rsidR="001B6792" w:rsidRPr="00957C3E" w:rsidRDefault="001B6792" w:rsidP="00B2088F">
            <w:pPr>
              <w:ind w:right="-29"/>
              <w:jc w:val="center"/>
              <w:rPr>
                <w:noProof/>
                <w:sz w:val="18"/>
              </w:rPr>
            </w:pPr>
            <w:r w:rsidRPr="00957C3E">
              <w:rPr>
                <w:noProof/>
                <w:sz w:val="18"/>
              </w:rPr>
              <w:t>Personal data securely received from Member States to Eurojust</w:t>
            </w:r>
          </w:p>
        </w:tc>
        <w:tc>
          <w:tcPr>
            <w:tcW w:w="504" w:type="dxa"/>
            <w:tcBorders>
              <w:top w:val="single" w:sz="4" w:space="0" w:color="auto"/>
              <w:left w:val="single" w:sz="4" w:space="0" w:color="auto"/>
              <w:bottom w:val="single" w:sz="4" w:space="0" w:color="auto"/>
              <w:right w:val="single" w:sz="4" w:space="0" w:color="auto"/>
            </w:tcBorders>
          </w:tcPr>
          <w:p w14:paraId="39ACF11E" w14:textId="77777777" w:rsidR="001B6792" w:rsidRPr="00957C3E"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AAAD195" w14:textId="7373ADA4" w:rsidR="001B6792" w:rsidRPr="00957C3E" w:rsidRDefault="00900A33" w:rsidP="00B2088F">
            <w:pPr>
              <w:ind w:right="-29"/>
              <w:jc w:val="center"/>
              <w:rPr>
                <w:noProof/>
                <w:sz w:val="18"/>
              </w:rPr>
            </w:pPr>
            <w:r>
              <w:rPr>
                <w:noProof/>
                <w:sz w:val="18"/>
              </w:rPr>
              <w:t>0,1</w:t>
            </w:r>
            <w:r w:rsidR="001B6792">
              <w:rPr>
                <w:noProof/>
                <w:sz w:val="18"/>
              </w:rPr>
              <w:t>08</w:t>
            </w:r>
          </w:p>
        </w:tc>
        <w:tc>
          <w:tcPr>
            <w:tcW w:w="540" w:type="dxa"/>
            <w:tcBorders>
              <w:top w:val="single" w:sz="4" w:space="0" w:color="auto"/>
              <w:left w:val="single" w:sz="4" w:space="0" w:color="auto"/>
              <w:bottom w:val="single" w:sz="4" w:space="0" w:color="auto"/>
              <w:right w:val="single" w:sz="4" w:space="0" w:color="auto"/>
            </w:tcBorders>
          </w:tcPr>
          <w:p w14:paraId="4637181F" w14:textId="77777777" w:rsidR="001B6792" w:rsidRPr="00957C3E"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AA532AE" w14:textId="0FDECF68" w:rsidR="001B6792" w:rsidRPr="00957C3E" w:rsidRDefault="001B6792" w:rsidP="00900A33">
            <w:pPr>
              <w:ind w:right="-29"/>
              <w:jc w:val="center"/>
              <w:rPr>
                <w:noProof/>
                <w:sz w:val="18"/>
              </w:rPr>
            </w:pPr>
            <w:r>
              <w:rPr>
                <w:noProof/>
                <w:sz w:val="18"/>
              </w:rPr>
              <w:t>0,5</w:t>
            </w:r>
            <w:r w:rsidR="00900A33">
              <w:rPr>
                <w:noProof/>
                <w:sz w:val="18"/>
              </w:rPr>
              <w:t>41</w:t>
            </w:r>
          </w:p>
        </w:tc>
        <w:tc>
          <w:tcPr>
            <w:tcW w:w="763" w:type="dxa"/>
            <w:tcBorders>
              <w:top w:val="single" w:sz="4" w:space="0" w:color="auto"/>
              <w:left w:val="single" w:sz="4" w:space="0" w:color="auto"/>
              <w:bottom w:val="single" w:sz="4" w:space="0" w:color="auto"/>
              <w:right w:val="single" w:sz="4" w:space="0" w:color="auto"/>
            </w:tcBorders>
          </w:tcPr>
          <w:p w14:paraId="3E9619BF" w14:textId="77777777" w:rsidR="001B6792" w:rsidRPr="00957C3E" w:rsidRDefault="001B6792" w:rsidP="00B2088F">
            <w:pPr>
              <w:ind w:right="-29"/>
              <w:jc w:val="center"/>
              <w:rPr>
                <w:noProof/>
                <w:sz w:val="18"/>
              </w:rPr>
            </w:pPr>
          </w:p>
        </w:tc>
        <w:tc>
          <w:tcPr>
            <w:tcW w:w="708" w:type="dxa"/>
            <w:tcBorders>
              <w:top w:val="single" w:sz="4" w:space="0" w:color="auto"/>
              <w:left w:val="single" w:sz="4" w:space="0" w:color="auto"/>
              <w:bottom w:val="single" w:sz="4" w:space="0" w:color="auto"/>
              <w:right w:val="single" w:sz="4" w:space="0" w:color="auto"/>
            </w:tcBorders>
          </w:tcPr>
          <w:p w14:paraId="1F669ABE" w14:textId="77777777" w:rsidR="001B6792" w:rsidRPr="00957C3E" w:rsidRDefault="001B6792" w:rsidP="00B2088F">
            <w:pPr>
              <w:ind w:right="-29"/>
              <w:jc w:val="center"/>
              <w:rPr>
                <w:noProof/>
                <w:sz w:val="18"/>
              </w:rPr>
            </w:pPr>
            <w:r>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3E4B2325" w14:textId="77777777" w:rsidR="001B6792" w:rsidRPr="00957C3E"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63901E27" w14:textId="60201C6C" w:rsidR="001B6792" w:rsidRPr="00957C3E" w:rsidRDefault="00D03B63" w:rsidP="00B2088F">
            <w:pPr>
              <w:ind w:right="-29"/>
              <w:jc w:val="center"/>
              <w:rPr>
                <w:noProof/>
                <w:sz w:val="18"/>
              </w:rPr>
            </w:pPr>
            <w:r>
              <w:rPr>
                <w:noProof/>
                <w:sz w:val="18"/>
              </w:rPr>
              <w:t>0,469</w:t>
            </w:r>
          </w:p>
        </w:tc>
        <w:tc>
          <w:tcPr>
            <w:tcW w:w="720" w:type="dxa"/>
            <w:tcBorders>
              <w:top w:val="single" w:sz="4" w:space="0" w:color="auto"/>
              <w:left w:val="single" w:sz="4" w:space="0" w:color="auto"/>
              <w:bottom w:val="single" w:sz="4" w:space="0" w:color="auto"/>
              <w:right w:val="single" w:sz="4" w:space="0" w:color="auto"/>
            </w:tcBorders>
          </w:tcPr>
          <w:p w14:paraId="71778C52" w14:textId="77777777" w:rsidR="001B6792" w:rsidRPr="00957C3E"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124F0F37" w14:textId="2B2F72A1" w:rsidR="001B6792" w:rsidRPr="006A0D14" w:rsidRDefault="00E47757" w:rsidP="00D03B63">
            <w:pPr>
              <w:ind w:right="-29"/>
              <w:jc w:val="center"/>
              <w:rPr>
                <w:noProof/>
                <w:sz w:val="18"/>
                <w:szCs w:val="18"/>
              </w:rPr>
            </w:pPr>
            <w:r w:rsidRPr="00805B56">
              <w:rPr>
                <w:noProof/>
                <w:sz w:val="18"/>
                <w:szCs w:val="18"/>
              </w:rPr>
              <w:t>1</w:t>
            </w:r>
            <w:r w:rsidR="00D03B63">
              <w:rPr>
                <w:noProof/>
                <w:sz w:val="18"/>
                <w:szCs w:val="18"/>
              </w:rPr>
              <w:t>,637</w:t>
            </w:r>
          </w:p>
        </w:tc>
      </w:tr>
      <w:tr w:rsidR="001B6792" w:rsidRPr="00957C3E" w14:paraId="14A24E71" w14:textId="77777777" w:rsidTr="006A0D14">
        <w:trPr>
          <w:trHeight w:hRule="exact" w:val="1329"/>
          <w:jc w:val="center"/>
        </w:trPr>
        <w:tc>
          <w:tcPr>
            <w:tcW w:w="1423" w:type="dxa"/>
          </w:tcPr>
          <w:p w14:paraId="7FED0869" w14:textId="77777777" w:rsidR="001B6792" w:rsidRPr="00957C3E" w:rsidRDefault="001B6792" w:rsidP="00B2088F">
            <w:pPr>
              <w:ind w:right="-29"/>
              <w:jc w:val="center"/>
              <w:rPr>
                <w:noProof/>
                <w:sz w:val="18"/>
              </w:rPr>
            </w:pPr>
            <w:r w:rsidRPr="00957C3E">
              <w:rPr>
                <w:noProof/>
                <w:sz w:val="18"/>
              </w:rPr>
              <w:t>- Output</w:t>
            </w:r>
          </w:p>
        </w:tc>
        <w:tc>
          <w:tcPr>
            <w:tcW w:w="1421" w:type="dxa"/>
            <w:gridSpan w:val="2"/>
          </w:tcPr>
          <w:p w14:paraId="436895F6" w14:textId="77777777" w:rsidR="001B6792" w:rsidRPr="00957C3E" w:rsidRDefault="001B6792" w:rsidP="00B2088F">
            <w:pPr>
              <w:ind w:right="-29"/>
              <w:jc w:val="center"/>
              <w:rPr>
                <w:noProof/>
                <w:sz w:val="18"/>
              </w:rPr>
            </w:pPr>
            <w:r w:rsidRPr="00957C3E">
              <w:rPr>
                <w:noProof/>
                <w:sz w:val="18"/>
              </w:rPr>
              <w:t>Personal data transferred in a structured, semi automated way</w:t>
            </w:r>
          </w:p>
        </w:tc>
        <w:tc>
          <w:tcPr>
            <w:tcW w:w="504" w:type="dxa"/>
            <w:tcBorders>
              <w:top w:val="single" w:sz="4" w:space="0" w:color="auto"/>
              <w:left w:val="single" w:sz="4" w:space="0" w:color="auto"/>
              <w:bottom w:val="single" w:sz="4" w:space="0" w:color="auto"/>
              <w:right w:val="single" w:sz="4" w:space="0" w:color="auto"/>
            </w:tcBorders>
          </w:tcPr>
          <w:p w14:paraId="1E4DD4E9" w14:textId="77777777" w:rsidR="001B6792" w:rsidRPr="00957C3E"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2AEDC09E" w14:textId="3EF0429F" w:rsidR="001B6792" w:rsidRPr="00957C3E" w:rsidRDefault="00900A33" w:rsidP="00B2088F">
            <w:pPr>
              <w:ind w:right="-29"/>
              <w:jc w:val="center"/>
              <w:rPr>
                <w:noProof/>
                <w:sz w:val="18"/>
              </w:rPr>
            </w:pPr>
            <w:r>
              <w:rPr>
                <w:noProof/>
                <w:sz w:val="18"/>
              </w:rPr>
              <w:t>0,1</w:t>
            </w:r>
            <w:r w:rsidR="001B6792">
              <w:rPr>
                <w:noProof/>
                <w:sz w:val="18"/>
              </w:rPr>
              <w:t>08</w:t>
            </w:r>
          </w:p>
        </w:tc>
        <w:tc>
          <w:tcPr>
            <w:tcW w:w="540" w:type="dxa"/>
            <w:tcBorders>
              <w:top w:val="single" w:sz="4" w:space="0" w:color="auto"/>
              <w:left w:val="single" w:sz="4" w:space="0" w:color="auto"/>
              <w:bottom w:val="single" w:sz="4" w:space="0" w:color="auto"/>
              <w:right w:val="single" w:sz="4" w:space="0" w:color="auto"/>
            </w:tcBorders>
          </w:tcPr>
          <w:p w14:paraId="7E033C4B" w14:textId="77777777" w:rsidR="001B6792" w:rsidRPr="00957C3E"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D2D13B6" w14:textId="6BB03D45" w:rsidR="001B6792" w:rsidRPr="00957C3E" w:rsidRDefault="001B6792" w:rsidP="00900A33">
            <w:pPr>
              <w:ind w:right="-29"/>
              <w:jc w:val="center"/>
              <w:rPr>
                <w:noProof/>
                <w:sz w:val="18"/>
              </w:rPr>
            </w:pPr>
            <w:r>
              <w:rPr>
                <w:noProof/>
                <w:sz w:val="18"/>
              </w:rPr>
              <w:t>0,5</w:t>
            </w:r>
            <w:r w:rsidR="00900A33">
              <w:rPr>
                <w:noProof/>
                <w:sz w:val="18"/>
              </w:rPr>
              <w:t>41</w:t>
            </w:r>
          </w:p>
        </w:tc>
        <w:tc>
          <w:tcPr>
            <w:tcW w:w="763" w:type="dxa"/>
            <w:tcBorders>
              <w:top w:val="single" w:sz="4" w:space="0" w:color="auto"/>
              <w:left w:val="single" w:sz="4" w:space="0" w:color="auto"/>
              <w:bottom w:val="single" w:sz="4" w:space="0" w:color="auto"/>
              <w:right w:val="single" w:sz="4" w:space="0" w:color="auto"/>
            </w:tcBorders>
          </w:tcPr>
          <w:p w14:paraId="255A20BC" w14:textId="77777777" w:rsidR="001B6792" w:rsidRPr="00957C3E" w:rsidRDefault="001B6792" w:rsidP="00B2088F">
            <w:pPr>
              <w:ind w:right="-29"/>
              <w:jc w:val="center"/>
              <w:rPr>
                <w:noProof/>
                <w:sz w:val="18"/>
              </w:rPr>
            </w:pPr>
          </w:p>
        </w:tc>
        <w:tc>
          <w:tcPr>
            <w:tcW w:w="708" w:type="dxa"/>
            <w:tcBorders>
              <w:top w:val="single" w:sz="4" w:space="0" w:color="auto"/>
              <w:left w:val="single" w:sz="4" w:space="0" w:color="auto"/>
              <w:bottom w:val="single" w:sz="4" w:space="0" w:color="auto"/>
              <w:right w:val="single" w:sz="4" w:space="0" w:color="auto"/>
            </w:tcBorders>
          </w:tcPr>
          <w:p w14:paraId="0DA68A31" w14:textId="77777777" w:rsidR="001B6792" w:rsidRPr="00957C3E" w:rsidRDefault="001B6792" w:rsidP="00B2088F">
            <w:pPr>
              <w:ind w:right="-29"/>
              <w:jc w:val="center"/>
              <w:rPr>
                <w:noProof/>
                <w:sz w:val="18"/>
              </w:rPr>
            </w:pPr>
            <w:r>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49102EA0" w14:textId="77777777" w:rsidR="001B6792" w:rsidRPr="00957C3E"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0CD98C24" w14:textId="77E14350" w:rsidR="001B6792" w:rsidRPr="00957C3E" w:rsidRDefault="00D03B63" w:rsidP="00B2088F">
            <w:pPr>
              <w:ind w:right="-29"/>
              <w:jc w:val="center"/>
              <w:rPr>
                <w:noProof/>
                <w:sz w:val="18"/>
              </w:rPr>
            </w:pPr>
            <w:r>
              <w:rPr>
                <w:noProof/>
                <w:sz w:val="18"/>
              </w:rPr>
              <w:t>0,469</w:t>
            </w:r>
          </w:p>
        </w:tc>
        <w:tc>
          <w:tcPr>
            <w:tcW w:w="720" w:type="dxa"/>
            <w:tcBorders>
              <w:top w:val="single" w:sz="4" w:space="0" w:color="auto"/>
              <w:left w:val="single" w:sz="4" w:space="0" w:color="auto"/>
              <w:bottom w:val="single" w:sz="4" w:space="0" w:color="auto"/>
              <w:right w:val="single" w:sz="4" w:space="0" w:color="auto"/>
            </w:tcBorders>
          </w:tcPr>
          <w:p w14:paraId="3489A6F6" w14:textId="77777777" w:rsidR="001B6792" w:rsidRPr="00957C3E"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1FD6F5D9" w14:textId="795A11C8" w:rsidR="001B6792" w:rsidRPr="006A0D14" w:rsidRDefault="00E47757" w:rsidP="00D03B63">
            <w:pPr>
              <w:ind w:right="-29"/>
              <w:jc w:val="center"/>
              <w:rPr>
                <w:noProof/>
                <w:sz w:val="18"/>
                <w:szCs w:val="18"/>
              </w:rPr>
            </w:pPr>
            <w:r w:rsidRPr="00805B56">
              <w:rPr>
                <w:noProof/>
                <w:sz w:val="18"/>
                <w:szCs w:val="18"/>
              </w:rPr>
              <w:t>1,</w:t>
            </w:r>
            <w:r w:rsidR="00D03B63">
              <w:rPr>
                <w:noProof/>
                <w:sz w:val="18"/>
                <w:szCs w:val="18"/>
              </w:rPr>
              <w:t>637</w:t>
            </w:r>
          </w:p>
        </w:tc>
      </w:tr>
      <w:tr w:rsidR="001B6792" w14:paraId="3A697551" w14:textId="77777777" w:rsidTr="006A0D14">
        <w:trPr>
          <w:trHeight w:hRule="exact" w:val="1329"/>
          <w:jc w:val="center"/>
        </w:trPr>
        <w:tc>
          <w:tcPr>
            <w:tcW w:w="1423" w:type="dxa"/>
          </w:tcPr>
          <w:p w14:paraId="31A7F8E7" w14:textId="77777777" w:rsidR="001B6792" w:rsidRPr="00957C3E" w:rsidRDefault="001B6792" w:rsidP="00B2088F">
            <w:pPr>
              <w:ind w:right="-29"/>
              <w:jc w:val="center"/>
              <w:rPr>
                <w:noProof/>
                <w:sz w:val="18"/>
              </w:rPr>
            </w:pPr>
            <w:r w:rsidRPr="00957C3E">
              <w:rPr>
                <w:noProof/>
                <w:sz w:val="18"/>
              </w:rPr>
              <w:t>- Output</w:t>
            </w:r>
          </w:p>
        </w:tc>
        <w:tc>
          <w:tcPr>
            <w:tcW w:w="1421" w:type="dxa"/>
            <w:gridSpan w:val="2"/>
          </w:tcPr>
          <w:p w14:paraId="14048412" w14:textId="77777777" w:rsidR="001B6792" w:rsidRPr="00957C3E" w:rsidRDefault="001B6792" w:rsidP="00B2088F">
            <w:pPr>
              <w:ind w:right="-29"/>
              <w:jc w:val="center"/>
              <w:rPr>
                <w:noProof/>
                <w:sz w:val="18"/>
              </w:rPr>
            </w:pPr>
            <w:r w:rsidRPr="00957C3E">
              <w:rPr>
                <w:noProof/>
                <w:sz w:val="18"/>
              </w:rPr>
              <w:t>Information exchanged with 3</w:t>
            </w:r>
            <w:r w:rsidRPr="00957C3E">
              <w:rPr>
                <w:noProof/>
                <w:sz w:val="18"/>
                <w:vertAlign w:val="superscript"/>
              </w:rPr>
              <w:t>rd</w:t>
            </w:r>
            <w:r w:rsidRPr="00957C3E">
              <w:rPr>
                <w:noProof/>
                <w:sz w:val="18"/>
              </w:rPr>
              <w:t xml:space="preserve"> countries</w:t>
            </w:r>
          </w:p>
        </w:tc>
        <w:tc>
          <w:tcPr>
            <w:tcW w:w="504" w:type="dxa"/>
            <w:tcBorders>
              <w:top w:val="single" w:sz="4" w:space="0" w:color="auto"/>
              <w:left w:val="single" w:sz="4" w:space="0" w:color="auto"/>
              <w:bottom w:val="single" w:sz="4" w:space="0" w:color="auto"/>
              <w:right w:val="single" w:sz="4" w:space="0" w:color="auto"/>
            </w:tcBorders>
          </w:tcPr>
          <w:p w14:paraId="0C4B6B54" w14:textId="77777777" w:rsidR="001B679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4611F40" w14:textId="1BD1BF46" w:rsidR="001B6792" w:rsidRDefault="00900A33" w:rsidP="00B2088F">
            <w:pPr>
              <w:ind w:right="-29"/>
              <w:jc w:val="center"/>
              <w:rPr>
                <w:noProof/>
                <w:sz w:val="18"/>
              </w:rPr>
            </w:pPr>
            <w:r>
              <w:rPr>
                <w:noProof/>
                <w:sz w:val="18"/>
              </w:rPr>
              <w:t>0,1</w:t>
            </w:r>
            <w:r w:rsidR="001B6792">
              <w:rPr>
                <w:noProof/>
                <w:sz w:val="18"/>
              </w:rPr>
              <w:t>08</w:t>
            </w:r>
          </w:p>
        </w:tc>
        <w:tc>
          <w:tcPr>
            <w:tcW w:w="540" w:type="dxa"/>
            <w:tcBorders>
              <w:top w:val="single" w:sz="4" w:space="0" w:color="auto"/>
              <w:left w:val="single" w:sz="4" w:space="0" w:color="auto"/>
              <w:bottom w:val="single" w:sz="4" w:space="0" w:color="auto"/>
              <w:right w:val="single" w:sz="4" w:space="0" w:color="auto"/>
            </w:tcBorders>
          </w:tcPr>
          <w:p w14:paraId="5CF8BAC2" w14:textId="77777777" w:rsidR="001B679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D217C84" w14:textId="3C149A86" w:rsidR="001B6792" w:rsidRDefault="001B6792" w:rsidP="00900A33">
            <w:pPr>
              <w:ind w:right="-29"/>
              <w:jc w:val="center"/>
              <w:rPr>
                <w:noProof/>
                <w:sz w:val="18"/>
              </w:rPr>
            </w:pPr>
            <w:r>
              <w:rPr>
                <w:noProof/>
                <w:sz w:val="18"/>
              </w:rPr>
              <w:t>0,5</w:t>
            </w:r>
            <w:r w:rsidR="00900A33">
              <w:rPr>
                <w:noProof/>
                <w:sz w:val="18"/>
              </w:rPr>
              <w:t>41</w:t>
            </w:r>
          </w:p>
        </w:tc>
        <w:tc>
          <w:tcPr>
            <w:tcW w:w="763" w:type="dxa"/>
            <w:tcBorders>
              <w:top w:val="single" w:sz="4" w:space="0" w:color="auto"/>
              <w:left w:val="single" w:sz="4" w:space="0" w:color="auto"/>
              <w:bottom w:val="single" w:sz="4" w:space="0" w:color="auto"/>
              <w:right w:val="single" w:sz="4" w:space="0" w:color="auto"/>
            </w:tcBorders>
          </w:tcPr>
          <w:p w14:paraId="18B2BE34" w14:textId="77777777" w:rsidR="001B6792" w:rsidRDefault="001B6792" w:rsidP="00B2088F">
            <w:pPr>
              <w:ind w:right="-29"/>
              <w:jc w:val="center"/>
              <w:rPr>
                <w:noProof/>
                <w:sz w:val="18"/>
              </w:rPr>
            </w:pPr>
          </w:p>
        </w:tc>
        <w:tc>
          <w:tcPr>
            <w:tcW w:w="708" w:type="dxa"/>
            <w:tcBorders>
              <w:top w:val="single" w:sz="4" w:space="0" w:color="auto"/>
              <w:left w:val="single" w:sz="4" w:space="0" w:color="auto"/>
              <w:bottom w:val="single" w:sz="4" w:space="0" w:color="auto"/>
              <w:right w:val="single" w:sz="4" w:space="0" w:color="auto"/>
            </w:tcBorders>
          </w:tcPr>
          <w:p w14:paraId="1C379A19" w14:textId="77777777" w:rsidR="001B6792" w:rsidRDefault="001B6792" w:rsidP="00B2088F">
            <w:pPr>
              <w:ind w:right="-29"/>
              <w:jc w:val="center"/>
              <w:rPr>
                <w:noProof/>
                <w:sz w:val="18"/>
              </w:rPr>
            </w:pPr>
            <w:r>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1C1F7651" w14:textId="77777777" w:rsidR="001B6792"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7E0AD4F8" w14:textId="37909939" w:rsidR="001B6792" w:rsidRDefault="00D03B63" w:rsidP="00B2088F">
            <w:pPr>
              <w:ind w:right="-29"/>
              <w:jc w:val="center"/>
              <w:rPr>
                <w:noProof/>
                <w:sz w:val="18"/>
              </w:rPr>
            </w:pPr>
            <w:r>
              <w:rPr>
                <w:noProof/>
                <w:sz w:val="18"/>
              </w:rPr>
              <w:t>0,469</w:t>
            </w:r>
          </w:p>
        </w:tc>
        <w:tc>
          <w:tcPr>
            <w:tcW w:w="720" w:type="dxa"/>
            <w:tcBorders>
              <w:top w:val="single" w:sz="4" w:space="0" w:color="auto"/>
              <w:left w:val="single" w:sz="4" w:space="0" w:color="auto"/>
              <w:bottom w:val="single" w:sz="4" w:space="0" w:color="auto"/>
              <w:right w:val="single" w:sz="4" w:space="0" w:color="auto"/>
            </w:tcBorders>
          </w:tcPr>
          <w:p w14:paraId="196ACB60" w14:textId="77777777" w:rsidR="001B6792"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3108D1E8" w14:textId="4E4FF536" w:rsidR="001B6792" w:rsidRPr="006A0D14" w:rsidRDefault="00E47757" w:rsidP="00D03B63">
            <w:pPr>
              <w:ind w:right="-29"/>
              <w:jc w:val="center"/>
              <w:rPr>
                <w:noProof/>
                <w:sz w:val="18"/>
                <w:szCs w:val="18"/>
              </w:rPr>
            </w:pPr>
            <w:r w:rsidRPr="00805B56">
              <w:rPr>
                <w:noProof/>
                <w:sz w:val="18"/>
                <w:szCs w:val="18"/>
              </w:rPr>
              <w:t>1,</w:t>
            </w:r>
            <w:r w:rsidR="00D03B63">
              <w:rPr>
                <w:noProof/>
                <w:sz w:val="18"/>
                <w:szCs w:val="18"/>
              </w:rPr>
              <w:t>637</w:t>
            </w:r>
          </w:p>
        </w:tc>
      </w:tr>
      <w:tr w:rsidR="001B6792" w14:paraId="0B04F63B" w14:textId="77777777" w:rsidTr="006A0D14">
        <w:trPr>
          <w:jc w:val="center"/>
        </w:trPr>
        <w:tc>
          <w:tcPr>
            <w:tcW w:w="2844" w:type="dxa"/>
            <w:gridSpan w:val="3"/>
            <w:tcBorders>
              <w:bottom w:val="single" w:sz="12" w:space="0" w:color="auto"/>
            </w:tcBorders>
            <w:vAlign w:val="center"/>
          </w:tcPr>
          <w:p w14:paraId="7AC67B90" w14:textId="77777777" w:rsidR="001B6792" w:rsidRDefault="001B6792" w:rsidP="00B2088F">
            <w:pPr>
              <w:jc w:val="center"/>
              <w:rPr>
                <w:noProof/>
                <w:sz w:val="18"/>
              </w:rPr>
            </w:pPr>
            <w:r>
              <w:rPr>
                <w:noProof/>
                <w:sz w:val="18"/>
              </w:rPr>
              <w:t>Subtotal for specific objective No 2</w:t>
            </w:r>
          </w:p>
        </w:tc>
        <w:tc>
          <w:tcPr>
            <w:tcW w:w="504" w:type="dxa"/>
            <w:tcBorders>
              <w:bottom w:val="single" w:sz="12" w:space="0" w:color="auto"/>
            </w:tcBorders>
          </w:tcPr>
          <w:p w14:paraId="2B7F4D08" w14:textId="77777777" w:rsidR="001B6792" w:rsidRDefault="001B6792" w:rsidP="00B2088F">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DBB005A" w14:textId="2DBC7E19" w:rsidR="001B6792" w:rsidRDefault="00900A33" w:rsidP="00B2088F">
            <w:pPr>
              <w:ind w:right="-29"/>
              <w:jc w:val="center"/>
              <w:rPr>
                <w:noProof/>
                <w:sz w:val="18"/>
              </w:rPr>
            </w:pPr>
            <w:r>
              <w:rPr>
                <w:noProof/>
                <w:sz w:val="18"/>
              </w:rPr>
              <w:t>0,3</w:t>
            </w:r>
            <w:r w:rsidR="001B6792">
              <w:rPr>
                <w:noProof/>
                <w:sz w:val="18"/>
              </w:rPr>
              <w:t>24</w:t>
            </w:r>
          </w:p>
        </w:tc>
        <w:tc>
          <w:tcPr>
            <w:tcW w:w="540" w:type="dxa"/>
            <w:tcBorders>
              <w:top w:val="single" w:sz="4" w:space="0" w:color="auto"/>
              <w:left w:val="single" w:sz="4" w:space="0" w:color="auto"/>
              <w:bottom w:val="single" w:sz="12" w:space="0" w:color="auto"/>
              <w:right w:val="single" w:sz="4" w:space="0" w:color="auto"/>
            </w:tcBorders>
          </w:tcPr>
          <w:p w14:paraId="1A094B5F" w14:textId="77777777" w:rsidR="001B6792" w:rsidRDefault="001B6792" w:rsidP="00B2088F">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19D4AB5" w14:textId="0C8712C0" w:rsidR="001B6792" w:rsidRDefault="001B6792" w:rsidP="00900A33">
            <w:pPr>
              <w:ind w:right="-29"/>
              <w:jc w:val="center"/>
              <w:rPr>
                <w:noProof/>
                <w:sz w:val="18"/>
              </w:rPr>
            </w:pPr>
            <w:r>
              <w:rPr>
                <w:noProof/>
                <w:sz w:val="18"/>
              </w:rPr>
              <w:t>1,6</w:t>
            </w:r>
            <w:r w:rsidR="00900A33">
              <w:rPr>
                <w:noProof/>
                <w:sz w:val="18"/>
              </w:rPr>
              <w:t>22</w:t>
            </w:r>
          </w:p>
        </w:tc>
        <w:tc>
          <w:tcPr>
            <w:tcW w:w="763" w:type="dxa"/>
            <w:tcBorders>
              <w:top w:val="single" w:sz="4" w:space="0" w:color="auto"/>
              <w:left w:val="single" w:sz="4" w:space="0" w:color="auto"/>
              <w:bottom w:val="single" w:sz="12" w:space="0" w:color="auto"/>
              <w:right w:val="single" w:sz="4" w:space="0" w:color="auto"/>
            </w:tcBorders>
          </w:tcPr>
          <w:p w14:paraId="3A4801BB" w14:textId="77777777" w:rsidR="001B6792" w:rsidRDefault="001B6792" w:rsidP="00B2088F">
            <w:pPr>
              <w:ind w:right="-29"/>
              <w:jc w:val="center"/>
              <w:rPr>
                <w:noProof/>
                <w:sz w:val="18"/>
              </w:rPr>
            </w:pPr>
          </w:p>
        </w:tc>
        <w:tc>
          <w:tcPr>
            <w:tcW w:w="708" w:type="dxa"/>
            <w:tcBorders>
              <w:top w:val="single" w:sz="4" w:space="0" w:color="auto"/>
              <w:left w:val="single" w:sz="4" w:space="0" w:color="auto"/>
              <w:bottom w:val="single" w:sz="12" w:space="0" w:color="auto"/>
              <w:right w:val="single" w:sz="4" w:space="0" w:color="auto"/>
            </w:tcBorders>
          </w:tcPr>
          <w:p w14:paraId="77774610" w14:textId="77777777" w:rsidR="001B6792" w:rsidRDefault="001B6792" w:rsidP="00B2088F">
            <w:pPr>
              <w:ind w:right="-29"/>
              <w:jc w:val="center"/>
              <w:rPr>
                <w:noProof/>
                <w:sz w:val="18"/>
              </w:rPr>
            </w:pPr>
            <w:r>
              <w:rPr>
                <w:noProof/>
                <w:sz w:val="18"/>
              </w:rPr>
              <w:t>1,560</w:t>
            </w:r>
          </w:p>
        </w:tc>
        <w:tc>
          <w:tcPr>
            <w:tcW w:w="567" w:type="dxa"/>
            <w:tcBorders>
              <w:top w:val="single" w:sz="4" w:space="0" w:color="auto"/>
              <w:left w:val="single" w:sz="4" w:space="0" w:color="auto"/>
              <w:bottom w:val="single" w:sz="12" w:space="0" w:color="auto"/>
              <w:right w:val="single" w:sz="4" w:space="0" w:color="auto"/>
            </w:tcBorders>
          </w:tcPr>
          <w:p w14:paraId="35C7B991" w14:textId="77777777" w:rsidR="001B6792" w:rsidRDefault="001B6792" w:rsidP="00B2088F">
            <w:pPr>
              <w:ind w:right="-29"/>
              <w:jc w:val="center"/>
              <w:rPr>
                <w:noProof/>
                <w:sz w:val="18"/>
              </w:rPr>
            </w:pPr>
          </w:p>
        </w:tc>
        <w:tc>
          <w:tcPr>
            <w:tcW w:w="758" w:type="dxa"/>
            <w:gridSpan w:val="2"/>
            <w:tcBorders>
              <w:top w:val="single" w:sz="4" w:space="0" w:color="auto"/>
              <w:left w:val="single" w:sz="4" w:space="0" w:color="auto"/>
              <w:bottom w:val="single" w:sz="12" w:space="0" w:color="auto"/>
              <w:right w:val="single" w:sz="4" w:space="0" w:color="auto"/>
            </w:tcBorders>
          </w:tcPr>
          <w:p w14:paraId="4A26BCED" w14:textId="39DDA9EB" w:rsidR="001B6792" w:rsidRDefault="00D03B63" w:rsidP="00B2088F">
            <w:pPr>
              <w:ind w:right="-29"/>
              <w:jc w:val="center"/>
              <w:rPr>
                <w:noProof/>
                <w:sz w:val="18"/>
              </w:rPr>
            </w:pPr>
            <w:r>
              <w:rPr>
                <w:noProof/>
                <w:sz w:val="18"/>
              </w:rPr>
              <w:t>1,406</w:t>
            </w:r>
          </w:p>
        </w:tc>
        <w:tc>
          <w:tcPr>
            <w:tcW w:w="720" w:type="dxa"/>
            <w:tcBorders>
              <w:top w:val="single" w:sz="4" w:space="0" w:color="auto"/>
              <w:left w:val="single" w:sz="4" w:space="0" w:color="auto"/>
              <w:bottom w:val="single" w:sz="12" w:space="0" w:color="auto"/>
              <w:right w:val="single" w:sz="4" w:space="0" w:color="auto"/>
            </w:tcBorders>
          </w:tcPr>
          <w:p w14:paraId="77DD8BEC" w14:textId="77777777" w:rsidR="001B6792" w:rsidRDefault="001B6792" w:rsidP="00B2088F">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094DDC31" w14:textId="56F36107" w:rsidR="001B6792" w:rsidRPr="006A0D14" w:rsidRDefault="00D03B63">
            <w:pPr>
              <w:ind w:right="-29"/>
              <w:jc w:val="center"/>
              <w:rPr>
                <w:noProof/>
                <w:sz w:val="18"/>
                <w:szCs w:val="18"/>
              </w:rPr>
            </w:pPr>
            <w:r>
              <w:rPr>
                <w:noProof/>
                <w:sz w:val="18"/>
                <w:szCs w:val="18"/>
              </w:rPr>
              <w:t>4,911</w:t>
            </w:r>
          </w:p>
        </w:tc>
      </w:tr>
      <w:tr w:rsidR="001B6792" w14:paraId="4D9B4B3F" w14:textId="77777777" w:rsidTr="006A0D14">
        <w:trPr>
          <w:jc w:val="center"/>
        </w:trPr>
        <w:tc>
          <w:tcPr>
            <w:tcW w:w="2844" w:type="dxa"/>
            <w:gridSpan w:val="3"/>
            <w:tcBorders>
              <w:top w:val="single" w:sz="12" w:space="0" w:color="auto"/>
              <w:left w:val="single" w:sz="12" w:space="0" w:color="auto"/>
              <w:bottom w:val="single" w:sz="12" w:space="0" w:color="auto"/>
            </w:tcBorders>
            <w:vAlign w:val="center"/>
          </w:tcPr>
          <w:p w14:paraId="5866F246" w14:textId="77777777" w:rsidR="001B6792" w:rsidRDefault="001B6792" w:rsidP="00B2088F">
            <w:pPr>
              <w:ind w:right="-29"/>
              <w:jc w:val="center"/>
              <w:rPr>
                <w:noProof/>
                <w:sz w:val="18"/>
              </w:rPr>
            </w:pPr>
            <w:r>
              <w:rPr>
                <w:b/>
                <w:noProof/>
                <w:sz w:val="18"/>
              </w:rPr>
              <w:t>TOTAL COST</w:t>
            </w:r>
          </w:p>
        </w:tc>
        <w:tc>
          <w:tcPr>
            <w:tcW w:w="504" w:type="dxa"/>
            <w:tcBorders>
              <w:top w:val="single" w:sz="12" w:space="0" w:color="auto"/>
              <w:bottom w:val="single" w:sz="12" w:space="0" w:color="auto"/>
            </w:tcBorders>
          </w:tcPr>
          <w:p w14:paraId="00695428" w14:textId="77777777" w:rsidR="001B6792" w:rsidRDefault="001B6792" w:rsidP="00B2088F">
            <w:pPr>
              <w:spacing w:before="180" w:after="180"/>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63CE2525" w14:textId="0950268F" w:rsidR="001B6792" w:rsidRDefault="00900A33" w:rsidP="00B2088F">
            <w:pPr>
              <w:spacing w:before="180" w:after="180"/>
              <w:ind w:right="-29"/>
              <w:jc w:val="center"/>
              <w:rPr>
                <w:noProof/>
                <w:sz w:val="18"/>
              </w:rPr>
            </w:pPr>
            <w:r>
              <w:rPr>
                <w:b/>
                <w:noProof/>
                <w:sz w:val="18"/>
              </w:rPr>
              <w:t>2</w:t>
            </w:r>
            <w:r w:rsidR="001B6792">
              <w:rPr>
                <w:b/>
                <w:noProof/>
                <w:sz w:val="18"/>
              </w:rPr>
              <w:t>,158</w:t>
            </w:r>
          </w:p>
        </w:tc>
        <w:tc>
          <w:tcPr>
            <w:tcW w:w="540" w:type="dxa"/>
            <w:tcBorders>
              <w:top w:val="single" w:sz="12" w:space="0" w:color="auto"/>
              <w:left w:val="single" w:sz="4" w:space="0" w:color="auto"/>
              <w:bottom w:val="single" w:sz="12" w:space="0" w:color="auto"/>
              <w:right w:val="single" w:sz="4" w:space="0" w:color="auto"/>
            </w:tcBorders>
          </w:tcPr>
          <w:p w14:paraId="7673F97F" w14:textId="77777777" w:rsidR="001B6792" w:rsidRDefault="001B6792" w:rsidP="00B2088F">
            <w:pPr>
              <w:spacing w:before="180" w:after="180"/>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5A376B6E" w14:textId="5F27400D" w:rsidR="001B6792" w:rsidRDefault="00900A33" w:rsidP="00B2088F">
            <w:pPr>
              <w:spacing w:before="180" w:after="180"/>
              <w:ind w:right="-29"/>
              <w:jc w:val="center"/>
              <w:rPr>
                <w:noProof/>
                <w:sz w:val="18"/>
              </w:rPr>
            </w:pPr>
            <w:r>
              <w:rPr>
                <w:b/>
                <w:noProof/>
                <w:sz w:val="18"/>
              </w:rPr>
              <w:t>10,811</w:t>
            </w:r>
          </w:p>
        </w:tc>
        <w:tc>
          <w:tcPr>
            <w:tcW w:w="763" w:type="dxa"/>
            <w:tcBorders>
              <w:top w:val="single" w:sz="12" w:space="0" w:color="auto"/>
              <w:left w:val="single" w:sz="4" w:space="0" w:color="auto"/>
              <w:bottom w:val="single" w:sz="12" w:space="0" w:color="auto"/>
              <w:right w:val="single" w:sz="4" w:space="0" w:color="auto"/>
            </w:tcBorders>
          </w:tcPr>
          <w:p w14:paraId="1B214330" w14:textId="77777777" w:rsidR="001B6792" w:rsidRDefault="001B6792" w:rsidP="00B2088F">
            <w:pPr>
              <w:spacing w:before="180" w:after="180"/>
              <w:ind w:right="-29"/>
              <w:jc w:val="center"/>
              <w:rPr>
                <w:noProof/>
                <w:sz w:val="18"/>
              </w:rPr>
            </w:pPr>
          </w:p>
        </w:tc>
        <w:tc>
          <w:tcPr>
            <w:tcW w:w="708" w:type="dxa"/>
            <w:tcBorders>
              <w:top w:val="single" w:sz="12" w:space="0" w:color="auto"/>
              <w:left w:val="single" w:sz="4" w:space="0" w:color="auto"/>
              <w:bottom w:val="single" w:sz="12" w:space="0" w:color="auto"/>
              <w:right w:val="single" w:sz="4" w:space="0" w:color="auto"/>
            </w:tcBorders>
          </w:tcPr>
          <w:p w14:paraId="661B5550" w14:textId="77777777" w:rsidR="001B6792" w:rsidRDefault="001B6792" w:rsidP="00B2088F">
            <w:pPr>
              <w:spacing w:before="180" w:after="180"/>
              <w:ind w:right="-29"/>
              <w:jc w:val="center"/>
              <w:rPr>
                <w:noProof/>
                <w:sz w:val="18"/>
              </w:rPr>
            </w:pPr>
            <w:r>
              <w:rPr>
                <w:b/>
                <w:noProof/>
                <w:sz w:val="18"/>
              </w:rPr>
              <w:t>10,403</w:t>
            </w:r>
          </w:p>
        </w:tc>
        <w:tc>
          <w:tcPr>
            <w:tcW w:w="567" w:type="dxa"/>
            <w:tcBorders>
              <w:top w:val="single" w:sz="12" w:space="0" w:color="auto"/>
              <w:left w:val="single" w:sz="4" w:space="0" w:color="auto"/>
              <w:bottom w:val="single" w:sz="12" w:space="0" w:color="auto"/>
              <w:right w:val="single" w:sz="4" w:space="0" w:color="auto"/>
            </w:tcBorders>
          </w:tcPr>
          <w:p w14:paraId="41A4C5D7" w14:textId="77777777" w:rsidR="001B6792" w:rsidRDefault="001B6792" w:rsidP="00B2088F">
            <w:pPr>
              <w:spacing w:before="180" w:after="180"/>
              <w:ind w:right="-29"/>
              <w:jc w:val="center"/>
              <w:rPr>
                <w:noProof/>
                <w:sz w:val="18"/>
              </w:rPr>
            </w:pPr>
          </w:p>
        </w:tc>
        <w:tc>
          <w:tcPr>
            <w:tcW w:w="758" w:type="dxa"/>
            <w:gridSpan w:val="2"/>
            <w:tcBorders>
              <w:top w:val="single" w:sz="12" w:space="0" w:color="auto"/>
              <w:left w:val="single" w:sz="4" w:space="0" w:color="auto"/>
              <w:bottom w:val="single" w:sz="12" w:space="0" w:color="auto"/>
              <w:right w:val="single" w:sz="4" w:space="0" w:color="auto"/>
            </w:tcBorders>
          </w:tcPr>
          <w:p w14:paraId="69469288" w14:textId="17A698F0" w:rsidR="001B6792" w:rsidRPr="006A0D14" w:rsidRDefault="001B6792" w:rsidP="006A0D14">
            <w:pPr>
              <w:spacing w:before="180" w:after="180"/>
              <w:ind w:right="-29"/>
              <w:jc w:val="center"/>
              <w:rPr>
                <w:noProof/>
                <w:sz w:val="18"/>
                <w:szCs w:val="18"/>
              </w:rPr>
            </w:pPr>
            <w:r w:rsidRPr="00805B56">
              <w:rPr>
                <w:b/>
                <w:bCs/>
                <w:noProof/>
                <w:sz w:val="18"/>
                <w:szCs w:val="18"/>
              </w:rPr>
              <w:t>9,</w:t>
            </w:r>
            <w:r w:rsidR="00900A33">
              <w:rPr>
                <w:b/>
                <w:bCs/>
                <w:noProof/>
                <w:sz w:val="18"/>
                <w:szCs w:val="18"/>
              </w:rPr>
              <w:t>371</w:t>
            </w:r>
          </w:p>
        </w:tc>
        <w:tc>
          <w:tcPr>
            <w:tcW w:w="720" w:type="dxa"/>
            <w:tcBorders>
              <w:top w:val="single" w:sz="12" w:space="0" w:color="auto"/>
              <w:left w:val="single" w:sz="4" w:space="0" w:color="auto"/>
              <w:bottom w:val="single" w:sz="12" w:space="0" w:color="auto"/>
              <w:right w:val="single" w:sz="4" w:space="0" w:color="auto"/>
            </w:tcBorders>
          </w:tcPr>
          <w:p w14:paraId="766B4A88" w14:textId="77777777" w:rsidR="001B6792" w:rsidRDefault="001B6792" w:rsidP="00B2088F">
            <w:pPr>
              <w:spacing w:before="180" w:after="180"/>
              <w:ind w:right="-29"/>
              <w:jc w:val="center"/>
              <w:rPr>
                <w:noProof/>
                <w:sz w:val="18"/>
              </w:rPr>
            </w:pPr>
          </w:p>
        </w:tc>
        <w:tc>
          <w:tcPr>
            <w:tcW w:w="900" w:type="dxa"/>
            <w:tcBorders>
              <w:top w:val="single" w:sz="12" w:space="0" w:color="auto"/>
              <w:left w:val="single" w:sz="4" w:space="0" w:color="auto"/>
              <w:bottom w:val="single" w:sz="12" w:space="0" w:color="auto"/>
              <w:right w:val="single" w:sz="12" w:space="0" w:color="auto"/>
            </w:tcBorders>
          </w:tcPr>
          <w:p w14:paraId="0D17300E" w14:textId="54B037C8" w:rsidR="001B6792" w:rsidRPr="006A0D14" w:rsidRDefault="00D03B63" w:rsidP="006A0D14">
            <w:pPr>
              <w:spacing w:before="180" w:after="180"/>
              <w:ind w:right="-29"/>
              <w:jc w:val="center"/>
              <w:rPr>
                <w:noProof/>
                <w:sz w:val="18"/>
                <w:szCs w:val="18"/>
              </w:rPr>
            </w:pPr>
            <w:r>
              <w:rPr>
                <w:b/>
                <w:bCs/>
                <w:noProof/>
                <w:sz w:val="18"/>
                <w:szCs w:val="18"/>
              </w:rPr>
              <w:t>32,743</w:t>
            </w:r>
          </w:p>
        </w:tc>
      </w:tr>
    </w:tbl>
    <w:p w14:paraId="59A298A3" w14:textId="77777777" w:rsidR="007270A0" w:rsidRDefault="007270A0" w:rsidP="007270A0">
      <w:pPr>
        <w:tabs>
          <w:tab w:val="left" w:pos="973"/>
        </w:tabs>
        <w:rPr>
          <w:noProof/>
        </w:rPr>
      </w:pPr>
    </w:p>
    <w:p w14:paraId="4DC67C81" w14:textId="77777777" w:rsidR="00436363" w:rsidRPr="007270A0" w:rsidRDefault="007270A0" w:rsidP="007270A0">
      <w:pPr>
        <w:tabs>
          <w:tab w:val="left" w:pos="973"/>
        </w:tabs>
        <w:rPr>
          <w:noProof/>
        </w:rPr>
        <w:sectPr w:rsidR="00436363" w:rsidRPr="007270A0" w:rsidSect="00A618F2">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r>
        <w:rPr>
          <w:noProof/>
        </w:rPr>
        <w:tab/>
      </w:r>
    </w:p>
    <w:p w14:paraId="52A35227" w14:textId="5708D966" w:rsidR="00436363" w:rsidRDefault="00306677" w:rsidP="00306677">
      <w:pPr>
        <w:pStyle w:val="ManualHeading3"/>
        <w:rPr>
          <w:noProof/>
        </w:rPr>
      </w:pPr>
      <w:bookmarkStart w:id="122" w:name="_Toc514938055"/>
      <w:bookmarkStart w:id="123" w:name="_Toc520485054"/>
      <w:bookmarkStart w:id="124" w:name="_Toc84517601"/>
      <w:r w:rsidRPr="00306677">
        <w:t>3.2.3.</w:t>
      </w:r>
      <w:r w:rsidRPr="00306677">
        <w:tab/>
      </w:r>
      <w:r w:rsidR="00436363">
        <w:rPr>
          <w:noProof/>
        </w:rPr>
        <w:t>Summary of estimated impact on administrative appropriations</w:t>
      </w:r>
      <w:bookmarkEnd w:id="122"/>
      <w:bookmarkEnd w:id="123"/>
      <w:bookmarkEnd w:id="124"/>
      <w:r w:rsidR="00436363">
        <w:rPr>
          <w:noProof/>
        </w:rPr>
        <w:t xml:space="preserve"> </w:t>
      </w:r>
    </w:p>
    <w:p w14:paraId="5E939495" w14:textId="785103B9" w:rsidR="00906BEE" w:rsidRDefault="00306677" w:rsidP="00306677">
      <w:pPr>
        <w:pStyle w:val="ManualHeading4"/>
        <w:rPr>
          <w:bCs/>
          <w:noProof/>
          <w:szCs w:val="24"/>
        </w:rPr>
      </w:pPr>
      <w:r w:rsidRPr="00306677">
        <w:t>3.2.3.1.</w:t>
      </w:r>
      <w:r w:rsidRPr="00306677">
        <w:tab/>
      </w:r>
      <w:r w:rsidR="00906BEE">
        <w:rPr>
          <w:noProof/>
        </w:rPr>
        <w:t xml:space="preserve">Summary </w:t>
      </w:r>
    </w:p>
    <w:p w14:paraId="5EB7FFFA" w14:textId="77777777" w:rsidR="00906BEE" w:rsidRDefault="00906BEE" w:rsidP="00906BEE">
      <w:pPr>
        <w:pStyle w:val="ListDash1"/>
        <w:rPr>
          <w:noProof/>
        </w:rPr>
      </w:pPr>
      <w:r>
        <w:rPr>
          <w:noProof/>
        </w:rPr>
        <w:sym w:font="Wingdings" w:char="F0A8"/>
      </w:r>
      <w:r>
        <w:rPr>
          <w:noProof/>
        </w:rPr>
        <w:tab/>
        <w:t xml:space="preserve">The proposal/initiative does not require the use of appropriations of an administrative nature </w:t>
      </w:r>
    </w:p>
    <w:p w14:paraId="53E41095" w14:textId="77777777" w:rsidR="00906BEE" w:rsidRDefault="00906BEE" w:rsidP="00906BEE">
      <w:pPr>
        <w:pStyle w:val="ListDash1"/>
        <w:rPr>
          <w:noProof/>
        </w:rPr>
      </w:pPr>
      <w:r>
        <w:rPr>
          <w:noProof/>
        </w:rPr>
        <w:sym w:font="Wingdings" w:char="F0FE"/>
      </w:r>
      <w:r>
        <w:rPr>
          <w:noProof/>
        </w:rPr>
        <w:tab/>
        <w:t>The proposal/initiative requires the use of appropriations of an administrative nature, as explained below:</w:t>
      </w:r>
      <w:r>
        <w:rPr>
          <w:rStyle w:val="FootnoteReference"/>
          <w:noProof/>
        </w:rPr>
        <w:footnoteReference w:id="59"/>
      </w:r>
    </w:p>
    <w:p w14:paraId="6F5CFA25" w14:textId="77777777" w:rsidR="00436363" w:rsidRPr="00906BEE" w:rsidRDefault="00436363" w:rsidP="00906BEE">
      <w:pPr>
        <w:jc w:val="right"/>
        <w:rPr>
          <w:noProof/>
          <w:sz w:val="20"/>
        </w:rPr>
      </w:pPr>
      <w:r>
        <w:rPr>
          <w:noProof/>
          <w:sz w:val="20"/>
        </w:rPr>
        <w:t>EUR mi</w:t>
      </w:r>
      <w:r w:rsidR="00906BEE">
        <w:rPr>
          <w:noProof/>
          <w:sz w:val="20"/>
        </w:rPr>
        <w:t>llion (to three decimal places)</w:t>
      </w: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956203" w14:paraId="0DE05ED2" w14:textId="77777777" w:rsidTr="006A0D14">
        <w:trPr>
          <w:trHeight w:val="585"/>
        </w:trPr>
        <w:tc>
          <w:tcPr>
            <w:tcW w:w="1980" w:type="dxa"/>
          </w:tcPr>
          <w:p w14:paraId="5CF54B5C" w14:textId="77777777" w:rsidR="008911CF" w:rsidRDefault="008911CF" w:rsidP="00B2088F">
            <w:pPr>
              <w:spacing w:before="60" w:after="60"/>
              <w:rPr>
                <w:noProof/>
                <w:sz w:val="20"/>
              </w:rPr>
            </w:pPr>
          </w:p>
        </w:tc>
        <w:tc>
          <w:tcPr>
            <w:tcW w:w="1080" w:type="dxa"/>
            <w:vAlign w:val="center"/>
          </w:tcPr>
          <w:p w14:paraId="4958F43E"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 xml:space="preserve">2024 </w:t>
            </w:r>
          </w:p>
        </w:tc>
        <w:tc>
          <w:tcPr>
            <w:tcW w:w="1080" w:type="dxa"/>
            <w:vAlign w:val="center"/>
          </w:tcPr>
          <w:p w14:paraId="749ED6F8"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202</w:t>
            </w:r>
            <w:r>
              <w:rPr>
                <w:b/>
                <w:noProof/>
                <w:sz w:val="20"/>
              </w:rPr>
              <w:t>5</w:t>
            </w:r>
          </w:p>
        </w:tc>
        <w:tc>
          <w:tcPr>
            <w:tcW w:w="1080" w:type="dxa"/>
            <w:vAlign w:val="center"/>
          </w:tcPr>
          <w:p w14:paraId="0CA9F03E"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202</w:t>
            </w:r>
            <w:r>
              <w:rPr>
                <w:b/>
                <w:noProof/>
                <w:sz w:val="20"/>
              </w:rPr>
              <w:t>6</w:t>
            </w:r>
          </w:p>
        </w:tc>
        <w:tc>
          <w:tcPr>
            <w:tcW w:w="1080" w:type="dxa"/>
            <w:vAlign w:val="center"/>
          </w:tcPr>
          <w:p w14:paraId="6E722FA5"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202</w:t>
            </w:r>
            <w:r>
              <w:rPr>
                <w:b/>
                <w:noProof/>
                <w:sz w:val="20"/>
              </w:rPr>
              <w:t>7</w:t>
            </w:r>
          </w:p>
        </w:tc>
        <w:tc>
          <w:tcPr>
            <w:tcW w:w="3351" w:type="dxa"/>
            <w:vAlign w:val="center"/>
          </w:tcPr>
          <w:p w14:paraId="64E7060F" w14:textId="77777777" w:rsidR="008911CF" w:rsidRPr="00956203" w:rsidRDefault="008911CF" w:rsidP="00B2088F">
            <w:pPr>
              <w:spacing w:before="60" w:after="60"/>
              <w:jc w:val="center"/>
              <w:rPr>
                <w:b/>
                <w:noProof/>
                <w:sz w:val="20"/>
              </w:rPr>
            </w:pPr>
            <w:r w:rsidRPr="00956203">
              <w:rPr>
                <w:b/>
                <w:noProof/>
                <w:sz w:val="20"/>
              </w:rPr>
              <w:t>TOTAL</w:t>
            </w:r>
          </w:p>
        </w:tc>
      </w:tr>
    </w:tbl>
    <w:p w14:paraId="73A24AF2" w14:textId="77777777" w:rsidR="00906BEE" w:rsidRPr="00906BEE" w:rsidRDefault="00906BEE" w:rsidP="00906BEE">
      <w:pPr>
        <w:rPr>
          <w:noProof/>
          <w:sz w:val="18"/>
        </w:rPr>
      </w:pP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956203" w14:paraId="0B469F0B" w14:textId="77777777" w:rsidTr="006A0D14">
        <w:trPr>
          <w:trHeight w:val="585"/>
        </w:trPr>
        <w:tc>
          <w:tcPr>
            <w:tcW w:w="1980" w:type="dxa"/>
            <w:shd w:val="clear" w:color="auto" w:fill="D9D9D9" w:themeFill="background1" w:themeFillShade="D9"/>
            <w:vAlign w:val="center"/>
          </w:tcPr>
          <w:p w14:paraId="342209A5" w14:textId="77777777" w:rsidR="008911CF" w:rsidRPr="00956203" w:rsidRDefault="008911CF" w:rsidP="00B2088F">
            <w:pPr>
              <w:spacing w:before="60" w:after="60"/>
              <w:jc w:val="center"/>
              <w:rPr>
                <w:noProof/>
              </w:rPr>
            </w:pPr>
            <w:r w:rsidRPr="00956203">
              <w:rPr>
                <w:noProof/>
                <w:sz w:val="18"/>
              </w:rPr>
              <w:t>Temporary agents (AD Grades)</w:t>
            </w:r>
          </w:p>
        </w:tc>
        <w:tc>
          <w:tcPr>
            <w:tcW w:w="1080" w:type="dxa"/>
            <w:tcBorders>
              <w:top w:val="single" w:sz="4" w:space="0" w:color="auto"/>
              <w:left w:val="single" w:sz="4" w:space="0" w:color="auto"/>
              <w:bottom w:val="single" w:sz="4" w:space="0" w:color="auto"/>
              <w:right w:val="single" w:sz="4" w:space="0" w:color="auto"/>
            </w:tcBorders>
            <w:vAlign w:val="bottom"/>
          </w:tcPr>
          <w:p w14:paraId="18D8CFCB" w14:textId="77777777" w:rsidR="008911CF" w:rsidRPr="006A0D14" w:rsidRDefault="008911CF" w:rsidP="006A0D14">
            <w:pPr>
              <w:spacing w:before="60" w:after="60"/>
              <w:jc w:val="right"/>
              <w:rPr>
                <w:noProof/>
                <w:sz w:val="20"/>
                <w:szCs w:val="20"/>
              </w:rPr>
            </w:pPr>
            <w:r>
              <w:rPr>
                <w:noProof/>
                <w:color w:val="000000"/>
                <w:sz w:val="18"/>
                <w:szCs w:val="18"/>
              </w:rPr>
              <w:t>0,952</w:t>
            </w:r>
          </w:p>
        </w:tc>
        <w:tc>
          <w:tcPr>
            <w:tcW w:w="1080" w:type="dxa"/>
            <w:tcBorders>
              <w:top w:val="single" w:sz="4" w:space="0" w:color="auto"/>
              <w:left w:val="nil"/>
              <w:bottom w:val="single" w:sz="4" w:space="0" w:color="auto"/>
              <w:right w:val="single" w:sz="4" w:space="0" w:color="auto"/>
            </w:tcBorders>
            <w:vAlign w:val="bottom"/>
          </w:tcPr>
          <w:p w14:paraId="50A851D9" w14:textId="77777777" w:rsidR="008911CF" w:rsidRPr="006A0D14" w:rsidRDefault="008911CF" w:rsidP="006A0D14">
            <w:pPr>
              <w:spacing w:before="60" w:after="60"/>
              <w:jc w:val="right"/>
              <w:rPr>
                <w:noProof/>
                <w:sz w:val="20"/>
                <w:szCs w:val="20"/>
              </w:rPr>
            </w:pPr>
            <w:r>
              <w:rPr>
                <w:noProof/>
                <w:color w:val="000000"/>
                <w:sz w:val="18"/>
                <w:szCs w:val="18"/>
              </w:rPr>
              <w:t>2,337</w:t>
            </w:r>
          </w:p>
        </w:tc>
        <w:tc>
          <w:tcPr>
            <w:tcW w:w="1080" w:type="dxa"/>
            <w:tcBorders>
              <w:top w:val="single" w:sz="4" w:space="0" w:color="auto"/>
              <w:left w:val="nil"/>
              <w:bottom w:val="single" w:sz="4" w:space="0" w:color="auto"/>
              <w:right w:val="single" w:sz="4" w:space="0" w:color="auto"/>
            </w:tcBorders>
            <w:vAlign w:val="bottom"/>
          </w:tcPr>
          <w:p w14:paraId="6458C706" w14:textId="77777777" w:rsidR="008911CF" w:rsidRPr="006A0D14" w:rsidRDefault="008911CF" w:rsidP="006A0D14">
            <w:pPr>
              <w:spacing w:before="60" w:after="60"/>
              <w:jc w:val="right"/>
              <w:rPr>
                <w:noProof/>
                <w:sz w:val="20"/>
                <w:szCs w:val="20"/>
              </w:rPr>
            </w:pPr>
            <w:r>
              <w:rPr>
                <w:noProof/>
                <w:color w:val="000000"/>
                <w:sz w:val="18"/>
                <w:szCs w:val="18"/>
              </w:rPr>
              <w:t>2,943</w:t>
            </w:r>
          </w:p>
        </w:tc>
        <w:tc>
          <w:tcPr>
            <w:tcW w:w="1080" w:type="dxa"/>
            <w:tcBorders>
              <w:top w:val="single" w:sz="4" w:space="0" w:color="auto"/>
              <w:left w:val="nil"/>
              <w:bottom w:val="single" w:sz="4" w:space="0" w:color="auto"/>
              <w:right w:val="single" w:sz="4" w:space="0" w:color="auto"/>
            </w:tcBorders>
            <w:vAlign w:val="bottom"/>
          </w:tcPr>
          <w:p w14:paraId="3CD81F2D" w14:textId="77777777" w:rsidR="008911CF" w:rsidRPr="006A0D14" w:rsidRDefault="008911CF" w:rsidP="006A0D14">
            <w:pPr>
              <w:spacing w:before="60" w:after="60"/>
              <w:jc w:val="right"/>
              <w:rPr>
                <w:noProof/>
                <w:sz w:val="20"/>
                <w:szCs w:val="20"/>
              </w:rPr>
            </w:pPr>
            <w:r>
              <w:rPr>
                <w:noProof/>
                <w:color w:val="000000"/>
                <w:sz w:val="18"/>
                <w:szCs w:val="18"/>
              </w:rPr>
              <w:t>3,289</w:t>
            </w:r>
          </w:p>
        </w:tc>
        <w:tc>
          <w:tcPr>
            <w:tcW w:w="3351" w:type="dxa"/>
            <w:tcBorders>
              <w:top w:val="single" w:sz="4" w:space="0" w:color="auto"/>
              <w:left w:val="nil"/>
              <w:bottom w:val="single" w:sz="4" w:space="0" w:color="auto"/>
              <w:right w:val="single" w:sz="4" w:space="0" w:color="auto"/>
            </w:tcBorders>
            <w:vAlign w:val="bottom"/>
          </w:tcPr>
          <w:p w14:paraId="1750A13F" w14:textId="25E1D541" w:rsidR="008911CF" w:rsidRPr="006A0D14" w:rsidRDefault="009A3AD8" w:rsidP="006A0D14">
            <w:pPr>
              <w:spacing w:before="60" w:after="60"/>
              <w:jc w:val="right"/>
              <w:rPr>
                <w:b/>
                <w:bCs/>
                <w:noProof/>
                <w:sz w:val="20"/>
                <w:szCs w:val="20"/>
              </w:rPr>
            </w:pPr>
            <w:r>
              <w:rPr>
                <w:b/>
                <w:bCs/>
                <w:noProof/>
                <w:color w:val="000000"/>
                <w:sz w:val="18"/>
                <w:szCs w:val="18"/>
              </w:rPr>
              <w:t>9,521</w:t>
            </w:r>
          </w:p>
        </w:tc>
      </w:tr>
      <w:tr w:rsidR="008911CF" w:rsidRPr="00956203" w14:paraId="718B9458" w14:textId="77777777" w:rsidTr="006A0D14">
        <w:trPr>
          <w:trHeight w:val="585"/>
        </w:trPr>
        <w:tc>
          <w:tcPr>
            <w:tcW w:w="1980" w:type="dxa"/>
            <w:shd w:val="clear" w:color="auto" w:fill="BFBFBF" w:themeFill="background1" w:themeFillShade="BF"/>
            <w:vAlign w:val="center"/>
          </w:tcPr>
          <w:p w14:paraId="2F502278" w14:textId="77777777" w:rsidR="008911CF" w:rsidRPr="00956203" w:rsidRDefault="008911CF" w:rsidP="00B2088F">
            <w:pPr>
              <w:spacing w:before="60" w:after="60"/>
              <w:ind w:left="72"/>
              <w:rPr>
                <w:noProof/>
              </w:rPr>
            </w:pPr>
            <w:r w:rsidRPr="00956203">
              <w:rPr>
                <w:noProof/>
                <w:sz w:val="20"/>
              </w:rPr>
              <w:t>Temporary agents (AST grades)</w:t>
            </w:r>
          </w:p>
        </w:tc>
        <w:tc>
          <w:tcPr>
            <w:tcW w:w="1080" w:type="dxa"/>
            <w:tcBorders>
              <w:top w:val="nil"/>
              <w:left w:val="single" w:sz="4" w:space="0" w:color="auto"/>
              <w:bottom w:val="single" w:sz="4" w:space="0" w:color="auto"/>
              <w:right w:val="single" w:sz="4" w:space="0" w:color="auto"/>
            </w:tcBorders>
            <w:vAlign w:val="bottom"/>
          </w:tcPr>
          <w:p w14:paraId="30471549" w14:textId="77777777" w:rsidR="008911CF" w:rsidRPr="006A0D14" w:rsidRDefault="008911CF" w:rsidP="006A0D14">
            <w:pPr>
              <w:spacing w:before="60" w:after="60"/>
              <w:jc w:val="right"/>
              <w:rPr>
                <w:noProof/>
                <w:sz w:val="20"/>
                <w:szCs w:val="20"/>
              </w:rPr>
            </w:pPr>
            <w:r>
              <w:rPr>
                <w:noProof/>
                <w:color w:val="000000"/>
                <w:sz w:val="18"/>
                <w:szCs w:val="18"/>
              </w:rPr>
              <w:t>0,173</w:t>
            </w:r>
          </w:p>
        </w:tc>
        <w:tc>
          <w:tcPr>
            <w:tcW w:w="1080" w:type="dxa"/>
            <w:tcBorders>
              <w:top w:val="nil"/>
              <w:left w:val="nil"/>
              <w:bottom w:val="single" w:sz="4" w:space="0" w:color="auto"/>
              <w:right w:val="single" w:sz="4" w:space="0" w:color="auto"/>
            </w:tcBorders>
            <w:vAlign w:val="bottom"/>
          </w:tcPr>
          <w:p w14:paraId="32085422" w14:textId="77777777" w:rsidR="008911CF" w:rsidRPr="006A0D14" w:rsidRDefault="008911CF" w:rsidP="006A0D14">
            <w:pPr>
              <w:spacing w:before="60" w:after="60"/>
              <w:jc w:val="right"/>
              <w:rPr>
                <w:noProof/>
                <w:sz w:val="20"/>
                <w:szCs w:val="20"/>
              </w:rPr>
            </w:pPr>
            <w:r>
              <w:rPr>
                <w:noProof/>
                <w:color w:val="000000"/>
                <w:sz w:val="18"/>
                <w:szCs w:val="18"/>
              </w:rPr>
              <w:t>0,346</w:t>
            </w:r>
          </w:p>
        </w:tc>
        <w:tc>
          <w:tcPr>
            <w:tcW w:w="1080" w:type="dxa"/>
            <w:tcBorders>
              <w:top w:val="nil"/>
              <w:left w:val="nil"/>
              <w:bottom w:val="single" w:sz="4" w:space="0" w:color="auto"/>
              <w:right w:val="single" w:sz="4" w:space="0" w:color="auto"/>
            </w:tcBorders>
            <w:vAlign w:val="bottom"/>
          </w:tcPr>
          <w:p w14:paraId="04906230" w14:textId="77777777" w:rsidR="008911CF" w:rsidRPr="006A0D14" w:rsidRDefault="008911CF" w:rsidP="006A0D14">
            <w:pPr>
              <w:spacing w:before="60" w:after="60"/>
              <w:jc w:val="right"/>
              <w:rPr>
                <w:noProof/>
                <w:sz w:val="20"/>
                <w:szCs w:val="20"/>
              </w:rPr>
            </w:pPr>
            <w:r>
              <w:rPr>
                <w:noProof/>
                <w:color w:val="000000"/>
                <w:sz w:val="18"/>
                <w:szCs w:val="18"/>
              </w:rPr>
              <w:t>0,433</w:t>
            </w:r>
          </w:p>
        </w:tc>
        <w:tc>
          <w:tcPr>
            <w:tcW w:w="1080" w:type="dxa"/>
            <w:tcBorders>
              <w:top w:val="nil"/>
              <w:left w:val="nil"/>
              <w:bottom w:val="single" w:sz="4" w:space="0" w:color="auto"/>
              <w:right w:val="single" w:sz="4" w:space="0" w:color="auto"/>
            </w:tcBorders>
            <w:vAlign w:val="bottom"/>
          </w:tcPr>
          <w:p w14:paraId="32138A01" w14:textId="2B0FE836" w:rsidR="008911CF" w:rsidRPr="006A0D14" w:rsidRDefault="008911CF" w:rsidP="006A0D14">
            <w:pPr>
              <w:spacing w:before="60" w:after="60"/>
              <w:jc w:val="right"/>
              <w:rPr>
                <w:noProof/>
                <w:sz w:val="20"/>
                <w:szCs w:val="20"/>
              </w:rPr>
            </w:pPr>
            <w:r>
              <w:rPr>
                <w:noProof/>
                <w:color w:val="000000"/>
                <w:sz w:val="18"/>
                <w:szCs w:val="18"/>
              </w:rPr>
              <w:t>0,</w:t>
            </w:r>
            <w:r w:rsidR="001B2863">
              <w:rPr>
                <w:noProof/>
                <w:color w:val="000000"/>
                <w:sz w:val="18"/>
                <w:szCs w:val="18"/>
              </w:rPr>
              <w:t>0,692</w:t>
            </w:r>
          </w:p>
        </w:tc>
        <w:tc>
          <w:tcPr>
            <w:tcW w:w="3351" w:type="dxa"/>
            <w:tcBorders>
              <w:top w:val="nil"/>
              <w:left w:val="nil"/>
              <w:bottom w:val="single" w:sz="4" w:space="0" w:color="auto"/>
              <w:right w:val="single" w:sz="4" w:space="0" w:color="auto"/>
            </w:tcBorders>
            <w:vAlign w:val="bottom"/>
          </w:tcPr>
          <w:p w14:paraId="06B1E42F" w14:textId="764AF014" w:rsidR="008911CF" w:rsidRPr="006A0D14" w:rsidRDefault="009A3AD8" w:rsidP="006A0D14">
            <w:pPr>
              <w:spacing w:before="60" w:after="60"/>
              <w:jc w:val="right"/>
              <w:rPr>
                <w:b/>
                <w:bCs/>
                <w:noProof/>
                <w:sz w:val="20"/>
                <w:szCs w:val="20"/>
              </w:rPr>
            </w:pPr>
            <w:r>
              <w:rPr>
                <w:b/>
                <w:bCs/>
                <w:noProof/>
                <w:color w:val="000000"/>
                <w:sz w:val="18"/>
                <w:szCs w:val="18"/>
              </w:rPr>
              <w:t>1,</w:t>
            </w:r>
            <w:r w:rsidR="00F1149B">
              <w:rPr>
                <w:b/>
                <w:bCs/>
                <w:noProof/>
                <w:color w:val="000000"/>
                <w:sz w:val="18"/>
                <w:szCs w:val="18"/>
              </w:rPr>
              <w:t>644</w:t>
            </w:r>
          </w:p>
        </w:tc>
      </w:tr>
      <w:tr w:rsidR="008911CF" w:rsidRPr="00956203" w14:paraId="1C9EA698" w14:textId="77777777" w:rsidTr="006A0D14">
        <w:trPr>
          <w:trHeight w:val="585"/>
        </w:trPr>
        <w:tc>
          <w:tcPr>
            <w:tcW w:w="1980" w:type="dxa"/>
            <w:shd w:val="clear" w:color="auto" w:fill="BFBFBF" w:themeFill="background1" w:themeFillShade="BF"/>
            <w:vAlign w:val="center"/>
          </w:tcPr>
          <w:p w14:paraId="12C6F9CB" w14:textId="77777777" w:rsidR="008911CF" w:rsidRPr="00956203" w:rsidRDefault="008911CF" w:rsidP="00B2088F">
            <w:pPr>
              <w:spacing w:before="60" w:after="60"/>
              <w:ind w:left="72"/>
              <w:rPr>
                <w:noProof/>
              </w:rPr>
            </w:pPr>
            <w:r w:rsidRPr="00956203">
              <w:rPr>
                <w:noProof/>
                <w:sz w:val="20"/>
              </w:rPr>
              <w:t>Contract staff</w:t>
            </w:r>
          </w:p>
        </w:tc>
        <w:tc>
          <w:tcPr>
            <w:tcW w:w="1080" w:type="dxa"/>
            <w:tcBorders>
              <w:top w:val="nil"/>
              <w:left w:val="single" w:sz="4" w:space="0" w:color="auto"/>
              <w:bottom w:val="single" w:sz="4" w:space="0" w:color="auto"/>
              <w:right w:val="single" w:sz="4" w:space="0" w:color="auto"/>
            </w:tcBorders>
            <w:vAlign w:val="bottom"/>
          </w:tcPr>
          <w:p w14:paraId="7669A41B" w14:textId="77777777" w:rsidR="008911CF" w:rsidRPr="00956203" w:rsidRDefault="008911CF" w:rsidP="00B2088F">
            <w:pPr>
              <w:spacing w:before="60" w:after="60"/>
              <w:jc w:val="right"/>
              <w:rPr>
                <w:noProof/>
                <w:sz w:val="20"/>
              </w:rPr>
            </w:pPr>
          </w:p>
        </w:tc>
        <w:tc>
          <w:tcPr>
            <w:tcW w:w="1080" w:type="dxa"/>
            <w:tcBorders>
              <w:top w:val="nil"/>
              <w:left w:val="nil"/>
              <w:bottom w:val="single" w:sz="4" w:space="0" w:color="auto"/>
              <w:right w:val="single" w:sz="4" w:space="0" w:color="auto"/>
            </w:tcBorders>
            <w:vAlign w:val="bottom"/>
          </w:tcPr>
          <w:p w14:paraId="4DC984F6" w14:textId="77777777" w:rsidR="008911CF" w:rsidRPr="00956203" w:rsidRDefault="008911CF" w:rsidP="00B2088F">
            <w:pPr>
              <w:spacing w:before="60" w:after="60"/>
              <w:jc w:val="right"/>
              <w:rPr>
                <w:noProof/>
                <w:sz w:val="20"/>
              </w:rPr>
            </w:pPr>
          </w:p>
        </w:tc>
        <w:tc>
          <w:tcPr>
            <w:tcW w:w="1080" w:type="dxa"/>
            <w:tcBorders>
              <w:top w:val="nil"/>
              <w:left w:val="nil"/>
              <w:bottom w:val="single" w:sz="4" w:space="0" w:color="auto"/>
              <w:right w:val="single" w:sz="4" w:space="0" w:color="auto"/>
            </w:tcBorders>
            <w:vAlign w:val="bottom"/>
          </w:tcPr>
          <w:p w14:paraId="46FEB399" w14:textId="77777777" w:rsidR="008911CF" w:rsidRPr="00956203" w:rsidRDefault="008911CF" w:rsidP="00B2088F">
            <w:pPr>
              <w:spacing w:before="60" w:after="60"/>
              <w:jc w:val="right"/>
              <w:rPr>
                <w:noProof/>
                <w:sz w:val="20"/>
              </w:rPr>
            </w:pPr>
          </w:p>
        </w:tc>
        <w:tc>
          <w:tcPr>
            <w:tcW w:w="1080" w:type="dxa"/>
            <w:tcBorders>
              <w:top w:val="nil"/>
              <w:left w:val="nil"/>
              <w:bottom w:val="single" w:sz="4" w:space="0" w:color="auto"/>
              <w:right w:val="single" w:sz="4" w:space="0" w:color="auto"/>
            </w:tcBorders>
            <w:vAlign w:val="bottom"/>
          </w:tcPr>
          <w:p w14:paraId="343CD371" w14:textId="77777777" w:rsidR="008911CF" w:rsidRPr="00956203" w:rsidRDefault="008911CF" w:rsidP="00B2088F">
            <w:pPr>
              <w:spacing w:before="60" w:after="60"/>
              <w:jc w:val="right"/>
              <w:rPr>
                <w:noProof/>
                <w:sz w:val="20"/>
              </w:rPr>
            </w:pPr>
          </w:p>
        </w:tc>
        <w:tc>
          <w:tcPr>
            <w:tcW w:w="3351" w:type="dxa"/>
            <w:tcBorders>
              <w:top w:val="nil"/>
              <w:left w:val="nil"/>
              <w:bottom w:val="single" w:sz="4" w:space="0" w:color="auto"/>
              <w:right w:val="single" w:sz="4" w:space="0" w:color="auto"/>
            </w:tcBorders>
            <w:vAlign w:val="bottom"/>
          </w:tcPr>
          <w:p w14:paraId="6C9EA14B" w14:textId="77777777" w:rsidR="008911CF" w:rsidRPr="00956203" w:rsidRDefault="008911CF" w:rsidP="00B2088F">
            <w:pPr>
              <w:spacing w:before="60" w:after="60"/>
              <w:jc w:val="center"/>
              <w:rPr>
                <w:b/>
                <w:noProof/>
                <w:sz w:val="20"/>
              </w:rPr>
            </w:pPr>
          </w:p>
        </w:tc>
      </w:tr>
      <w:tr w:rsidR="008911CF" w:rsidRPr="00956203" w14:paraId="49449C39" w14:textId="77777777" w:rsidTr="006A0D14">
        <w:trPr>
          <w:trHeight w:val="585"/>
        </w:trPr>
        <w:tc>
          <w:tcPr>
            <w:tcW w:w="1980" w:type="dxa"/>
            <w:shd w:val="clear" w:color="auto" w:fill="CCCCCC"/>
            <w:vAlign w:val="center"/>
          </w:tcPr>
          <w:p w14:paraId="0D69E1E0" w14:textId="77777777" w:rsidR="008911CF" w:rsidRPr="00956203" w:rsidRDefault="008911CF" w:rsidP="00B2088F">
            <w:pPr>
              <w:spacing w:before="60" w:after="60"/>
              <w:jc w:val="center"/>
              <w:rPr>
                <w:noProof/>
              </w:rPr>
            </w:pPr>
            <w:r w:rsidRPr="00956203">
              <w:rPr>
                <w:noProof/>
                <w:sz w:val="18"/>
              </w:rPr>
              <w:t>Seconded National Experts</w:t>
            </w:r>
          </w:p>
        </w:tc>
        <w:tc>
          <w:tcPr>
            <w:tcW w:w="1080" w:type="dxa"/>
            <w:tcBorders>
              <w:top w:val="single" w:sz="2" w:space="0" w:color="auto"/>
              <w:left w:val="single" w:sz="2" w:space="0" w:color="auto"/>
              <w:bottom w:val="single" w:sz="2" w:space="0" w:color="auto"/>
              <w:right w:val="single" w:sz="2" w:space="0" w:color="auto"/>
            </w:tcBorders>
            <w:vAlign w:val="center"/>
          </w:tcPr>
          <w:p w14:paraId="320AFAE2" w14:textId="77777777" w:rsidR="008911CF" w:rsidRPr="00956203" w:rsidRDefault="008911CF" w:rsidP="00B2088F">
            <w:pPr>
              <w:spacing w:before="60" w:after="60"/>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6A4785E4" w14:textId="77777777" w:rsidR="008911CF" w:rsidRPr="00956203" w:rsidRDefault="008911CF" w:rsidP="00B2088F">
            <w:pPr>
              <w:spacing w:before="60" w:after="60"/>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54E87B35" w14:textId="77777777" w:rsidR="008911CF" w:rsidRPr="00956203" w:rsidRDefault="008911CF" w:rsidP="00B2088F">
            <w:pPr>
              <w:spacing w:before="60" w:after="60"/>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5CB71FF" w14:textId="77777777" w:rsidR="008911CF" w:rsidRPr="00956203" w:rsidRDefault="008911CF" w:rsidP="00B2088F">
            <w:pPr>
              <w:spacing w:before="60" w:after="60"/>
              <w:jc w:val="right"/>
              <w:rPr>
                <w:noProof/>
                <w:sz w:val="20"/>
              </w:rPr>
            </w:pPr>
          </w:p>
        </w:tc>
        <w:tc>
          <w:tcPr>
            <w:tcW w:w="3351" w:type="dxa"/>
            <w:tcBorders>
              <w:top w:val="single" w:sz="2" w:space="0" w:color="auto"/>
              <w:left w:val="single" w:sz="2" w:space="0" w:color="auto"/>
              <w:bottom w:val="single" w:sz="2" w:space="0" w:color="auto"/>
              <w:right w:val="single" w:sz="2" w:space="0" w:color="auto"/>
            </w:tcBorders>
            <w:vAlign w:val="center"/>
          </w:tcPr>
          <w:p w14:paraId="782547E9" w14:textId="77777777" w:rsidR="008911CF" w:rsidRPr="00956203" w:rsidRDefault="008911CF" w:rsidP="00B2088F">
            <w:pPr>
              <w:spacing w:before="60" w:after="60"/>
              <w:jc w:val="right"/>
              <w:rPr>
                <w:b/>
                <w:noProof/>
                <w:sz w:val="20"/>
              </w:rPr>
            </w:pPr>
          </w:p>
        </w:tc>
      </w:tr>
    </w:tbl>
    <w:p w14:paraId="682A03CE" w14:textId="77777777" w:rsidR="00906BEE" w:rsidRDefault="00906BEE" w:rsidP="00906BEE">
      <w:pPr>
        <w:tabs>
          <w:tab w:val="left" w:pos="2573"/>
        </w:tabs>
        <w:rPr>
          <w:noProof/>
          <w:sz w:val="18"/>
        </w:rPr>
      </w:pPr>
    </w:p>
    <w:tbl>
      <w:tblPr>
        <w:tblW w:w="9651" w:type="dxa"/>
        <w:tblInd w:w="-612" w:type="dxa"/>
        <w:tblLayout w:type="fixed"/>
        <w:tblLook w:val="01E0" w:firstRow="1" w:lastRow="1" w:firstColumn="1" w:lastColumn="1" w:noHBand="0" w:noVBand="0"/>
      </w:tblPr>
      <w:tblGrid>
        <w:gridCol w:w="1980"/>
        <w:gridCol w:w="1080"/>
        <w:gridCol w:w="1080"/>
        <w:gridCol w:w="1080"/>
        <w:gridCol w:w="1080"/>
        <w:gridCol w:w="3351"/>
      </w:tblGrid>
      <w:tr w:rsidR="008911CF" w:rsidRPr="00956203" w14:paraId="7F8F7FF4" w14:textId="77777777" w:rsidTr="006A0D1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EE0F285" w14:textId="77777777" w:rsidR="008911CF" w:rsidRPr="00956203" w:rsidRDefault="008911CF" w:rsidP="00B2088F">
            <w:pPr>
              <w:spacing w:before="60" w:after="60"/>
              <w:jc w:val="center"/>
              <w:rPr>
                <w:noProof/>
                <w:sz w:val="20"/>
              </w:rPr>
            </w:pPr>
            <w:r w:rsidRPr="00956203">
              <w:rPr>
                <w:b/>
                <w:noProof/>
                <w:sz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C49563" w14:textId="7E149A89" w:rsidR="008911CF" w:rsidRPr="006A0D14" w:rsidRDefault="008911CF" w:rsidP="006A0D14">
            <w:pPr>
              <w:spacing w:before="60" w:after="60"/>
              <w:jc w:val="right"/>
              <w:rPr>
                <w:b/>
                <w:bCs/>
                <w:noProof/>
                <w:sz w:val="20"/>
                <w:szCs w:val="20"/>
              </w:rPr>
            </w:pPr>
            <w:r>
              <w:rPr>
                <w:b/>
                <w:bCs/>
                <w:noProof/>
                <w:color w:val="000000"/>
                <w:sz w:val="18"/>
                <w:szCs w:val="18"/>
              </w:rPr>
              <w:t>1,125</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A3ABDD" w14:textId="5CA0571A" w:rsidR="008911CF" w:rsidRPr="006A0D14" w:rsidRDefault="008911CF" w:rsidP="006A0D14">
            <w:pPr>
              <w:spacing w:before="60" w:after="60"/>
              <w:jc w:val="right"/>
              <w:rPr>
                <w:b/>
                <w:bCs/>
                <w:noProof/>
                <w:sz w:val="20"/>
                <w:szCs w:val="20"/>
              </w:rPr>
            </w:pPr>
            <w:r>
              <w:rPr>
                <w:b/>
                <w:bCs/>
                <w:noProof/>
                <w:color w:val="000000"/>
                <w:sz w:val="18"/>
                <w:szCs w:val="18"/>
              </w:rPr>
              <w:t>2,683</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8052044" w14:textId="47786ACE" w:rsidR="008911CF" w:rsidRPr="006A0D14" w:rsidRDefault="008911CF" w:rsidP="006A0D14">
            <w:pPr>
              <w:spacing w:before="60" w:after="60"/>
              <w:jc w:val="right"/>
              <w:rPr>
                <w:b/>
                <w:bCs/>
                <w:noProof/>
                <w:sz w:val="20"/>
                <w:szCs w:val="20"/>
              </w:rPr>
            </w:pPr>
            <w:r>
              <w:rPr>
                <w:b/>
                <w:bCs/>
                <w:noProof/>
                <w:color w:val="000000"/>
                <w:sz w:val="18"/>
                <w:szCs w:val="18"/>
              </w:rPr>
              <w:t>3,376</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B3A884" w14:textId="57B0C7B4" w:rsidR="008911CF" w:rsidRPr="006A0D14" w:rsidRDefault="00F1149B" w:rsidP="006A0D14">
            <w:pPr>
              <w:spacing w:before="60" w:after="60"/>
              <w:jc w:val="right"/>
              <w:rPr>
                <w:b/>
                <w:bCs/>
                <w:noProof/>
                <w:sz w:val="20"/>
                <w:szCs w:val="20"/>
              </w:rPr>
            </w:pPr>
            <w:r>
              <w:rPr>
                <w:b/>
                <w:bCs/>
                <w:noProof/>
                <w:color w:val="000000"/>
                <w:sz w:val="18"/>
                <w:szCs w:val="18"/>
              </w:rPr>
              <w:t>3,981</w:t>
            </w:r>
          </w:p>
        </w:tc>
        <w:tc>
          <w:tcPr>
            <w:tcW w:w="33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70B2FD" w14:textId="3734D381" w:rsidR="008911CF" w:rsidRPr="006A0D14" w:rsidRDefault="009A3AD8" w:rsidP="006A0D14">
            <w:pPr>
              <w:spacing w:before="60" w:after="60"/>
              <w:jc w:val="right"/>
              <w:rPr>
                <w:b/>
                <w:bCs/>
                <w:noProof/>
                <w:sz w:val="20"/>
                <w:szCs w:val="20"/>
              </w:rPr>
            </w:pPr>
            <w:r>
              <w:rPr>
                <w:b/>
                <w:bCs/>
                <w:noProof/>
                <w:color w:val="000000"/>
                <w:sz w:val="18"/>
                <w:szCs w:val="18"/>
              </w:rPr>
              <w:t>11,</w:t>
            </w:r>
            <w:r w:rsidR="00F1149B">
              <w:rPr>
                <w:b/>
                <w:bCs/>
                <w:noProof/>
                <w:color w:val="000000"/>
                <w:sz w:val="18"/>
                <w:szCs w:val="18"/>
              </w:rPr>
              <w:t>165</w:t>
            </w:r>
          </w:p>
        </w:tc>
      </w:tr>
    </w:tbl>
    <w:p w14:paraId="3F2CB125" w14:textId="77777777" w:rsidR="00906BEE" w:rsidRDefault="00906BEE" w:rsidP="00906BEE">
      <w:pPr>
        <w:rPr>
          <w:noProof/>
          <w:sz w:val="20"/>
        </w:rPr>
      </w:pPr>
    </w:p>
    <w:p w14:paraId="3094BBDF" w14:textId="77777777" w:rsidR="00906BEE" w:rsidRPr="00956203" w:rsidRDefault="00906BEE" w:rsidP="00906BEE">
      <w:pPr>
        <w:rPr>
          <w:noProof/>
          <w:sz w:val="20"/>
        </w:rPr>
      </w:pPr>
      <w:r w:rsidRPr="00805B56">
        <w:rPr>
          <w:noProof/>
          <w:sz w:val="20"/>
          <w:szCs w:val="20"/>
        </w:rPr>
        <w:t>Staff requirements</w:t>
      </w:r>
      <w:r w:rsidRPr="00805B56">
        <w:rPr>
          <w:rStyle w:val="FootnoteReference"/>
          <w:noProof/>
          <w:sz w:val="20"/>
          <w:szCs w:val="20"/>
        </w:rPr>
        <w:footnoteReference w:id="60"/>
      </w:r>
      <w:r w:rsidRPr="00805B56">
        <w:rPr>
          <w:noProof/>
          <w:sz w:val="20"/>
          <w:szCs w:val="20"/>
        </w:rPr>
        <w:t xml:space="preserve"> (FTE):</w:t>
      </w: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956203" w14:paraId="0C33360F" w14:textId="77777777" w:rsidTr="006A0D14">
        <w:trPr>
          <w:trHeight w:val="585"/>
        </w:trPr>
        <w:tc>
          <w:tcPr>
            <w:tcW w:w="1980" w:type="dxa"/>
          </w:tcPr>
          <w:p w14:paraId="54F83546" w14:textId="77777777" w:rsidR="008911CF" w:rsidRPr="00956203" w:rsidRDefault="008911CF" w:rsidP="00B2088F">
            <w:pPr>
              <w:spacing w:before="60" w:after="60"/>
              <w:rPr>
                <w:noProof/>
                <w:sz w:val="20"/>
              </w:rPr>
            </w:pPr>
          </w:p>
        </w:tc>
        <w:tc>
          <w:tcPr>
            <w:tcW w:w="1080" w:type="dxa"/>
            <w:vAlign w:val="center"/>
          </w:tcPr>
          <w:p w14:paraId="5120A169"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 xml:space="preserve">2024 </w:t>
            </w:r>
          </w:p>
        </w:tc>
        <w:tc>
          <w:tcPr>
            <w:tcW w:w="1080" w:type="dxa"/>
            <w:vAlign w:val="center"/>
          </w:tcPr>
          <w:p w14:paraId="6BDD10F5"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202</w:t>
            </w:r>
            <w:r>
              <w:rPr>
                <w:b/>
                <w:noProof/>
                <w:sz w:val="20"/>
              </w:rPr>
              <w:t>5</w:t>
            </w:r>
          </w:p>
        </w:tc>
        <w:tc>
          <w:tcPr>
            <w:tcW w:w="1080" w:type="dxa"/>
            <w:vAlign w:val="center"/>
          </w:tcPr>
          <w:p w14:paraId="1AE082B7"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202</w:t>
            </w:r>
            <w:r>
              <w:rPr>
                <w:b/>
                <w:noProof/>
                <w:sz w:val="20"/>
              </w:rPr>
              <w:t>6</w:t>
            </w:r>
          </w:p>
        </w:tc>
        <w:tc>
          <w:tcPr>
            <w:tcW w:w="1080" w:type="dxa"/>
            <w:vAlign w:val="center"/>
          </w:tcPr>
          <w:p w14:paraId="320355C3" w14:textId="77777777" w:rsidR="008911CF" w:rsidRPr="00956203" w:rsidRDefault="008911CF" w:rsidP="00B2088F">
            <w:pPr>
              <w:spacing w:before="60" w:after="60"/>
              <w:jc w:val="center"/>
              <w:rPr>
                <w:noProof/>
                <w:sz w:val="20"/>
              </w:rPr>
            </w:pPr>
            <w:r w:rsidRPr="00956203">
              <w:rPr>
                <w:noProof/>
                <w:sz w:val="20"/>
              </w:rPr>
              <w:t>Year</w:t>
            </w:r>
            <w:r w:rsidRPr="00956203">
              <w:rPr>
                <w:noProof/>
                <w:sz w:val="22"/>
              </w:rPr>
              <w:br/>
            </w:r>
            <w:r w:rsidRPr="00956203">
              <w:rPr>
                <w:b/>
                <w:noProof/>
                <w:sz w:val="20"/>
              </w:rPr>
              <w:t>202</w:t>
            </w:r>
            <w:r>
              <w:rPr>
                <w:b/>
                <w:noProof/>
                <w:sz w:val="20"/>
              </w:rPr>
              <w:t>7</w:t>
            </w:r>
          </w:p>
        </w:tc>
        <w:tc>
          <w:tcPr>
            <w:tcW w:w="3351" w:type="dxa"/>
            <w:vAlign w:val="center"/>
          </w:tcPr>
          <w:p w14:paraId="56C2DA08" w14:textId="77777777" w:rsidR="008911CF" w:rsidRPr="00956203" w:rsidRDefault="008911CF" w:rsidP="00B2088F">
            <w:pPr>
              <w:spacing w:before="60" w:after="60"/>
              <w:jc w:val="center"/>
              <w:rPr>
                <w:b/>
                <w:noProof/>
                <w:sz w:val="20"/>
              </w:rPr>
            </w:pPr>
            <w:r w:rsidRPr="00956203">
              <w:rPr>
                <w:b/>
                <w:noProof/>
                <w:sz w:val="20"/>
              </w:rPr>
              <w:t>TOTAL</w:t>
            </w:r>
          </w:p>
        </w:tc>
      </w:tr>
    </w:tbl>
    <w:p w14:paraId="23AD8610" w14:textId="77777777" w:rsidR="00906BEE" w:rsidRDefault="00906BEE" w:rsidP="00906BEE">
      <w:pPr>
        <w:tabs>
          <w:tab w:val="left" w:pos="2573"/>
        </w:tabs>
        <w:rPr>
          <w:noProof/>
          <w:sz w:val="18"/>
        </w:rPr>
      </w:pP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956203" w14:paraId="095AFF78" w14:textId="77777777" w:rsidTr="006A0D14">
        <w:trPr>
          <w:trHeight w:val="585"/>
        </w:trPr>
        <w:tc>
          <w:tcPr>
            <w:tcW w:w="1980" w:type="dxa"/>
            <w:shd w:val="clear" w:color="auto" w:fill="D9D9D9" w:themeFill="background1" w:themeFillShade="D9"/>
            <w:vAlign w:val="center"/>
          </w:tcPr>
          <w:p w14:paraId="52FCD885" w14:textId="77777777" w:rsidR="008911CF" w:rsidRPr="00956203" w:rsidRDefault="008911CF" w:rsidP="00B2088F">
            <w:pPr>
              <w:spacing w:before="60" w:after="60"/>
              <w:jc w:val="center"/>
              <w:rPr>
                <w:noProof/>
              </w:rPr>
            </w:pPr>
            <w:r w:rsidRPr="00956203">
              <w:rPr>
                <w:noProof/>
                <w:sz w:val="18"/>
              </w:rPr>
              <w:t>Temporary agents (AD Grades)</w:t>
            </w:r>
          </w:p>
        </w:tc>
        <w:tc>
          <w:tcPr>
            <w:tcW w:w="1080" w:type="dxa"/>
            <w:tcBorders>
              <w:top w:val="single" w:sz="4" w:space="0" w:color="auto"/>
              <w:left w:val="single" w:sz="4" w:space="0" w:color="auto"/>
              <w:bottom w:val="single" w:sz="4" w:space="0" w:color="auto"/>
              <w:right w:val="single" w:sz="4" w:space="0" w:color="auto"/>
            </w:tcBorders>
            <w:vAlign w:val="center"/>
          </w:tcPr>
          <w:p w14:paraId="490B55CF" w14:textId="77777777" w:rsidR="008911CF" w:rsidRPr="006A0D14" w:rsidRDefault="008911CF" w:rsidP="006A0D14">
            <w:pPr>
              <w:spacing w:before="60" w:after="60"/>
              <w:jc w:val="center"/>
              <w:rPr>
                <w:noProof/>
                <w:sz w:val="20"/>
                <w:szCs w:val="20"/>
              </w:rPr>
            </w:pPr>
            <w:r w:rsidRPr="00805B56">
              <w:rPr>
                <w:noProof/>
                <w:color w:val="000000"/>
                <w:sz w:val="20"/>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14:paraId="52E7CAD4" w14:textId="00A2C7EB" w:rsidR="008911CF" w:rsidRPr="006A0D14" w:rsidRDefault="008911CF" w:rsidP="006A0D14">
            <w:pPr>
              <w:spacing w:before="60" w:after="60"/>
              <w:jc w:val="center"/>
              <w:rPr>
                <w:noProof/>
                <w:sz w:val="20"/>
                <w:szCs w:val="20"/>
              </w:rPr>
            </w:pPr>
            <w:r w:rsidRPr="00805B56">
              <w:rPr>
                <w:noProof/>
                <w:color w:val="000000"/>
                <w:sz w:val="20"/>
                <w:szCs w:val="20"/>
              </w:rPr>
              <w:t>16</w:t>
            </w:r>
          </w:p>
        </w:tc>
        <w:tc>
          <w:tcPr>
            <w:tcW w:w="1080" w:type="dxa"/>
            <w:tcBorders>
              <w:top w:val="single" w:sz="4" w:space="0" w:color="auto"/>
              <w:left w:val="single" w:sz="4" w:space="0" w:color="auto"/>
              <w:bottom w:val="single" w:sz="4" w:space="0" w:color="auto"/>
              <w:right w:val="single" w:sz="4" w:space="0" w:color="auto"/>
            </w:tcBorders>
            <w:vAlign w:val="center"/>
          </w:tcPr>
          <w:p w14:paraId="215CFEAF" w14:textId="7FDC43DB" w:rsidR="008911CF" w:rsidRPr="006A0D14" w:rsidRDefault="008911CF" w:rsidP="006A0D14">
            <w:pPr>
              <w:spacing w:before="60" w:after="60"/>
              <w:jc w:val="right"/>
              <w:rPr>
                <w:noProof/>
                <w:sz w:val="20"/>
                <w:szCs w:val="20"/>
              </w:rPr>
            </w:pPr>
            <w:r>
              <w:rPr>
                <w:noProof/>
                <w:sz w:val="20"/>
                <w:szCs w:val="20"/>
              </w:rPr>
              <w:t>18</w:t>
            </w:r>
          </w:p>
        </w:tc>
        <w:tc>
          <w:tcPr>
            <w:tcW w:w="1080" w:type="dxa"/>
            <w:tcBorders>
              <w:top w:val="single" w:sz="4" w:space="0" w:color="auto"/>
              <w:left w:val="single" w:sz="4" w:space="0" w:color="auto"/>
              <w:bottom w:val="single" w:sz="4" w:space="0" w:color="auto"/>
              <w:right w:val="single" w:sz="4" w:space="0" w:color="auto"/>
            </w:tcBorders>
            <w:vAlign w:val="center"/>
          </w:tcPr>
          <w:p w14:paraId="07A346FC" w14:textId="40241F52" w:rsidR="008911CF" w:rsidRPr="006A0D14" w:rsidRDefault="008911CF" w:rsidP="006A0D14">
            <w:pPr>
              <w:spacing w:before="60" w:after="60"/>
              <w:jc w:val="right"/>
              <w:rPr>
                <w:noProof/>
                <w:sz w:val="20"/>
                <w:szCs w:val="20"/>
              </w:rPr>
            </w:pPr>
            <w:r>
              <w:rPr>
                <w:noProof/>
                <w:sz w:val="20"/>
                <w:szCs w:val="20"/>
              </w:rPr>
              <w:t>20</w:t>
            </w:r>
          </w:p>
        </w:tc>
        <w:tc>
          <w:tcPr>
            <w:tcW w:w="3351" w:type="dxa"/>
            <w:tcBorders>
              <w:top w:val="single" w:sz="4" w:space="0" w:color="auto"/>
              <w:left w:val="single" w:sz="4" w:space="0" w:color="auto"/>
              <w:bottom w:val="single" w:sz="4" w:space="0" w:color="auto"/>
              <w:right w:val="single" w:sz="4" w:space="0" w:color="auto"/>
            </w:tcBorders>
            <w:vAlign w:val="center"/>
          </w:tcPr>
          <w:p w14:paraId="1941B8CB" w14:textId="77777777" w:rsidR="008911CF" w:rsidRPr="00956203" w:rsidRDefault="008911CF" w:rsidP="00B2088F">
            <w:pPr>
              <w:spacing w:before="60" w:after="60"/>
              <w:jc w:val="right"/>
              <w:rPr>
                <w:b/>
                <w:noProof/>
                <w:sz w:val="20"/>
              </w:rPr>
            </w:pPr>
            <w:r>
              <w:rPr>
                <w:noProof/>
                <w:sz w:val="20"/>
                <w:szCs w:val="20"/>
              </w:rPr>
              <w:t>20</w:t>
            </w:r>
          </w:p>
        </w:tc>
      </w:tr>
      <w:tr w:rsidR="008911CF" w:rsidRPr="00956203" w14:paraId="1529AFBC" w14:textId="77777777" w:rsidTr="006A0D14">
        <w:trPr>
          <w:trHeight w:val="585"/>
        </w:trPr>
        <w:tc>
          <w:tcPr>
            <w:tcW w:w="1980" w:type="dxa"/>
            <w:shd w:val="clear" w:color="auto" w:fill="BFBFBF" w:themeFill="background1" w:themeFillShade="BF"/>
            <w:vAlign w:val="center"/>
          </w:tcPr>
          <w:p w14:paraId="03074928" w14:textId="77777777" w:rsidR="008911CF" w:rsidRPr="00956203" w:rsidRDefault="008911CF" w:rsidP="00B2088F">
            <w:pPr>
              <w:spacing w:before="60" w:after="60"/>
              <w:ind w:left="72"/>
              <w:rPr>
                <w:noProof/>
              </w:rPr>
            </w:pPr>
            <w:r w:rsidRPr="00956203">
              <w:rPr>
                <w:noProof/>
                <w:sz w:val="20"/>
              </w:rPr>
              <w:t>Temporary agents (AST grades)</w:t>
            </w:r>
          </w:p>
        </w:tc>
        <w:tc>
          <w:tcPr>
            <w:tcW w:w="1080" w:type="dxa"/>
            <w:tcBorders>
              <w:top w:val="single" w:sz="4" w:space="0" w:color="auto"/>
              <w:left w:val="single" w:sz="4" w:space="0" w:color="auto"/>
              <w:bottom w:val="single" w:sz="4" w:space="0" w:color="auto"/>
              <w:right w:val="single" w:sz="4" w:space="0" w:color="auto"/>
            </w:tcBorders>
            <w:vAlign w:val="center"/>
          </w:tcPr>
          <w:p w14:paraId="498E3D9A" w14:textId="77777777" w:rsidR="008911CF" w:rsidRPr="00956203" w:rsidRDefault="008911CF" w:rsidP="00B2088F">
            <w:pPr>
              <w:spacing w:before="60" w:after="60"/>
              <w:jc w:val="right"/>
              <w:rPr>
                <w:noProof/>
                <w:sz w:val="20"/>
              </w:rPr>
            </w:pPr>
            <w:r>
              <w:rPr>
                <w:noProof/>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70DE0E04" w14:textId="28FD39E6" w:rsidR="008911CF" w:rsidRPr="006A0D14" w:rsidRDefault="008911CF" w:rsidP="006A0D14">
            <w:pPr>
              <w:spacing w:before="60" w:after="60"/>
              <w:jc w:val="right"/>
              <w:rPr>
                <w:noProof/>
                <w:sz w:val="20"/>
                <w:szCs w:val="20"/>
              </w:rPr>
            </w:pPr>
            <w:r w:rsidRPr="00805B56">
              <w:rPr>
                <w:noProof/>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11CCB4D4" w14:textId="44D26E6C" w:rsidR="008911CF" w:rsidRPr="006A0D14" w:rsidRDefault="008911CF" w:rsidP="006A0D14">
            <w:pPr>
              <w:spacing w:before="60" w:after="60"/>
              <w:jc w:val="right"/>
              <w:rPr>
                <w:noProof/>
                <w:sz w:val="20"/>
                <w:szCs w:val="20"/>
              </w:rPr>
            </w:pPr>
            <w:r>
              <w:rPr>
                <w:noProof/>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14:paraId="7541E8C7" w14:textId="57E2F2B6" w:rsidR="008911CF" w:rsidRPr="006A0D14" w:rsidRDefault="008911CF" w:rsidP="006A0D14">
            <w:pPr>
              <w:spacing w:before="60" w:after="60"/>
              <w:jc w:val="center"/>
              <w:rPr>
                <w:noProof/>
                <w:sz w:val="20"/>
                <w:szCs w:val="20"/>
              </w:rPr>
            </w:pPr>
            <w:r>
              <w:rPr>
                <w:noProof/>
                <w:sz w:val="20"/>
                <w:szCs w:val="20"/>
              </w:rPr>
              <w:t>5</w:t>
            </w:r>
          </w:p>
        </w:tc>
        <w:tc>
          <w:tcPr>
            <w:tcW w:w="3351" w:type="dxa"/>
            <w:tcBorders>
              <w:top w:val="single" w:sz="4" w:space="0" w:color="auto"/>
              <w:left w:val="single" w:sz="4" w:space="0" w:color="auto"/>
              <w:bottom w:val="single" w:sz="4" w:space="0" w:color="auto"/>
              <w:right w:val="single" w:sz="4" w:space="0" w:color="auto"/>
            </w:tcBorders>
            <w:vAlign w:val="center"/>
          </w:tcPr>
          <w:p w14:paraId="557C1B21" w14:textId="77777777" w:rsidR="008911CF" w:rsidRPr="00956203" w:rsidRDefault="008911CF" w:rsidP="00B2088F">
            <w:pPr>
              <w:spacing w:before="60" w:after="60"/>
              <w:jc w:val="right"/>
              <w:rPr>
                <w:b/>
                <w:noProof/>
                <w:sz w:val="20"/>
              </w:rPr>
            </w:pPr>
            <w:r>
              <w:rPr>
                <w:noProof/>
                <w:sz w:val="20"/>
                <w:szCs w:val="20"/>
              </w:rPr>
              <w:t>5</w:t>
            </w:r>
          </w:p>
        </w:tc>
      </w:tr>
      <w:tr w:rsidR="008911CF" w:rsidRPr="00956203" w14:paraId="7757E98B" w14:textId="77777777" w:rsidTr="006A0D14">
        <w:trPr>
          <w:trHeight w:val="585"/>
        </w:trPr>
        <w:tc>
          <w:tcPr>
            <w:tcW w:w="1980" w:type="dxa"/>
            <w:shd w:val="clear" w:color="auto" w:fill="BFBFBF" w:themeFill="background1" w:themeFillShade="BF"/>
            <w:vAlign w:val="center"/>
          </w:tcPr>
          <w:p w14:paraId="7B47849A" w14:textId="77777777" w:rsidR="008911CF" w:rsidRPr="00956203" w:rsidRDefault="008911CF" w:rsidP="00B2088F">
            <w:pPr>
              <w:spacing w:before="60" w:after="60"/>
              <w:ind w:left="72"/>
              <w:rPr>
                <w:noProof/>
              </w:rPr>
            </w:pPr>
            <w:r w:rsidRPr="00956203">
              <w:rPr>
                <w:noProof/>
                <w:sz w:val="20"/>
              </w:rPr>
              <w:t>Contract staff</w:t>
            </w:r>
          </w:p>
        </w:tc>
        <w:tc>
          <w:tcPr>
            <w:tcW w:w="1080" w:type="dxa"/>
            <w:shd w:val="clear" w:color="auto" w:fill="BFBFBF" w:themeFill="background1" w:themeFillShade="BF"/>
            <w:vAlign w:val="center"/>
          </w:tcPr>
          <w:p w14:paraId="01B708D3" w14:textId="77777777" w:rsidR="008911CF" w:rsidRPr="00956203" w:rsidRDefault="008911CF" w:rsidP="00B2088F">
            <w:pPr>
              <w:spacing w:before="60" w:after="60"/>
              <w:jc w:val="center"/>
              <w:rPr>
                <w:noProof/>
                <w:sz w:val="20"/>
              </w:rPr>
            </w:pPr>
          </w:p>
        </w:tc>
        <w:tc>
          <w:tcPr>
            <w:tcW w:w="1080" w:type="dxa"/>
            <w:shd w:val="clear" w:color="auto" w:fill="BFBFBF" w:themeFill="background1" w:themeFillShade="BF"/>
            <w:vAlign w:val="center"/>
          </w:tcPr>
          <w:p w14:paraId="65DA4A50" w14:textId="77777777" w:rsidR="008911CF" w:rsidRPr="00956203" w:rsidRDefault="008911CF" w:rsidP="00B2088F">
            <w:pPr>
              <w:spacing w:before="60" w:after="60"/>
              <w:jc w:val="right"/>
              <w:rPr>
                <w:noProof/>
                <w:sz w:val="20"/>
              </w:rPr>
            </w:pPr>
          </w:p>
        </w:tc>
        <w:tc>
          <w:tcPr>
            <w:tcW w:w="1080" w:type="dxa"/>
            <w:shd w:val="clear" w:color="auto" w:fill="BFBFBF" w:themeFill="background1" w:themeFillShade="BF"/>
            <w:vAlign w:val="center"/>
          </w:tcPr>
          <w:p w14:paraId="0261B9BB" w14:textId="77777777" w:rsidR="008911CF" w:rsidRPr="00956203" w:rsidRDefault="008911CF" w:rsidP="00B2088F">
            <w:pPr>
              <w:spacing w:before="60" w:after="60"/>
              <w:jc w:val="right"/>
              <w:rPr>
                <w:noProof/>
                <w:sz w:val="20"/>
              </w:rPr>
            </w:pPr>
          </w:p>
        </w:tc>
        <w:tc>
          <w:tcPr>
            <w:tcW w:w="1080" w:type="dxa"/>
            <w:shd w:val="clear" w:color="auto" w:fill="BFBFBF" w:themeFill="background1" w:themeFillShade="BF"/>
            <w:vAlign w:val="center"/>
          </w:tcPr>
          <w:p w14:paraId="7A1EFD2B" w14:textId="77777777" w:rsidR="008911CF" w:rsidRPr="00956203" w:rsidRDefault="008911CF" w:rsidP="00B2088F">
            <w:pPr>
              <w:spacing w:before="60" w:after="60"/>
              <w:jc w:val="right"/>
              <w:rPr>
                <w:noProof/>
                <w:sz w:val="20"/>
              </w:rPr>
            </w:pPr>
          </w:p>
        </w:tc>
        <w:tc>
          <w:tcPr>
            <w:tcW w:w="3351" w:type="dxa"/>
            <w:shd w:val="clear" w:color="auto" w:fill="BFBFBF" w:themeFill="background1" w:themeFillShade="BF"/>
            <w:vAlign w:val="center"/>
          </w:tcPr>
          <w:p w14:paraId="5CC11BE4" w14:textId="77777777" w:rsidR="008911CF" w:rsidRPr="00956203" w:rsidRDefault="008911CF" w:rsidP="00B2088F">
            <w:pPr>
              <w:spacing w:before="60" w:after="60"/>
              <w:jc w:val="right"/>
              <w:rPr>
                <w:b/>
                <w:noProof/>
                <w:sz w:val="20"/>
              </w:rPr>
            </w:pPr>
          </w:p>
        </w:tc>
      </w:tr>
      <w:tr w:rsidR="008911CF" w:rsidRPr="00956203" w14:paraId="1D244B06" w14:textId="77777777" w:rsidTr="006A0D14">
        <w:trPr>
          <w:trHeight w:val="585"/>
        </w:trPr>
        <w:tc>
          <w:tcPr>
            <w:tcW w:w="1980" w:type="dxa"/>
            <w:shd w:val="clear" w:color="auto" w:fill="CCCCCC"/>
            <w:vAlign w:val="center"/>
          </w:tcPr>
          <w:p w14:paraId="02A77309" w14:textId="77777777" w:rsidR="008911CF" w:rsidRPr="00956203" w:rsidRDefault="008911CF" w:rsidP="00B2088F">
            <w:pPr>
              <w:spacing w:before="60" w:after="60"/>
              <w:jc w:val="center"/>
              <w:rPr>
                <w:noProof/>
              </w:rPr>
            </w:pPr>
            <w:r w:rsidRPr="00956203">
              <w:rPr>
                <w:noProof/>
                <w:sz w:val="18"/>
              </w:rPr>
              <w:t>Seconded National Experts</w:t>
            </w:r>
          </w:p>
        </w:tc>
        <w:tc>
          <w:tcPr>
            <w:tcW w:w="1080" w:type="dxa"/>
            <w:vAlign w:val="center"/>
          </w:tcPr>
          <w:p w14:paraId="6CF4C55B" w14:textId="77777777" w:rsidR="008911CF" w:rsidRPr="00956203" w:rsidRDefault="008911CF" w:rsidP="00B2088F">
            <w:pPr>
              <w:spacing w:before="60" w:after="60"/>
              <w:jc w:val="right"/>
              <w:rPr>
                <w:noProof/>
                <w:sz w:val="20"/>
              </w:rPr>
            </w:pPr>
          </w:p>
        </w:tc>
        <w:tc>
          <w:tcPr>
            <w:tcW w:w="1080" w:type="dxa"/>
            <w:vAlign w:val="center"/>
          </w:tcPr>
          <w:p w14:paraId="054430E5" w14:textId="77777777" w:rsidR="008911CF" w:rsidRPr="00956203" w:rsidRDefault="008911CF" w:rsidP="00B2088F">
            <w:pPr>
              <w:spacing w:before="60" w:after="60"/>
              <w:jc w:val="right"/>
              <w:rPr>
                <w:noProof/>
                <w:sz w:val="20"/>
              </w:rPr>
            </w:pPr>
          </w:p>
        </w:tc>
        <w:tc>
          <w:tcPr>
            <w:tcW w:w="1080" w:type="dxa"/>
            <w:vAlign w:val="center"/>
          </w:tcPr>
          <w:p w14:paraId="24147CE9" w14:textId="77777777" w:rsidR="008911CF" w:rsidRPr="00956203" w:rsidRDefault="008911CF" w:rsidP="00B2088F">
            <w:pPr>
              <w:spacing w:before="60" w:after="60"/>
              <w:jc w:val="right"/>
              <w:rPr>
                <w:noProof/>
                <w:sz w:val="20"/>
              </w:rPr>
            </w:pPr>
          </w:p>
        </w:tc>
        <w:tc>
          <w:tcPr>
            <w:tcW w:w="1080" w:type="dxa"/>
            <w:vAlign w:val="center"/>
          </w:tcPr>
          <w:p w14:paraId="4108C791" w14:textId="77777777" w:rsidR="008911CF" w:rsidRPr="00956203" w:rsidRDefault="008911CF" w:rsidP="00B2088F">
            <w:pPr>
              <w:spacing w:before="60" w:after="60"/>
              <w:jc w:val="right"/>
              <w:rPr>
                <w:noProof/>
                <w:sz w:val="20"/>
              </w:rPr>
            </w:pPr>
          </w:p>
        </w:tc>
        <w:tc>
          <w:tcPr>
            <w:tcW w:w="3351" w:type="dxa"/>
            <w:vAlign w:val="center"/>
          </w:tcPr>
          <w:p w14:paraId="1BF4E5E5" w14:textId="77777777" w:rsidR="008911CF" w:rsidRPr="00956203" w:rsidRDefault="008911CF" w:rsidP="00B2088F">
            <w:pPr>
              <w:spacing w:before="60" w:after="60"/>
              <w:jc w:val="right"/>
              <w:rPr>
                <w:b/>
                <w:noProof/>
                <w:sz w:val="20"/>
              </w:rPr>
            </w:pPr>
          </w:p>
        </w:tc>
      </w:tr>
    </w:tbl>
    <w:p w14:paraId="145EEDF0" w14:textId="77777777" w:rsidR="00906BEE" w:rsidRDefault="00906BEE" w:rsidP="00906BEE">
      <w:pPr>
        <w:tabs>
          <w:tab w:val="left" w:pos="2573"/>
        </w:tabs>
        <w:rPr>
          <w:noProof/>
          <w:sz w:val="18"/>
        </w:rPr>
      </w:pPr>
    </w:p>
    <w:tbl>
      <w:tblPr>
        <w:tblW w:w="9651" w:type="dxa"/>
        <w:tblInd w:w="-612" w:type="dxa"/>
        <w:tblLayout w:type="fixed"/>
        <w:tblLook w:val="01E0" w:firstRow="1" w:lastRow="1" w:firstColumn="1" w:lastColumn="1" w:noHBand="0" w:noVBand="0"/>
      </w:tblPr>
      <w:tblGrid>
        <w:gridCol w:w="1980"/>
        <w:gridCol w:w="1080"/>
        <w:gridCol w:w="1080"/>
        <w:gridCol w:w="1080"/>
        <w:gridCol w:w="1080"/>
        <w:gridCol w:w="3351"/>
      </w:tblGrid>
      <w:tr w:rsidR="008911CF" w14:paraId="780DDD4B" w14:textId="77777777" w:rsidTr="006A0D1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8DAD1FA" w14:textId="77777777" w:rsidR="008911CF" w:rsidRDefault="008911CF" w:rsidP="00B2088F">
            <w:pPr>
              <w:spacing w:before="60" w:after="60"/>
              <w:jc w:val="center"/>
              <w:rPr>
                <w:noProof/>
                <w:sz w:val="20"/>
              </w:rPr>
            </w:pPr>
            <w:r w:rsidRPr="00956203">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1DB629BB" w14:textId="77777777" w:rsidR="008911CF" w:rsidRDefault="008911CF" w:rsidP="00B2088F">
            <w:pPr>
              <w:spacing w:before="60" w:after="60"/>
              <w:jc w:val="right"/>
              <w:rPr>
                <w:b/>
                <w:noProof/>
                <w:sz w:val="20"/>
              </w:rPr>
            </w:pPr>
            <w:r>
              <w:rPr>
                <w:b/>
                <w:noProof/>
                <w:sz w:val="20"/>
                <w:szCs w:val="20"/>
              </w:rPr>
              <w:t>13</w:t>
            </w:r>
          </w:p>
        </w:tc>
        <w:tc>
          <w:tcPr>
            <w:tcW w:w="1080" w:type="dxa"/>
            <w:tcBorders>
              <w:top w:val="single" w:sz="12" w:space="0" w:color="auto"/>
              <w:left w:val="single" w:sz="2" w:space="0" w:color="auto"/>
              <w:bottom w:val="single" w:sz="12" w:space="0" w:color="auto"/>
              <w:right w:val="single" w:sz="2" w:space="0" w:color="auto"/>
            </w:tcBorders>
            <w:vAlign w:val="center"/>
          </w:tcPr>
          <w:p w14:paraId="706BB077" w14:textId="388602EA" w:rsidR="008911CF" w:rsidRPr="006A0D14" w:rsidRDefault="008911CF" w:rsidP="006A0D14">
            <w:pPr>
              <w:spacing w:before="60" w:after="60"/>
              <w:jc w:val="right"/>
              <w:rPr>
                <w:b/>
                <w:bCs/>
                <w:noProof/>
                <w:sz w:val="20"/>
                <w:szCs w:val="20"/>
              </w:rPr>
            </w:pPr>
            <w:r w:rsidRPr="00805B56">
              <w:rPr>
                <w:b/>
                <w:bCs/>
                <w:noProof/>
                <w:sz w:val="20"/>
                <w:szCs w:val="20"/>
              </w:rPr>
              <w:t>18</w:t>
            </w:r>
          </w:p>
        </w:tc>
        <w:tc>
          <w:tcPr>
            <w:tcW w:w="1080" w:type="dxa"/>
            <w:tcBorders>
              <w:top w:val="single" w:sz="12" w:space="0" w:color="auto"/>
              <w:left w:val="single" w:sz="2" w:space="0" w:color="auto"/>
              <w:bottom w:val="single" w:sz="12" w:space="0" w:color="auto"/>
              <w:right w:val="single" w:sz="2" w:space="0" w:color="auto"/>
            </w:tcBorders>
            <w:vAlign w:val="center"/>
          </w:tcPr>
          <w:p w14:paraId="6E5DB4A5" w14:textId="082A99D6" w:rsidR="008911CF" w:rsidRPr="006A0D14" w:rsidRDefault="008911CF" w:rsidP="006A0D14">
            <w:pPr>
              <w:spacing w:before="60" w:after="60"/>
              <w:jc w:val="right"/>
              <w:rPr>
                <w:b/>
                <w:bCs/>
                <w:noProof/>
                <w:sz w:val="20"/>
                <w:szCs w:val="20"/>
              </w:rPr>
            </w:pPr>
            <w:r w:rsidRPr="00805B56">
              <w:rPr>
                <w:b/>
                <w:bCs/>
                <w:noProof/>
                <w:sz w:val="20"/>
                <w:szCs w:val="20"/>
              </w:rPr>
              <w:t>21</w:t>
            </w:r>
          </w:p>
        </w:tc>
        <w:tc>
          <w:tcPr>
            <w:tcW w:w="1080" w:type="dxa"/>
            <w:tcBorders>
              <w:top w:val="single" w:sz="12" w:space="0" w:color="auto"/>
              <w:left w:val="single" w:sz="2" w:space="0" w:color="auto"/>
              <w:bottom w:val="single" w:sz="12" w:space="0" w:color="auto"/>
              <w:right w:val="single" w:sz="2" w:space="0" w:color="auto"/>
            </w:tcBorders>
            <w:vAlign w:val="center"/>
          </w:tcPr>
          <w:p w14:paraId="1BE8220B" w14:textId="655C5D83" w:rsidR="008911CF" w:rsidRPr="006A0D14" w:rsidRDefault="008911CF" w:rsidP="006A0D14">
            <w:pPr>
              <w:spacing w:before="60" w:after="60"/>
              <w:jc w:val="right"/>
              <w:rPr>
                <w:b/>
                <w:bCs/>
                <w:noProof/>
                <w:sz w:val="20"/>
                <w:szCs w:val="20"/>
              </w:rPr>
            </w:pPr>
            <w:r w:rsidRPr="00805B56">
              <w:rPr>
                <w:b/>
                <w:bCs/>
                <w:noProof/>
                <w:sz w:val="20"/>
                <w:szCs w:val="20"/>
              </w:rPr>
              <w:t>25</w:t>
            </w:r>
          </w:p>
        </w:tc>
        <w:tc>
          <w:tcPr>
            <w:tcW w:w="3351" w:type="dxa"/>
            <w:tcBorders>
              <w:top w:val="single" w:sz="12" w:space="0" w:color="auto"/>
              <w:left w:val="single" w:sz="2" w:space="0" w:color="auto"/>
              <w:bottom w:val="single" w:sz="12" w:space="0" w:color="auto"/>
              <w:right w:val="single" w:sz="12" w:space="0" w:color="auto"/>
            </w:tcBorders>
            <w:vAlign w:val="center"/>
          </w:tcPr>
          <w:p w14:paraId="67886EC1" w14:textId="77777777" w:rsidR="008911CF" w:rsidRDefault="008911CF" w:rsidP="00B2088F">
            <w:pPr>
              <w:spacing w:before="60" w:after="60"/>
              <w:jc w:val="right"/>
              <w:rPr>
                <w:b/>
                <w:noProof/>
                <w:sz w:val="20"/>
              </w:rPr>
            </w:pPr>
            <w:r>
              <w:rPr>
                <w:b/>
                <w:noProof/>
                <w:sz w:val="20"/>
                <w:szCs w:val="20"/>
              </w:rPr>
              <w:t>25</w:t>
            </w:r>
          </w:p>
        </w:tc>
      </w:tr>
    </w:tbl>
    <w:p w14:paraId="46EF77C3" w14:textId="77777777" w:rsidR="00D42205" w:rsidRDefault="00D42205" w:rsidP="002F68FE">
      <w:pPr>
        <w:rPr>
          <w:noProof/>
          <w:szCs w:val="24"/>
          <w:u w:val="single"/>
        </w:rPr>
      </w:pPr>
      <w:r>
        <w:rPr>
          <w:noProof/>
          <w:szCs w:val="24"/>
        </w:rPr>
        <w:t xml:space="preserve">Recruitement dates are planned at mid-year. For each new year, 50% of the newly recruited staff costs have been estimated. No assumptions have been made for a potential increase of the salary indexation or the correction coefficient applicable to the Netherlands. </w:t>
      </w:r>
    </w:p>
    <w:p w14:paraId="6BD254DF" w14:textId="77777777" w:rsidR="002F68FE" w:rsidRPr="002F68FE" w:rsidRDefault="002F68FE" w:rsidP="002F68FE">
      <w:pPr>
        <w:rPr>
          <w:noProof/>
          <w:szCs w:val="24"/>
          <w:u w:val="single"/>
        </w:rPr>
      </w:pPr>
    </w:p>
    <w:p w14:paraId="7F0ED177" w14:textId="77777777" w:rsidR="00D42205" w:rsidRPr="00477B9A" w:rsidRDefault="00D42205" w:rsidP="00D42205">
      <w:pPr>
        <w:rPr>
          <w:noProof/>
          <w:u w:val="single"/>
        </w:rPr>
      </w:pPr>
      <w:r w:rsidRPr="00477B9A">
        <w:rPr>
          <w:noProof/>
          <w:u w:val="single"/>
        </w:rPr>
        <w:t xml:space="preserve">Details of staff increase: </w:t>
      </w:r>
    </w:p>
    <w:tbl>
      <w:tblPr>
        <w:tblStyle w:val="TableGrid"/>
        <w:tblW w:w="9209" w:type="dxa"/>
        <w:tblLook w:val="04A0" w:firstRow="1" w:lastRow="0" w:firstColumn="1" w:lastColumn="0" w:noHBand="0" w:noVBand="1"/>
      </w:tblPr>
      <w:tblGrid>
        <w:gridCol w:w="1556"/>
        <w:gridCol w:w="7653"/>
      </w:tblGrid>
      <w:tr w:rsidR="00D42205" w:rsidRPr="00956203" w14:paraId="79E732E6" w14:textId="77777777" w:rsidTr="160710AA">
        <w:tc>
          <w:tcPr>
            <w:tcW w:w="1556" w:type="dxa"/>
            <w:shd w:val="clear" w:color="auto" w:fill="BFBFBF" w:themeFill="background1" w:themeFillShade="BF"/>
          </w:tcPr>
          <w:p w14:paraId="7686B624" w14:textId="77777777" w:rsidR="00D42205" w:rsidRPr="00956203" w:rsidRDefault="00D42205" w:rsidP="00B2088F">
            <w:pPr>
              <w:spacing w:before="0" w:after="0"/>
              <w:jc w:val="left"/>
              <w:rPr>
                <w:noProof/>
                <w:szCs w:val="24"/>
              </w:rPr>
            </w:pPr>
            <w:r w:rsidRPr="00956203">
              <w:rPr>
                <w:noProof/>
                <w:szCs w:val="24"/>
              </w:rPr>
              <w:t>Specific objective</w:t>
            </w:r>
          </w:p>
        </w:tc>
        <w:tc>
          <w:tcPr>
            <w:tcW w:w="7653" w:type="dxa"/>
            <w:shd w:val="clear" w:color="auto" w:fill="BFBFBF" w:themeFill="background1" w:themeFillShade="BF"/>
          </w:tcPr>
          <w:p w14:paraId="29068348" w14:textId="77777777" w:rsidR="00D42205" w:rsidRPr="00956203" w:rsidRDefault="00D42205" w:rsidP="160710AA">
            <w:pPr>
              <w:spacing w:before="0" w:after="0"/>
              <w:jc w:val="left"/>
              <w:rPr>
                <w:noProof/>
                <w:szCs w:val="24"/>
              </w:rPr>
            </w:pPr>
            <w:r w:rsidRPr="00805B56">
              <w:rPr>
                <w:noProof/>
              </w:rPr>
              <w:t>Additional staff</w:t>
            </w:r>
          </w:p>
        </w:tc>
      </w:tr>
      <w:tr w:rsidR="00D42205" w:rsidRPr="00956203" w14:paraId="6E529934" w14:textId="77777777" w:rsidTr="006A0D14">
        <w:tc>
          <w:tcPr>
            <w:tcW w:w="1556" w:type="dxa"/>
            <w:vMerge w:val="restart"/>
          </w:tcPr>
          <w:p w14:paraId="3598A847" w14:textId="77777777" w:rsidR="00D42205" w:rsidRPr="00956203" w:rsidRDefault="00D42205" w:rsidP="00B2088F">
            <w:pPr>
              <w:spacing w:before="0" w:after="0"/>
              <w:jc w:val="left"/>
              <w:rPr>
                <w:noProof/>
                <w:szCs w:val="24"/>
              </w:rPr>
            </w:pPr>
            <w:r w:rsidRPr="00956203">
              <w:rPr>
                <w:noProof/>
                <w:szCs w:val="24"/>
              </w:rPr>
              <w:t>Specific objective no1:  To enable Eurojust to identify links more efficiently and to provide proactive feedback to the Member States.</w:t>
            </w:r>
          </w:p>
        </w:tc>
        <w:tc>
          <w:tcPr>
            <w:tcW w:w="7653" w:type="dxa"/>
            <w:tcBorders>
              <w:top w:val="single" w:sz="4" w:space="0" w:color="auto"/>
              <w:left w:val="single" w:sz="4" w:space="0" w:color="auto"/>
              <w:bottom w:val="single" w:sz="4" w:space="0" w:color="auto"/>
              <w:right w:val="single" w:sz="4" w:space="0" w:color="auto"/>
            </w:tcBorders>
          </w:tcPr>
          <w:p w14:paraId="3C7C760C" w14:textId="77777777" w:rsidR="00D42205" w:rsidRDefault="00D42205" w:rsidP="160710AA">
            <w:pPr>
              <w:spacing w:before="0" w:after="0"/>
              <w:rPr>
                <w:noProof/>
                <w:szCs w:val="24"/>
              </w:rPr>
            </w:pPr>
            <w:r w:rsidRPr="00805B56">
              <w:rPr>
                <w:noProof/>
              </w:rPr>
              <w:t>2* Case Data Analysts are needed to ensure CMS compliance with the Eurojust Regulation and agreements (with Member states, 3rd Countries, Agencies) and the EU existing legal framework on information exchange, digitalisation and interoperability</w:t>
            </w:r>
          </w:p>
          <w:p w14:paraId="0DC9846D" w14:textId="77777777" w:rsidR="00D42205" w:rsidRDefault="00D42205" w:rsidP="00B2088F">
            <w:pPr>
              <w:spacing w:before="0" w:after="0"/>
              <w:rPr>
                <w:noProof/>
                <w:szCs w:val="24"/>
              </w:rPr>
            </w:pPr>
          </w:p>
          <w:p w14:paraId="06EA09D1"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5B873D96" w14:textId="77777777" w:rsidR="00D42205" w:rsidRPr="00956203" w:rsidRDefault="00D42205" w:rsidP="160710AA">
            <w:pPr>
              <w:spacing w:before="0" w:after="0"/>
              <w:rPr>
                <w:noProof/>
                <w:szCs w:val="24"/>
              </w:rPr>
            </w:pPr>
            <w:r w:rsidRPr="160710AA">
              <w:rPr>
                <w:i/>
                <w:iCs/>
                <w:noProof/>
              </w:rPr>
              <w:t>2024: +1; 2025: +1</w:t>
            </w:r>
          </w:p>
        </w:tc>
      </w:tr>
      <w:tr w:rsidR="00D42205" w:rsidRPr="00956203" w14:paraId="4D1654F5" w14:textId="77777777" w:rsidTr="006A0D14">
        <w:tc>
          <w:tcPr>
            <w:tcW w:w="1556" w:type="dxa"/>
            <w:vMerge/>
          </w:tcPr>
          <w:p w14:paraId="71CC4770"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4DD9517" w14:textId="77777777" w:rsidR="00D42205" w:rsidRDefault="00D42205" w:rsidP="160710AA">
            <w:pPr>
              <w:spacing w:before="0" w:after="0"/>
              <w:rPr>
                <w:noProof/>
                <w:szCs w:val="24"/>
              </w:rPr>
            </w:pPr>
            <w:r w:rsidRPr="00805B56">
              <w:rPr>
                <w:noProof/>
              </w:rPr>
              <w:t xml:space="preserve">2* Data Management Officers are needed to participate in the evaluation and selection of the CMS, to assist in the business transformation, requirements analysis and design phases, implementation and acceptance of the new CMS and the integration with other systems (e.g. Hit/No-Hit), projects (e.g. e-CODEX, e-EDES) and the Interoperability Framework projects (SIS II, etc.) </w:t>
            </w:r>
            <w:r>
              <w:rPr>
                <w:noProof/>
              </w:rPr>
              <w:t>and to assure the correct policies and procedures are put in place to govern data created with the implementation of new systems</w:t>
            </w:r>
          </w:p>
          <w:p w14:paraId="03AD6182" w14:textId="77777777" w:rsidR="00D42205" w:rsidRDefault="00D42205" w:rsidP="00B2088F">
            <w:pPr>
              <w:spacing w:before="0" w:after="0"/>
              <w:rPr>
                <w:noProof/>
                <w:szCs w:val="24"/>
              </w:rPr>
            </w:pPr>
          </w:p>
          <w:p w14:paraId="2D827D03"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0202AC31" w14:textId="77777777" w:rsidR="00D42205" w:rsidRPr="006A0D14" w:rsidRDefault="00D42205" w:rsidP="006A0D14">
            <w:pPr>
              <w:spacing w:before="0" w:after="0"/>
              <w:rPr>
                <w:i/>
                <w:iCs/>
                <w:noProof/>
              </w:rPr>
            </w:pPr>
            <w:r w:rsidRPr="160710AA">
              <w:rPr>
                <w:i/>
                <w:iCs/>
                <w:noProof/>
              </w:rPr>
              <w:t>2024: +1; 2025: +1</w:t>
            </w:r>
          </w:p>
          <w:p w14:paraId="3B948DF2" w14:textId="77777777" w:rsidR="002F68FE" w:rsidRPr="00956203" w:rsidRDefault="002F68FE" w:rsidP="00B2088F">
            <w:pPr>
              <w:spacing w:before="0" w:after="0"/>
              <w:rPr>
                <w:noProof/>
                <w:szCs w:val="24"/>
              </w:rPr>
            </w:pPr>
          </w:p>
        </w:tc>
      </w:tr>
      <w:tr w:rsidR="00D42205" w:rsidRPr="00956203" w14:paraId="007389AB" w14:textId="77777777" w:rsidTr="006A0D14">
        <w:tc>
          <w:tcPr>
            <w:tcW w:w="1556" w:type="dxa"/>
            <w:vMerge/>
          </w:tcPr>
          <w:p w14:paraId="6CC615E4"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642B255"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2*Case Support Assistants are needed to manage the significant increase of data volume expected, to perform operational data processing in the CMS (including translations), to manage overview of the life cycle of open cases and to produce ad hoc and regular reports (monthly, annual) and statistics</w:t>
            </w:r>
          </w:p>
          <w:p w14:paraId="47C02CF0" w14:textId="77777777" w:rsidR="00D42205" w:rsidRDefault="00D42205" w:rsidP="00B2088F">
            <w:pPr>
              <w:autoSpaceDE w:val="0"/>
              <w:autoSpaceDN w:val="0"/>
              <w:adjustRightInd w:val="0"/>
              <w:spacing w:before="0" w:after="0"/>
              <w:rPr>
                <w:noProof/>
                <w:color w:val="000000"/>
                <w:szCs w:val="24"/>
              </w:rPr>
            </w:pPr>
          </w:p>
          <w:p w14:paraId="3288C6A9" w14:textId="77777777" w:rsidR="00D42205" w:rsidRPr="006A0D14" w:rsidRDefault="00D42205" w:rsidP="006A0D14">
            <w:pPr>
              <w:autoSpaceDE w:val="0"/>
              <w:autoSpaceDN w:val="0"/>
              <w:adjustRightInd w:val="0"/>
              <w:spacing w:before="0" w:after="0"/>
              <w:rPr>
                <w:i/>
                <w:iCs/>
                <w:noProof/>
                <w:color w:val="000000" w:themeColor="text1"/>
              </w:rPr>
            </w:pPr>
            <w:r w:rsidRPr="160710AA">
              <w:rPr>
                <w:i/>
                <w:iCs/>
                <w:noProof/>
                <w:color w:val="000000"/>
              </w:rPr>
              <w:t xml:space="preserve">Estimated FTEs needed – additional FTE to be hired per year (not-cumulative): </w:t>
            </w:r>
          </w:p>
          <w:p w14:paraId="443A0235" w14:textId="237C6254" w:rsidR="00D42205" w:rsidRPr="00956203" w:rsidRDefault="00D42205" w:rsidP="160710AA">
            <w:pPr>
              <w:spacing w:before="0" w:after="0"/>
              <w:rPr>
                <w:noProof/>
                <w:szCs w:val="24"/>
              </w:rPr>
            </w:pPr>
            <w:r w:rsidRPr="160710AA">
              <w:rPr>
                <w:i/>
                <w:iCs/>
                <w:noProof/>
              </w:rPr>
              <w:t>2026: +1; 202</w:t>
            </w:r>
            <w:r w:rsidR="00381044" w:rsidRPr="160710AA">
              <w:rPr>
                <w:i/>
                <w:iCs/>
                <w:noProof/>
              </w:rPr>
              <w:t>7</w:t>
            </w:r>
            <w:r w:rsidRPr="160710AA">
              <w:rPr>
                <w:i/>
                <w:iCs/>
                <w:noProof/>
              </w:rPr>
              <w:t>: +1</w:t>
            </w:r>
          </w:p>
        </w:tc>
      </w:tr>
      <w:tr w:rsidR="00D42205" w:rsidRPr="00956203" w14:paraId="4CFD2361" w14:textId="77777777" w:rsidTr="006A0D14">
        <w:tc>
          <w:tcPr>
            <w:tcW w:w="1556" w:type="dxa"/>
            <w:vMerge/>
          </w:tcPr>
          <w:p w14:paraId="6B751380"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57A000E" w14:textId="77777777" w:rsidR="00D42205" w:rsidRDefault="00D42205" w:rsidP="160710AA">
            <w:pPr>
              <w:spacing w:before="0" w:after="0"/>
              <w:rPr>
                <w:noProof/>
                <w:szCs w:val="24"/>
              </w:rPr>
            </w:pPr>
            <w:r w:rsidRPr="00805B56">
              <w:rPr>
                <w:noProof/>
              </w:rPr>
              <w:t>1*Data Management Officer is needed to perform data quality review processes aiming to ensure Eurojust data is high quality, current, complete, unambiguously understood, consistent and available when required</w:t>
            </w:r>
          </w:p>
          <w:p w14:paraId="3460BCFA" w14:textId="77777777" w:rsidR="00D42205" w:rsidRDefault="00D42205" w:rsidP="00B2088F">
            <w:pPr>
              <w:spacing w:before="0" w:after="0"/>
              <w:rPr>
                <w:noProof/>
                <w:szCs w:val="24"/>
              </w:rPr>
            </w:pPr>
          </w:p>
          <w:p w14:paraId="7E3E9CE1"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431570AE" w14:textId="77777777" w:rsidR="00D42205" w:rsidRDefault="00D42205" w:rsidP="00B2088F">
            <w:pPr>
              <w:spacing w:before="0" w:after="0"/>
              <w:rPr>
                <w:i/>
                <w:noProof/>
                <w:szCs w:val="24"/>
              </w:rPr>
            </w:pPr>
            <w:r>
              <w:rPr>
                <w:i/>
                <w:noProof/>
                <w:szCs w:val="24"/>
              </w:rPr>
              <w:t>2026: +1</w:t>
            </w:r>
          </w:p>
          <w:p w14:paraId="28909050" w14:textId="77777777" w:rsidR="002F68FE" w:rsidRPr="00956203" w:rsidRDefault="002F68FE" w:rsidP="00B2088F">
            <w:pPr>
              <w:spacing w:before="0" w:after="0"/>
              <w:rPr>
                <w:i/>
                <w:noProof/>
                <w:szCs w:val="24"/>
              </w:rPr>
            </w:pPr>
          </w:p>
        </w:tc>
      </w:tr>
      <w:tr w:rsidR="00D42205" w:rsidRPr="00956203" w14:paraId="7FA1A76F" w14:textId="77777777" w:rsidTr="006A0D14">
        <w:tc>
          <w:tcPr>
            <w:tcW w:w="1556" w:type="dxa"/>
            <w:vMerge/>
          </w:tcPr>
          <w:p w14:paraId="264323AC"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78BC3261" w14:textId="77777777" w:rsidR="00D42205" w:rsidRDefault="00D42205" w:rsidP="00B2088F">
            <w:pPr>
              <w:spacing w:before="0" w:after="0"/>
              <w:rPr>
                <w:noProof/>
                <w:szCs w:val="24"/>
              </w:rPr>
            </w:pPr>
            <w:r>
              <w:rPr>
                <w:noProof/>
                <w:szCs w:val="24"/>
              </w:rPr>
              <w:t>1*Case Data Analyst is needed due to the expected increase of notifications sent to Eurojust to identify links among ongoing judicial proceedings based on the analysis of the information Eurojust receives from Europol, OLAF, the EPPO and national authorities and to analyse large set of data for judicial coordination purposes</w:t>
            </w:r>
          </w:p>
          <w:p w14:paraId="66E5BC94" w14:textId="77777777" w:rsidR="00D42205" w:rsidRDefault="00D42205" w:rsidP="00B2088F">
            <w:pPr>
              <w:autoSpaceDE w:val="0"/>
              <w:autoSpaceDN w:val="0"/>
              <w:adjustRightInd w:val="0"/>
              <w:spacing w:before="0" w:after="0"/>
              <w:rPr>
                <w:i/>
                <w:noProof/>
                <w:color w:val="000000"/>
                <w:szCs w:val="24"/>
              </w:rPr>
            </w:pPr>
          </w:p>
          <w:p w14:paraId="16807806" w14:textId="77777777" w:rsidR="00D42205" w:rsidRPr="006A0D14" w:rsidRDefault="00D42205" w:rsidP="006A0D14">
            <w:pPr>
              <w:autoSpaceDE w:val="0"/>
              <w:autoSpaceDN w:val="0"/>
              <w:adjustRightInd w:val="0"/>
              <w:spacing w:before="0" w:after="0"/>
              <w:rPr>
                <w:i/>
                <w:iCs/>
                <w:noProof/>
                <w:color w:val="000000" w:themeColor="text1"/>
              </w:rPr>
            </w:pPr>
            <w:r w:rsidRPr="160710AA">
              <w:rPr>
                <w:i/>
                <w:iCs/>
                <w:noProof/>
                <w:color w:val="000000"/>
              </w:rPr>
              <w:t xml:space="preserve">Estimated FTEs needed – additional FTE to be hired per year (not-cumulative): </w:t>
            </w:r>
          </w:p>
          <w:p w14:paraId="59893420" w14:textId="77777777" w:rsidR="00D42205" w:rsidRPr="00956203" w:rsidRDefault="00D42205" w:rsidP="00B2088F">
            <w:pPr>
              <w:spacing w:before="0" w:after="0"/>
              <w:rPr>
                <w:i/>
                <w:noProof/>
                <w:szCs w:val="24"/>
              </w:rPr>
            </w:pPr>
            <w:r>
              <w:rPr>
                <w:i/>
                <w:noProof/>
                <w:szCs w:val="24"/>
              </w:rPr>
              <w:t>2026: +1</w:t>
            </w:r>
          </w:p>
        </w:tc>
      </w:tr>
      <w:tr w:rsidR="00D42205" w:rsidRPr="00956203" w14:paraId="7221ECC6" w14:textId="77777777" w:rsidTr="006A0D14">
        <w:tc>
          <w:tcPr>
            <w:tcW w:w="1556" w:type="dxa"/>
            <w:vMerge/>
          </w:tcPr>
          <w:p w14:paraId="77A1382B"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7EF4CAB8" w14:textId="77777777" w:rsidR="00D42205" w:rsidRDefault="00D42205" w:rsidP="160710AA">
            <w:pPr>
              <w:spacing w:before="0" w:after="0"/>
              <w:rPr>
                <w:noProof/>
                <w:szCs w:val="24"/>
              </w:rPr>
            </w:pPr>
            <w:r w:rsidRPr="00805B56">
              <w:rPr>
                <w:noProof/>
              </w:rPr>
              <w:t>1*Case Data Analyst is needed to draft (joint) requests addressed to Member States based on the analysis of information exchanged covering all the operational functions listed in article 4(2) of the Eurojust, to detect recurring issues in the use of judicial cooperation tools, to draft suggestions to extend cases to other Member States and opinions on recurrent refusals or difficulties in judicial cooperation and on best place to prosecute</w:t>
            </w:r>
          </w:p>
          <w:p w14:paraId="1011F3DA"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1BC4A12E" w14:textId="77777777" w:rsidR="00D42205" w:rsidRPr="006A0D14" w:rsidRDefault="00D42205" w:rsidP="006A0D14">
            <w:pPr>
              <w:spacing w:before="0" w:after="0"/>
              <w:rPr>
                <w:i/>
                <w:iCs/>
                <w:noProof/>
              </w:rPr>
            </w:pPr>
            <w:r w:rsidRPr="160710AA">
              <w:rPr>
                <w:i/>
                <w:iCs/>
                <w:noProof/>
              </w:rPr>
              <w:t>2027: +1</w:t>
            </w:r>
          </w:p>
          <w:p w14:paraId="616810EA" w14:textId="77777777" w:rsidR="00D42205" w:rsidRDefault="00D42205" w:rsidP="00B2088F">
            <w:pPr>
              <w:spacing w:before="0" w:after="0"/>
              <w:rPr>
                <w:i/>
                <w:noProof/>
                <w:szCs w:val="24"/>
              </w:rPr>
            </w:pPr>
          </w:p>
          <w:p w14:paraId="705DCB7A" w14:textId="77777777" w:rsidR="00D42205" w:rsidRDefault="00D42205" w:rsidP="160710AA">
            <w:pPr>
              <w:spacing w:before="0" w:after="0"/>
              <w:rPr>
                <w:noProof/>
                <w:szCs w:val="24"/>
              </w:rPr>
            </w:pPr>
            <w:r w:rsidRPr="00805B56">
              <w:rPr>
                <w:noProof/>
              </w:rPr>
              <w:t xml:space="preserve">1*Programme Manager and 1*Project Manager are needed to establish the governance and management of the programme (including communication and risk management, monitoring and progress reporting to the programme board and stakeholders) from set up until closure and </w:t>
            </w:r>
            <w:r>
              <w:rPr>
                <w:noProof/>
              </w:rPr>
              <w:t>to support preventive and evaluative  maintenance of the new system</w:t>
            </w:r>
          </w:p>
          <w:p w14:paraId="59540BCB" w14:textId="77777777" w:rsidR="00D42205" w:rsidRDefault="00D42205" w:rsidP="00B2088F">
            <w:pPr>
              <w:spacing w:before="0" w:after="0"/>
              <w:rPr>
                <w:i/>
                <w:noProof/>
                <w:szCs w:val="24"/>
              </w:rPr>
            </w:pPr>
          </w:p>
          <w:p w14:paraId="085549FC"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4B03F6DA" w14:textId="77777777" w:rsidR="00D42205" w:rsidRPr="006A0D14" w:rsidRDefault="00D42205" w:rsidP="006A0D14">
            <w:pPr>
              <w:spacing w:before="0" w:after="0"/>
              <w:rPr>
                <w:i/>
                <w:iCs/>
                <w:noProof/>
              </w:rPr>
            </w:pPr>
            <w:r w:rsidRPr="160710AA">
              <w:rPr>
                <w:i/>
                <w:iCs/>
                <w:noProof/>
              </w:rPr>
              <w:t>2024: +2</w:t>
            </w:r>
          </w:p>
        </w:tc>
      </w:tr>
      <w:tr w:rsidR="00D42205" w:rsidRPr="00956203" w14:paraId="79D01833" w14:textId="77777777" w:rsidTr="006A0D14">
        <w:tc>
          <w:tcPr>
            <w:tcW w:w="1556" w:type="dxa"/>
            <w:vMerge/>
          </w:tcPr>
          <w:p w14:paraId="1A855122"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78639BB" w14:textId="77777777" w:rsidR="00D42205" w:rsidRDefault="00D42205" w:rsidP="160710AA">
            <w:pPr>
              <w:spacing w:before="0" w:after="0"/>
              <w:rPr>
                <w:noProof/>
                <w:szCs w:val="24"/>
              </w:rPr>
            </w:pPr>
            <w:r w:rsidRPr="00805B56">
              <w:rPr>
                <w:noProof/>
              </w:rPr>
              <w:t>1*IT Architect is needed to define the high level architecture, design and set up the infrastructure for the implementation of the new CMS and to maintain the technical architecture, connections and systems supporting the new CMS</w:t>
            </w:r>
          </w:p>
          <w:p w14:paraId="43616D23" w14:textId="77777777" w:rsidR="00D42205" w:rsidRDefault="00D42205" w:rsidP="00B2088F">
            <w:pPr>
              <w:spacing w:before="0" w:after="0"/>
              <w:rPr>
                <w:i/>
                <w:noProof/>
                <w:szCs w:val="24"/>
              </w:rPr>
            </w:pPr>
          </w:p>
          <w:p w14:paraId="0BA4A605"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4681BA2D" w14:textId="77777777" w:rsidR="00D42205" w:rsidRPr="006A0D14" w:rsidRDefault="00D42205" w:rsidP="006A0D14">
            <w:pPr>
              <w:spacing w:before="0" w:after="0"/>
              <w:rPr>
                <w:i/>
                <w:iCs/>
                <w:noProof/>
              </w:rPr>
            </w:pPr>
            <w:r w:rsidRPr="160710AA">
              <w:rPr>
                <w:i/>
                <w:iCs/>
                <w:noProof/>
              </w:rPr>
              <w:t xml:space="preserve">2024: +1 </w:t>
            </w:r>
          </w:p>
        </w:tc>
      </w:tr>
      <w:tr w:rsidR="00D42205" w:rsidRPr="00956203" w14:paraId="082BB09B" w14:textId="77777777" w:rsidTr="006A0D14">
        <w:tc>
          <w:tcPr>
            <w:tcW w:w="1556" w:type="dxa"/>
            <w:vMerge/>
          </w:tcPr>
          <w:p w14:paraId="3F3D6426"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3137D6F4"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 xml:space="preserve">1*Business Analyst is needed to perform the requirements analysis, including proof of concept per technical solution </w:t>
            </w:r>
            <w:r w:rsidRPr="00805B56">
              <w:rPr>
                <w:noProof/>
              </w:rPr>
              <w:t xml:space="preserve">and </w:t>
            </w:r>
            <w:r>
              <w:rPr>
                <w:noProof/>
              </w:rPr>
              <w:t>to support preventive and evaluative  maintenance of the new system</w:t>
            </w:r>
            <w:r w:rsidRPr="00805B56">
              <w:rPr>
                <w:noProof/>
                <w:color w:val="000000"/>
              </w:rPr>
              <w:t xml:space="preserve"> </w:t>
            </w:r>
          </w:p>
          <w:p w14:paraId="463E1D9D" w14:textId="77777777" w:rsidR="00D42205" w:rsidRDefault="00D42205" w:rsidP="00B2088F">
            <w:pPr>
              <w:autoSpaceDE w:val="0"/>
              <w:autoSpaceDN w:val="0"/>
              <w:adjustRightInd w:val="0"/>
              <w:spacing w:before="0" w:after="0"/>
              <w:rPr>
                <w:noProof/>
                <w:color w:val="000000"/>
                <w:szCs w:val="24"/>
              </w:rPr>
            </w:pPr>
          </w:p>
          <w:p w14:paraId="5802FB1B"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05682A4E" w14:textId="77777777" w:rsidR="00D42205" w:rsidRPr="006A0D14" w:rsidRDefault="00D42205" w:rsidP="006A0D14">
            <w:pPr>
              <w:spacing w:before="0" w:after="0"/>
              <w:rPr>
                <w:i/>
                <w:iCs/>
                <w:noProof/>
              </w:rPr>
            </w:pPr>
            <w:r w:rsidRPr="160710AA">
              <w:rPr>
                <w:i/>
                <w:iCs/>
                <w:noProof/>
              </w:rPr>
              <w:t>2024: +1</w:t>
            </w:r>
          </w:p>
        </w:tc>
      </w:tr>
      <w:tr w:rsidR="00D42205" w:rsidRPr="00956203" w14:paraId="0F8B4FCE" w14:textId="77777777" w:rsidTr="006A0D14">
        <w:tc>
          <w:tcPr>
            <w:tcW w:w="1556" w:type="dxa"/>
            <w:vMerge/>
          </w:tcPr>
          <w:p w14:paraId="0F22DB9D"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74FDD71"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1*ICT Security Officer is needed to ensure secure design, implementation and operation of the CMS and secure exchange of data with external systems</w:t>
            </w:r>
          </w:p>
          <w:p w14:paraId="5DEF15DC" w14:textId="77777777" w:rsidR="00D42205" w:rsidRDefault="00D42205" w:rsidP="00B2088F">
            <w:pPr>
              <w:autoSpaceDE w:val="0"/>
              <w:autoSpaceDN w:val="0"/>
              <w:adjustRightInd w:val="0"/>
              <w:spacing w:before="0" w:after="0"/>
              <w:rPr>
                <w:noProof/>
                <w:color w:val="000000"/>
                <w:szCs w:val="24"/>
              </w:rPr>
            </w:pPr>
          </w:p>
          <w:p w14:paraId="382682A6"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386ED918" w14:textId="77777777" w:rsidR="00D42205" w:rsidRDefault="00D42205" w:rsidP="160710AA">
            <w:pPr>
              <w:spacing w:before="0" w:after="0"/>
              <w:rPr>
                <w:noProof/>
                <w:szCs w:val="24"/>
              </w:rPr>
            </w:pPr>
            <w:r w:rsidRPr="160710AA">
              <w:rPr>
                <w:i/>
                <w:iCs/>
                <w:noProof/>
              </w:rPr>
              <w:t>2024: +1</w:t>
            </w:r>
          </w:p>
        </w:tc>
      </w:tr>
      <w:tr w:rsidR="00D42205" w:rsidRPr="00956203" w14:paraId="5059804B" w14:textId="77777777" w:rsidTr="006A0D14">
        <w:tc>
          <w:tcPr>
            <w:tcW w:w="1556" w:type="dxa"/>
            <w:vMerge/>
          </w:tcPr>
          <w:p w14:paraId="6E813C65"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6EF6CF1F"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1*Data Protection Specialist is needed to ensure data protection by design and that data protection rules are applied to operational data</w:t>
            </w:r>
          </w:p>
          <w:p w14:paraId="0D74CFC7" w14:textId="77777777" w:rsidR="00D42205" w:rsidRDefault="00D42205" w:rsidP="00B2088F">
            <w:pPr>
              <w:autoSpaceDE w:val="0"/>
              <w:autoSpaceDN w:val="0"/>
              <w:adjustRightInd w:val="0"/>
              <w:spacing w:before="0" w:after="0"/>
              <w:rPr>
                <w:noProof/>
                <w:color w:val="000000"/>
                <w:szCs w:val="24"/>
              </w:rPr>
            </w:pPr>
          </w:p>
          <w:p w14:paraId="5553ADFA"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064641DD" w14:textId="77777777" w:rsidR="00D42205" w:rsidRDefault="00D42205" w:rsidP="160710AA">
            <w:pPr>
              <w:spacing w:before="0" w:after="0"/>
              <w:rPr>
                <w:noProof/>
                <w:szCs w:val="24"/>
              </w:rPr>
            </w:pPr>
            <w:r w:rsidRPr="160710AA">
              <w:rPr>
                <w:i/>
                <w:iCs/>
                <w:noProof/>
              </w:rPr>
              <w:t>2024: +1</w:t>
            </w:r>
          </w:p>
        </w:tc>
      </w:tr>
      <w:tr w:rsidR="00D42205" w:rsidRPr="00956203" w14:paraId="1ED3ED6F" w14:textId="77777777" w:rsidTr="006A0D14">
        <w:tc>
          <w:tcPr>
            <w:tcW w:w="1556" w:type="dxa"/>
            <w:vMerge/>
          </w:tcPr>
          <w:p w14:paraId="149BA241"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31AC4565"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3*ICT Operations Officers are needed for application and IT policy management, for the business transformation of Eurojust processes, to prepare manuals (including delivering training to users) and to administer the Eurojust networks, databases, systems, virtualisation platforms and applications</w:t>
            </w:r>
          </w:p>
          <w:p w14:paraId="38EF0CDB" w14:textId="77777777" w:rsidR="00D42205" w:rsidRDefault="00D42205" w:rsidP="00B2088F">
            <w:pPr>
              <w:autoSpaceDE w:val="0"/>
              <w:autoSpaceDN w:val="0"/>
              <w:adjustRightInd w:val="0"/>
              <w:spacing w:before="0" w:after="0"/>
              <w:rPr>
                <w:noProof/>
                <w:color w:val="000000"/>
                <w:szCs w:val="24"/>
              </w:rPr>
            </w:pPr>
          </w:p>
          <w:p w14:paraId="45CD0D3E"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6681DBA3" w14:textId="77777777" w:rsidR="00D42205" w:rsidRDefault="00D42205" w:rsidP="160710AA">
            <w:pPr>
              <w:spacing w:before="0" w:after="0"/>
              <w:rPr>
                <w:noProof/>
                <w:szCs w:val="24"/>
              </w:rPr>
            </w:pPr>
            <w:r w:rsidRPr="160710AA">
              <w:rPr>
                <w:i/>
                <w:iCs/>
                <w:noProof/>
              </w:rPr>
              <w:t>2024: +1; 2025: +2</w:t>
            </w:r>
          </w:p>
        </w:tc>
      </w:tr>
      <w:tr w:rsidR="00D42205" w:rsidRPr="00956203" w14:paraId="2AFE7FCE" w14:textId="77777777" w:rsidTr="006A0D14">
        <w:tc>
          <w:tcPr>
            <w:tcW w:w="1556" w:type="dxa"/>
            <w:vMerge/>
          </w:tcPr>
          <w:p w14:paraId="43488069" w14:textId="77777777" w:rsidR="00D42205" w:rsidRPr="00956203"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F7301C1"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2*Administrative staff are needed to prepare job descriptions, carry out selections and manage the on-boarding, training needs and entitlements of new staff and to manage the tender procedures and ensure budget execution, control and reporting on funds received</w:t>
            </w:r>
          </w:p>
          <w:p w14:paraId="0A171924" w14:textId="77777777" w:rsidR="00D42205" w:rsidRDefault="00D42205" w:rsidP="00B2088F">
            <w:pPr>
              <w:autoSpaceDE w:val="0"/>
              <w:autoSpaceDN w:val="0"/>
              <w:adjustRightInd w:val="0"/>
              <w:spacing w:before="0" w:after="0"/>
              <w:rPr>
                <w:noProof/>
                <w:color w:val="000000"/>
                <w:szCs w:val="24"/>
              </w:rPr>
            </w:pPr>
          </w:p>
          <w:p w14:paraId="332C2D41" w14:textId="77777777" w:rsidR="00D42205" w:rsidRPr="006A0D14" w:rsidRDefault="00D42205" w:rsidP="006A0D14">
            <w:pPr>
              <w:autoSpaceDE w:val="0"/>
              <w:autoSpaceDN w:val="0"/>
              <w:adjustRightInd w:val="0"/>
              <w:spacing w:before="0" w:after="0"/>
              <w:rPr>
                <w:i/>
                <w:iCs/>
                <w:noProof/>
                <w:color w:val="000000" w:themeColor="text1"/>
              </w:rPr>
            </w:pPr>
            <w:r w:rsidRPr="160710AA">
              <w:rPr>
                <w:i/>
                <w:iCs/>
                <w:noProof/>
                <w:color w:val="000000"/>
              </w:rPr>
              <w:t xml:space="preserve">Estimated FTEs needed – additional FTE to be hired per year (not-cumulative): </w:t>
            </w:r>
          </w:p>
          <w:p w14:paraId="40D0F2C6" w14:textId="77777777" w:rsidR="00D42205" w:rsidRDefault="00D42205" w:rsidP="160710AA">
            <w:pPr>
              <w:spacing w:before="0" w:after="0"/>
              <w:rPr>
                <w:noProof/>
                <w:szCs w:val="24"/>
              </w:rPr>
            </w:pPr>
            <w:r w:rsidRPr="160710AA">
              <w:rPr>
                <w:i/>
                <w:iCs/>
                <w:noProof/>
                <w:color w:val="000000"/>
              </w:rPr>
              <w:t>2024: +2</w:t>
            </w:r>
          </w:p>
        </w:tc>
      </w:tr>
      <w:tr w:rsidR="00D42205" w:rsidRPr="00956203" w14:paraId="7242ECE2" w14:textId="77777777" w:rsidTr="006A0D14">
        <w:tc>
          <w:tcPr>
            <w:tcW w:w="1556" w:type="dxa"/>
            <w:vMerge w:val="restart"/>
          </w:tcPr>
          <w:p w14:paraId="0079CE91" w14:textId="77777777" w:rsidR="00D42205" w:rsidRPr="00956203" w:rsidRDefault="00D42205" w:rsidP="00B2088F">
            <w:pPr>
              <w:spacing w:before="0" w:after="0"/>
              <w:jc w:val="left"/>
              <w:rPr>
                <w:noProof/>
                <w:szCs w:val="24"/>
              </w:rPr>
            </w:pPr>
            <w:r w:rsidRPr="00956203">
              <w:rPr>
                <w:noProof/>
                <w:szCs w:val="24"/>
              </w:rPr>
              <w:t>Specific objective no2: To render the data exchange between Member States, Eurojust and 3rd countries more efficient and secure.</w:t>
            </w:r>
          </w:p>
        </w:tc>
        <w:tc>
          <w:tcPr>
            <w:tcW w:w="7653" w:type="dxa"/>
          </w:tcPr>
          <w:p w14:paraId="5BF64426" w14:textId="77777777" w:rsidR="00D42205" w:rsidRPr="007F6E3B" w:rsidRDefault="00D42205" w:rsidP="160710AA">
            <w:pPr>
              <w:spacing w:before="0" w:after="0"/>
              <w:rPr>
                <w:noProof/>
                <w:szCs w:val="24"/>
              </w:rPr>
            </w:pPr>
            <w:r w:rsidRPr="00805B56">
              <w:rPr>
                <w:noProof/>
              </w:rPr>
              <w:t xml:space="preserve"> 1*Case Support Assistant is needed to manage the significant increase of data volume expected, to perform operational data processing in the CMS (including translations), to manage overview of the life cycle of open cases and to produce ad hoc and regular reports (monthly, annual) and statistics</w:t>
            </w:r>
          </w:p>
          <w:p w14:paraId="11A15DD8" w14:textId="77777777" w:rsidR="00D42205" w:rsidRPr="007F6E3B" w:rsidRDefault="00D42205" w:rsidP="00B2088F">
            <w:pPr>
              <w:spacing w:before="0" w:after="0"/>
              <w:rPr>
                <w:noProof/>
                <w:szCs w:val="24"/>
              </w:rPr>
            </w:pPr>
          </w:p>
          <w:p w14:paraId="7699E5F5"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0917D494" w14:textId="77777777" w:rsidR="00D42205" w:rsidRPr="00956203" w:rsidRDefault="00D42205" w:rsidP="160710AA">
            <w:pPr>
              <w:spacing w:before="0" w:after="0"/>
              <w:rPr>
                <w:noProof/>
                <w:szCs w:val="24"/>
              </w:rPr>
            </w:pPr>
            <w:r w:rsidRPr="160710AA">
              <w:rPr>
                <w:i/>
                <w:iCs/>
                <w:noProof/>
              </w:rPr>
              <w:t>2027: +1;</w:t>
            </w:r>
          </w:p>
        </w:tc>
      </w:tr>
      <w:tr w:rsidR="00D42205" w:rsidRPr="00956203" w14:paraId="3A1B3AED" w14:textId="77777777" w:rsidTr="160710AA">
        <w:tc>
          <w:tcPr>
            <w:tcW w:w="1556" w:type="dxa"/>
            <w:vMerge/>
          </w:tcPr>
          <w:p w14:paraId="0C868002" w14:textId="77777777" w:rsidR="00D42205" w:rsidRPr="00956203" w:rsidRDefault="00D42205" w:rsidP="00B2088F">
            <w:pPr>
              <w:spacing w:before="0" w:after="0"/>
              <w:jc w:val="left"/>
              <w:rPr>
                <w:noProof/>
                <w:szCs w:val="24"/>
              </w:rPr>
            </w:pPr>
          </w:p>
        </w:tc>
        <w:tc>
          <w:tcPr>
            <w:tcW w:w="7653" w:type="dxa"/>
          </w:tcPr>
          <w:p w14:paraId="1EE98167" w14:textId="77777777" w:rsidR="00D42205" w:rsidRPr="007F6E3B" w:rsidRDefault="00D42205" w:rsidP="160710AA">
            <w:pPr>
              <w:spacing w:before="0" w:after="0"/>
              <w:rPr>
                <w:noProof/>
                <w:szCs w:val="24"/>
              </w:rPr>
            </w:pPr>
            <w:r w:rsidRPr="00805B56">
              <w:rPr>
                <w:noProof/>
              </w:rPr>
              <w:t>1*Data Management Officers is needed to perform data quality review processes aiming to ensure Eurojust data is high quality, current, complete, unambiguously understood, consistent and available when required</w:t>
            </w:r>
          </w:p>
          <w:p w14:paraId="7F161A7D" w14:textId="77777777" w:rsidR="00D42205" w:rsidRPr="007F6E3B" w:rsidRDefault="00D42205" w:rsidP="00B2088F">
            <w:pPr>
              <w:spacing w:before="0" w:after="0"/>
              <w:rPr>
                <w:noProof/>
                <w:szCs w:val="24"/>
              </w:rPr>
            </w:pPr>
          </w:p>
          <w:p w14:paraId="0E0337F5" w14:textId="77777777" w:rsidR="00D42205" w:rsidRPr="006A0D14" w:rsidRDefault="00D42205" w:rsidP="006A0D14">
            <w:pPr>
              <w:spacing w:before="0" w:after="0"/>
              <w:rPr>
                <w:i/>
                <w:iCs/>
                <w:noProof/>
              </w:rPr>
            </w:pPr>
            <w:r w:rsidRPr="160710AA">
              <w:rPr>
                <w:i/>
                <w:iCs/>
                <w:noProof/>
              </w:rPr>
              <w:t xml:space="preserve">Estimated FTEs needed – additional FTE to be hired per year (not-cumulative): </w:t>
            </w:r>
          </w:p>
          <w:p w14:paraId="2C865FF0" w14:textId="77777777" w:rsidR="00D42205" w:rsidRPr="00956203" w:rsidRDefault="00D42205" w:rsidP="160710AA">
            <w:pPr>
              <w:spacing w:before="0" w:after="0"/>
              <w:rPr>
                <w:noProof/>
                <w:szCs w:val="24"/>
              </w:rPr>
            </w:pPr>
            <w:r w:rsidRPr="160710AA">
              <w:rPr>
                <w:i/>
                <w:iCs/>
                <w:noProof/>
              </w:rPr>
              <w:t>2027: +1</w:t>
            </w:r>
          </w:p>
        </w:tc>
      </w:tr>
      <w:tr w:rsidR="00D42205" w:rsidRPr="00956203" w14:paraId="383F7930" w14:textId="77777777" w:rsidTr="160710AA">
        <w:tc>
          <w:tcPr>
            <w:tcW w:w="1556" w:type="dxa"/>
            <w:vMerge/>
          </w:tcPr>
          <w:p w14:paraId="41B06D8A" w14:textId="77777777" w:rsidR="00D42205" w:rsidRPr="00956203" w:rsidRDefault="00D42205" w:rsidP="00B2088F">
            <w:pPr>
              <w:spacing w:before="0" w:after="0"/>
              <w:jc w:val="left"/>
              <w:rPr>
                <w:noProof/>
                <w:szCs w:val="24"/>
              </w:rPr>
            </w:pPr>
          </w:p>
        </w:tc>
        <w:tc>
          <w:tcPr>
            <w:tcW w:w="7653" w:type="dxa"/>
          </w:tcPr>
          <w:p w14:paraId="28672000"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1*Legal Officer and 1*Policy Officer are needed to participate in the negotiation by the Commission of international agreements and to negotiate and draft strategic and/or implementing working arrangements with 3rd countries</w:t>
            </w:r>
          </w:p>
          <w:p w14:paraId="174363D0" w14:textId="77777777" w:rsidR="00D42205" w:rsidRPr="007F6E3B" w:rsidRDefault="00D42205" w:rsidP="00B2088F">
            <w:pPr>
              <w:autoSpaceDE w:val="0"/>
              <w:autoSpaceDN w:val="0"/>
              <w:adjustRightInd w:val="0"/>
              <w:spacing w:before="0" w:after="0"/>
              <w:rPr>
                <w:noProof/>
                <w:color w:val="000000"/>
                <w:szCs w:val="24"/>
              </w:rPr>
            </w:pPr>
          </w:p>
          <w:p w14:paraId="0F58E4CD" w14:textId="77777777" w:rsidR="00D42205" w:rsidRPr="006A0D14" w:rsidRDefault="00D42205" w:rsidP="006A0D14">
            <w:pPr>
              <w:autoSpaceDE w:val="0"/>
              <w:autoSpaceDN w:val="0"/>
              <w:adjustRightInd w:val="0"/>
              <w:spacing w:before="0" w:after="0"/>
              <w:rPr>
                <w:i/>
                <w:iCs/>
                <w:noProof/>
                <w:color w:val="000000" w:themeColor="text1"/>
              </w:rPr>
            </w:pPr>
            <w:r w:rsidRPr="160710AA">
              <w:rPr>
                <w:i/>
                <w:iCs/>
                <w:noProof/>
                <w:color w:val="000000"/>
              </w:rPr>
              <w:t xml:space="preserve">Estimated FTEs needed – additional FTE to be hired per year (not-cumulative): </w:t>
            </w:r>
          </w:p>
          <w:p w14:paraId="604E55D3" w14:textId="77777777" w:rsidR="00D42205" w:rsidRPr="006A0D14" w:rsidRDefault="00D42205" w:rsidP="006A0D14">
            <w:pPr>
              <w:autoSpaceDE w:val="0"/>
              <w:autoSpaceDN w:val="0"/>
              <w:adjustRightInd w:val="0"/>
              <w:spacing w:before="0" w:after="0"/>
              <w:rPr>
                <w:noProof/>
                <w:color w:val="000000" w:themeColor="text1"/>
              </w:rPr>
            </w:pPr>
            <w:r w:rsidRPr="160710AA">
              <w:rPr>
                <w:i/>
                <w:iCs/>
                <w:noProof/>
                <w:color w:val="000000"/>
              </w:rPr>
              <w:t>2024: +2;</w:t>
            </w:r>
          </w:p>
        </w:tc>
      </w:tr>
      <w:tr w:rsidR="00D42205" w:rsidRPr="00956203" w14:paraId="6878A6E2" w14:textId="77777777" w:rsidTr="160710AA">
        <w:tc>
          <w:tcPr>
            <w:tcW w:w="1556" w:type="dxa"/>
            <w:vMerge/>
          </w:tcPr>
          <w:p w14:paraId="7618F1BD" w14:textId="77777777" w:rsidR="00D42205" w:rsidRPr="00956203" w:rsidRDefault="00D42205" w:rsidP="00B2088F">
            <w:pPr>
              <w:spacing w:before="0" w:after="0"/>
              <w:jc w:val="left"/>
              <w:rPr>
                <w:noProof/>
                <w:szCs w:val="24"/>
              </w:rPr>
            </w:pPr>
          </w:p>
        </w:tc>
        <w:tc>
          <w:tcPr>
            <w:tcW w:w="7653" w:type="dxa"/>
          </w:tcPr>
          <w:p w14:paraId="35FECE8E" w14:textId="77777777" w:rsidR="00D42205" w:rsidRPr="006A0D14" w:rsidRDefault="00D42205" w:rsidP="006A0D14">
            <w:pPr>
              <w:autoSpaceDE w:val="0"/>
              <w:autoSpaceDN w:val="0"/>
              <w:adjustRightInd w:val="0"/>
              <w:spacing w:before="0" w:after="0"/>
              <w:rPr>
                <w:noProof/>
                <w:color w:val="000000" w:themeColor="text1"/>
              </w:rPr>
            </w:pPr>
            <w:r w:rsidRPr="00805B56">
              <w:rPr>
                <w:noProof/>
                <w:color w:val="000000"/>
              </w:rPr>
              <w:t>1*Legal Officer is needed to negotiate, draft, evaluate and review of cooperation instruments/cooperation agreements/MoU with partner agencies and bodies</w:t>
            </w:r>
          </w:p>
          <w:p w14:paraId="0B46F0D6" w14:textId="77777777" w:rsidR="00D42205" w:rsidRDefault="00D42205" w:rsidP="00B2088F">
            <w:pPr>
              <w:autoSpaceDE w:val="0"/>
              <w:autoSpaceDN w:val="0"/>
              <w:adjustRightInd w:val="0"/>
              <w:spacing w:before="0" w:after="0"/>
              <w:rPr>
                <w:i/>
                <w:noProof/>
                <w:color w:val="000000"/>
                <w:szCs w:val="24"/>
              </w:rPr>
            </w:pPr>
          </w:p>
          <w:p w14:paraId="3B91EDA7" w14:textId="77777777" w:rsidR="00D42205" w:rsidRPr="006A0D14" w:rsidRDefault="00D42205" w:rsidP="006A0D14">
            <w:pPr>
              <w:autoSpaceDE w:val="0"/>
              <w:autoSpaceDN w:val="0"/>
              <w:adjustRightInd w:val="0"/>
              <w:spacing w:before="0" w:after="0"/>
              <w:rPr>
                <w:i/>
                <w:iCs/>
                <w:noProof/>
                <w:color w:val="000000" w:themeColor="text1"/>
              </w:rPr>
            </w:pPr>
            <w:r w:rsidRPr="160710AA">
              <w:rPr>
                <w:i/>
                <w:iCs/>
                <w:noProof/>
                <w:color w:val="000000"/>
              </w:rPr>
              <w:t xml:space="preserve">Estimated FTEs needed – additional FTE to be hired per year (not-cumulative): </w:t>
            </w:r>
          </w:p>
          <w:p w14:paraId="6856E413" w14:textId="77777777" w:rsidR="00D42205" w:rsidRPr="00956203" w:rsidRDefault="00D42205" w:rsidP="00B2088F">
            <w:pPr>
              <w:spacing w:before="0"/>
              <w:rPr>
                <w:i/>
                <w:noProof/>
                <w:szCs w:val="24"/>
              </w:rPr>
            </w:pPr>
            <w:r>
              <w:rPr>
                <w:i/>
                <w:noProof/>
                <w:szCs w:val="24"/>
              </w:rPr>
              <w:t>2025: +1</w:t>
            </w:r>
          </w:p>
        </w:tc>
      </w:tr>
    </w:tbl>
    <w:p w14:paraId="77A72136" w14:textId="77777777" w:rsidR="00436363" w:rsidRPr="00906BEE" w:rsidRDefault="00906BEE" w:rsidP="00906BEE">
      <w:pPr>
        <w:tabs>
          <w:tab w:val="left" w:pos="2573"/>
        </w:tabs>
        <w:rPr>
          <w:noProof/>
          <w:sz w:val="18"/>
        </w:rPr>
        <w:sectPr w:rsidR="00436363" w:rsidRPr="00906BEE" w:rsidSect="00A618F2">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r>
        <w:rPr>
          <w:noProof/>
          <w:sz w:val="18"/>
        </w:rPr>
        <w:tab/>
      </w:r>
    </w:p>
    <w:p w14:paraId="61B21125" w14:textId="786C9304" w:rsidR="00436363" w:rsidRDefault="00306677" w:rsidP="00306677">
      <w:pPr>
        <w:pStyle w:val="ManualHeading4"/>
        <w:rPr>
          <w:bCs/>
          <w:noProof/>
          <w:szCs w:val="24"/>
        </w:rPr>
      </w:pPr>
      <w:r w:rsidRPr="00306677">
        <w:t>3.2.3.2.</w:t>
      </w:r>
      <w:r w:rsidRPr="00306677">
        <w:tab/>
      </w:r>
      <w:r w:rsidR="00436363">
        <w:rPr>
          <w:noProof/>
        </w:rPr>
        <w:t xml:space="preserve">Estimated requirements of human resources </w:t>
      </w:r>
    </w:p>
    <w:p w14:paraId="0748B474" w14:textId="77777777" w:rsidR="00D42205" w:rsidRPr="00956203" w:rsidRDefault="00D42205" w:rsidP="00D42205">
      <w:pPr>
        <w:pStyle w:val="ListDash1"/>
        <w:tabs>
          <w:tab w:val="clear" w:pos="1134"/>
          <w:tab w:val="num" w:pos="709"/>
        </w:tabs>
        <w:ind w:left="993" w:hanging="567"/>
        <w:rPr>
          <w:noProof/>
        </w:rPr>
      </w:pPr>
      <w:r w:rsidRPr="00956203">
        <w:rPr>
          <w:noProof/>
        </w:rPr>
        <w:sym w:font="Wingdings" w:char="F0A8"/>
      </w:r>
      <w:r w:rsidRPr="00956203">
        <w:rPr>
          <w:noProof/>
        </w:rPr>
        <w:tab/>
        <w:t xml:space="preserve">The proposal/initiative does not require the use of human resources. </w:t>
      </w:r>
    </w:p>
    <w:p w14:paraId="0B3F6ADC" w14:textId="77777777" w:rsidR="00D42205" w:rsidRPr="00956203" w:rsidRDefault="00D42205" w:rsidP="00D42205">
      <w:pPr>
        <w:pStyle w:val="ListDash1"/>
        <w:tabs>
          <w:tab w:val="clear" w:pos="1134"/>
          <w:tab w:val="num" w:pos="709"/>
        </w:tabs>
        <w:ind w:left="993" w:hanging="567"/>
        <w:rPr>
          <w:noProof/>
        </w:rPr>
      </w:pPr>
      <w:r w:rsidRPr="00956203">
        <w:rPr>
          <w:noProof/>
        </w:rPr>
        <w:sym w:font="Wingdings" w:char="F0FE"/>
      </w:r>
      <w:r w:rsidRPr="00956203">
        <w:rPr>
          <w:noProof/>
        </w:rPr>
        <w:tab/>
        <w:t>The proposal/initiative requires the use of human resources, as explained below:</w:t>
      </w:r>
    </w:p>
    <w:p w14:paraId="1AF32D8D" w14:textId="77777777" w:rsidR="00436363" w:rsidRDefault="00D42205" w:rsidP="00D42205">
      <w:pPr>
        <w:spacing w:after="60"/>
        <w:jc w:val="right"/>
        <w:rPr>
          <w:i/>
          <w:noProof/>
          <w:sz w:val="20"/>
        </w:rPr>
      </w:pPr>
      <w:r w:rsidRPr="00956203">
        <w:rPr>
          <w:i/>
          <w:noProof/>
          <w:sz w:val="20"/>
        </w:rPr>
        <w:t>Estimate to be expressed in full amounts (o</w:t>
      </w:r>
      <w:r>
        <w:rPr>
          <w:i/>
          <w:noProof/>
          <w:sz w:val="20"/>
        </w:rPr>
        <w:t>r at most to one decimal place)</w:t>
      </w:r>
    </w:p>
    <w:tbl>
      <w:tblPr>
        <w:tblW w:w="4632" w:type="pct"/>
        <w:tblInd w:w="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8"/>
        <w:gridCol w:w="2009"/>
        <w:gridCol w:w="1124"/>
        <w:gridCol w:w="1136"/>
        <w:gridCol w:w="1136"/>
        <w:gridCol w:w="1220"/>
      </w:tblGrid>
      <w:tr w:rsidR="008911CF" w:rsidRPr="00956203" w14:paraId="1924D9F8" w14:textId="77777777" w:rsidTr="006A0D14">
        <w:trPr>
          <w:trHeight w:val="1053"/>
        </w:trPr>
        <w:tc>
          <w:tcPr>
            <w:tcW w:w="2317" w:type="pct"/>
            <w:gridSpan w:val="2"/>
            <w:shd w:val="clear" w:color="auto" w:fill="auto"/>
          </w:tcPr>
          <w:p w14:paraId="7E273377" w14:textId="77777777" w:rsidR="008911CF" w:rsidRPr="00956203" w:rsidRDefault="008911CF" w:rsidP="00B2088F">
            <w:pPr>
              <w:pStyle w:val="Text1"/>
              <w:spacing w:before="40" w:after="40"/>
              <w:ind w:left="0"/>
              <w:jc w:val="center"/>
              <w:rPr>
                <w:i/>
                <w:noProof/>
                <w:sz w:val="20"/>
              </w:rPr>
            </w:pPr>
          </w:p>
        </w:tc>
        <w:tc>
          <w:tcPr>
            <w:tcW w:w="653" w:type="pct"/>
            <w:shd w:val="clear" w:color="auto" w:fill="auto"/>
            <w:vAlign w:val="center"/>
          </w:tcPr>
          <w:p w14:paraId="40EE53BE" w14:textId="77777777" w:rsidR="008911CF" w:rsidRPr="00956203" w:rsidRDefault="008911CF" w:rsidP="00B2088F">
            <w:pPr>
              <w:spacing w:before="20" w:after="20"/>
              <w:jc w:val="center"/>
              <w:rPr>
                <w:noProof/>
                <w:sz w:val="20"/>
              </w:rPr>
            </w:pPr>
            <w:r w:rsidRPr="00956203">
              <w:rPr>
                <w:noProof/>
                <w:sz w:val="20"/>
              </w:rPr>
              <w:t xml:space="preserve">Year </w:t>
            </w:r>
            <w:r w:rsidRPr="00956203">
              <w:rPr>
                <w:b/>
                <w:noProof/>
                <w:sz w:val="20"/>
              </w:rPr>
              <w:t>2024</w:t>
            </w:r>
          </w:p>
        </w:tc>
        <w:tc>
          <w:tcPr>
            <w:tcW w:w="660" w:type="pct"/>
            <w:shd w:val="clear" w:color="auto" w:fill="auto"/>
            <w:vAlign w:val="center"/>
          </w:tcPr>
          <w:p w14:paraId="120F6F13" w14:textId="77777777" w:rsidR="008911CF" w:rsidRPr="00956203" w:rsidRDefault="008911CF" w:rsidP="00B2088F">
            <w:pPr>
              <w:spacing w:before="20" w:after="20"/>
              <w:jc w:val="center"/>
              <w:rPr>
                <w:noProof/>
                <w:sz w:val="20"/>
              </w:rPr>
            </w:pPr>
            <w:r w:rsidRPr="00956203">
              <w:rPr>
                <w:noProof/>
                <w:sz w:val="20"/>
              </w:rPr>
              <w:t xml:space="preserve">Year </w:t>
            </w:r>
            <w:r w:rsidRPr="00956203">
              <w:rPr>
                <w:b/>
                <w:noProof/>
                <w:sz w:val="20"/>
              </w:rPr>
              <w:t>2025</w:t>
            </w:r>
          </w:p>
        </w:tc>
        <w:tc>
          <w:tcPr>
            <w:tcW w:w="659" w:type="pct"/>
            <w:shd w:val="clear" w:color="auto" w:fill="auto"/>
            <w:vAlign w:val="center"/>
          </w:tcPr>
          <w:p w14:paraId="7524F794" w14:textId="77777777" w:rsidR="008911CF" w:rsidRPr="00956203" w:rsidRDefault="008911CF" w:rsidP="00B2088F">
            <w:pPr>
              <w:spacing w:before="20" w:after="20"/>
              <w:jc w:val="center"/>
              <w:rPr>
                <w:noProof/>
                <w:sz w:val="20"/>
              </w:rPr>
            </w:pPr>
            <w:r w:rsidRPr="00956203">
              <w:rPr>
                <w:noProof/>
                <w:sz w:val="20"/>
              </w:rPr>
              <w:t xml:space="preserve">Year </w:t>
            </w:r>
            <w:r w:rsidRPr="00956203">
              <w:rPr>
                <w:b/>
                <w:noProof/>
                <w:sz w:val="20"/>
              </w:rPr>
              <w:t>2026</w:t>
            </w:r>
          </w:p>
        </w:tc>
        <w:tc>
          <w:tcPr>
            <w:tcW w:w="710" w:type="pct"/>
            <w:shd w:val="clear" w:color="auto" w:fill="auto"/>
            <w:vAlign w:val="center"/>
          </w:tcPr>
          <w:p w14:paraId="263AD424" w14:textId="77777777" w:rsidR="008911CF" w:rsidRPr="00956203" w:rsidRDefault="008911CF" w:rsidP="00B2088F">
            <w:pPr>
              <w:spacing w:before="20" w:after="20"/>
              <w:jc w:val="center"/>
              <w:rPr>
                <w:noProof/>
                <w:sz w:val="20"/>
              </w:rPr>
            </w:pPr>
            <w:r w:rsidRPr="00956203">
              <w:rPr>
                <w:noProof/>
                <w:sz w:val="20"/>
              </w:rPr>
              <w:t xml:space="preserve">Year </w:t>
            </w:r>
            <w:r w:rsidRPr="00956203">
              <w:rPr>
                <w:b/>
                <w:noProof/>
                <w:sz w:val="20"/>
              </w:rPr>
              <w:t>2027</w:t>
            </w:r>
          </w:p>
        </w:tc>
      </w:tr>
      <w:tr w:rsidR="008911CF" w:rsidRPr="00956203" w14:paraId="51C0F200" w14:textId="77777777" w:rsidTr="006A0D14">
        <w:trPr>
          <w:trHeight w:val="289"/>
        </w:trPr>
        <w:tc>
          <w:tcPr>
            <w:tcW w:w="2317" w:type="pct"/>
            <w:gridSpan w:val="2"/>
            <w:shd w:val="clear" w:color="auto" w:fill="auto"/>
            <w:vAlign w:val="center"/>
          </w:tcPr>
          <w:p w14:paraId="35CAB8CA" w14:textId="77777777" w:rsidR="008911CF" w:rsidRPr="00956203" w:rsidRDefault="008911CF" w:rsidP="00221FF8">
            <w:pPr>
              <w:pStyle w:val="Text1"/>
              <w:numPr>
                <w:ilvl w:val="0"/>
                <w:numId w:val="27"/>
              </w:numPr>
              <w:tabs>
                <w:tab w:val="left" w:pos="208"/>
              </w:tabs>
              <w:spacing w:beforeLines="20" w:before="48" w:afterLines="20" w:after="48"/>
              <w:ind w:left="208" w:hanging="120"/>
              <w:jc w:val="left"/>
              <w:rPr>
                <w:b/>
                <w:noProof/>
                <w:sz w:val="20"/>
              </w:rPr>
            </w:pPr>
            <w:r w:rsidRPr="00956203">
              <w:rPr>
                <w:b/>
                <w:noProof/>
                <w:sz w:val="20"/>
              </w:rPr>
              <w:t>Establishment plan posts (officials and temporary staff)</w:t>
            </w:r>
          </w:p>
        </w:tc>
        <w:tc>
          <w:tcPr>
            <w:tcW w:w="653" w:type="pct"/>
            <w:shd w:val="clear" w:color="auto" w:fill="auto"/>
            <w:vAlign w:val="center"/>
          </w:tcPr>
          <w:p w14:paraId="3D1FF1FA"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0D92E06F"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56B8C948"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0A0EA986" w14:textId="77777777" w:rsidR="008911CF" w:rsidRPr="00956203" w:rsidRDefault="008911CF" w:rsidP="00B2088F">
            <w:pPr>
              <w:spacing w:beforeLines="20" w:before="48" w:afterLines="20" w:after="48"/>
              <w:jc w:val="center"/>
              <w:rPr>
                <w:noProof/>
                <w:sz w:val="20"/>
              </w:rPr>
            </w:pPr>
          </w:p>
        </w:tc>
      </w:tr>
      <w:tr w:rsidR="008911CF" w:rsidRPr="00956203" w14:paraId="0D577956" w14:textId="77777777" w:rsidTr="006A0D14">
        <w:trPr>
          <w:trHeight w:val="289"/>
        </w:trPr>
        <w:tc>
          <w:tcPr>
            <w:tcW w:w="2317" w:type="pct"/>
            <w:gridSpan w:val="2"/>
            <w:shd w:val="clear" w:color="auto" w:fill="auto"/>
            <w:vAlign w:val="center"/>
          </w:tcPr>
          <w:p w14:paraId="7210C376" w14:textId="77777777" w:rsidR="008911CF" w:rsidRPr="00956203" w:rsidRDefault="008911CF" w:rsidP="00B2088F">
            <w:pPr>
              <w:pStyle w:val="Text1"/>
              <w:spacing w:beforeLines="20" w:before="48" w:afterLines="20" w:after="48"/>
              <w:ind w:left="984"/>
              <w:jc w:val="left"/>
              <w:rPr>
                <w:b/>
                <w:noProof/>
                <w:sz w:val="20"/>
              </w:rPr>
            </w:pPr>
            <w:r w:rsidRPr="00956203">
              <w:rPr>
                <w:noProof/>
                <w:sz w:val="20"/>
              </w:rPr>
              <w:t>20 01 02 01 and 20 01 02 02 (Headquarters and Commission’s Representation Offices)</w:t>
            </w:r>
          </w:p>
        </w:tc>
        <w:tc>
          <w:tcPr>
            <w:tcW w:w="653" w:type="pct"/>
            <w:shd w:val="clear" w:color="auto" w:fill="auto"/>
            <w:vAlign w:val="center"/>
          </w:tcPr>
          <w:p w14:paraId="0827816D" w14:textId="77777777" w:rsidR="008911CF" w:rsidRPr="00956203" w:rsidRDefault="008911CF" w:rsidP="00B2088F">
            <w:pPr>
              <w:spacing w:beforeLines="20" w:before="48" w:afterLines="20" w:after="48"/>
              <w:jc w:val="center"/>
              <w:rPr>
                <w:noProof/>
                <w:sz w:val="20"/>
              </w:rPr>
            </w:pPr>
            <w:r w:rsidRPr="00956203">
              <w:rPr>
                <w:noProof/>
                <w:sz w:val="20"/>
              </w:rPr>
              <w:t>1</w:t>
            </w:r>
          </w:p>
        </w:tc>
        <w:tc>
          <w:tcPr>
            <w:tcW w:w="660" w:type="pct"/>
            <w:shd w:val="clear" w:color="auto" w:fill="auto"/>
            <w:vAlign w:val="center"/>
          </w:tcPr>
          <w:p w14:paraId="6E9CFA4D" w14:textId="77777777" w:rsidR="008911CF" w:rsidRPr="00956203" w:rsidRDefault="008911CF" w:rsidP="00B2088F">
            <w:pPr>
              <w:spacing w:beforeLines="20" w:before="48" w:afterLines="20" w:after="48"/>
              <w:jc w:val="center"/>
              <w:rPr>
                <w:noProof/>
                <w:sz w:val="20"/>
              </w:rPr>
            </w:pPr>
            <w:r w:rsidRPr="00956203">
              <w:rPr>
                <w:noProof/>
                <w:sz w:val="20"/>
              </w:rPr>
              <w:t>1</w:t>
            </w:r>
          </w:p>
        </w:tc>
        <w:tc>
          <w:tcPr>
            <w:tcW w:w="660" w:type="pct"/>
            <w:shd w:val="clear" w:color="auto" w:fill="auto"/>
            <w:vAlign w:val="center"/>
          </w:tcPr>
          <w:p w14:paraId="173B55A9" w14:textId="77777777" w:rsidR="008911CF" w:rsidRPr="00956203" w:rsidRDefault="008911CF" w:rsidP="00B2088F">
            <w:pPr>
              <w:spacing w:beforeLines="20" w:before="48" w:afterLines="20" w:after="48"/>
              <w:jc w:val="center"/>
              <w:rPr>
                <w:noProof/>
                <w:sz w:val="20"/>
              </w:rPr>
            </w:pPr>
            <w:r w:rsidRPr="00956203">
              <w:rPr>
                <w:noProof/>
                <w:sz w:val="20"/>
              </w:rPr>
              <w:t>1</w:t>
            </w:r>
          </w:p>
        </w:tc>
        <w:tc>
          <w:tcPr>
            <w:tcW w:w="710" w:type="pct"/>
            <w:shd w:val="clear" w:color="auto" w:fill="auto"/>
            <w:vAlign w:val="center"/>
          </w:tcPr>
          <w:p w14:paraId="5A51E745" w14:textId="77777777" w:rsidR="008911CF" w:rsidRPr="00956203" w:rsidRDefault="008911CF" w:rsidP="00B2088F">
            <w:pPr>
              <w:spacing w:beforeLines="20" w:before="48" w:afterLines="20" w:after="48"/>
              <w:jc w:val="center"/>
              <w:rPr>
                <w:noProof/>
                <w:sz w:val="20"/>
              </w:rPr>
            </w:pPr>
            <w:r w:rsidRPr="00956203">
              <w:rPr>
                <w:noProof/>
                <w:sz w:val="20"/>
              </w:rPr>
              <w:t>1</w:t>
            </w:r>
          </w:p>
        </w:tc>
      </w:tr>
      <w:tr w:rsidR="008911CF" w:rsidRPr="00956203" w14:paraId="3FF6EEDB" w14:textId="77777777" w:rsidTr="006A0D14">
        <w:trPr>
          <w:trHeight w:val="289"/>
        </w:trPr>
        <w:tc>
          <w:tcPr>
            <w:tcW w:w="2317" w:type="pct"/>
            <w:gridSpan w:val="2"/>
            <w:shd w:val="clear" w:color="auto" w:fill="auto"/>
            <w:vAlign w:val="center"/>
          </w:tcPr>
          <w:p w14:paraId="6FD699CD" w14:textId="77777777" w:rsidR="008911CF" w:rsidRPr="00956203" w:rsidRDefault="008911CF" w:rsidP="00B2088F">
            <w:pPr>
              <w:pStyle w:val="Text1"/>
              <w:spacing w:beforeLines="20" w:before="48" w:afterLines="20" w:after="48"/>
              <w:ind w:left="984"/>
              <w:jc w:val="left"/>
              <w:rPr>
                <w:noProof/>
                <w:sz w:val="20"/>
              </w:rPr>
            </w:pPr>
            <w:r w:rsidRPr="00956203">
              <w:rPr>
                <w:noProof/>
                <w:sz w:val="20"/>
              </w:rPr>
              <w:t>20 01 02 03 (Delegations)</w:t>
            </w:r>
          </w:p>
        </w:tc>
        <w:tc>
          <w:tcPr>
            <w:tcW w:w="653" w:type="pct"/>
            <w:shd w:val="clear" w:color="auto" w:fill="auto"/>
            <w:vAlign w:val="center"/>
          </w:tcPr>
          <w:p w14:paraId="16D74B35"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5C6CDBF0"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573E5C0E"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0E5E6513" w14:textId="77777777" w:rsidR="008911CF" w:rsidRPr="00956203" w:rsidRDefault="008911CF" w:rsidP="00B2088F">
            <w:pPr>
              <w:spacing w:beforeLines="20" w:before="48" w:afterLines="20" w:after="48"/>
              <w:jc w:val="center"/>
              <w:rPr>
                <w:noProof/>
                <w:sz w:val="20"/>
              </w:rPr>
            </w:pPr>
          </w:p>
        </w:tc>
      </w:tr>
      <w:tr w:rsidR="008911CF" w:rsidRPr="00956203" w14:paraId="5BFDDE9F" w14:textId="77777777" w:rsidTr="006A0D14">
        <w:trPr>
          <w:trHeight w:val="953"/>
        </w:trPr>
        <w:tc>
          <w:tcPr>
            <w:tcW w:w="2317" w:type="pct"/>
            <w:gridSpan w:val="2"/>
            <w:shd w:val="clear" w:color="auto" w:fill="auto"/>
            <w:vAlign w:val="center"/>
          </w:tcPr>
          <w:p w14:paraId="7F362571" w14:textId="77777777" w:rsidR="008911CF" w:rsidRPr="00956203" w:rsidRDefault="008911CF" w:rsidP="00B2088F">
            <w:pPr>
              <w:pStyle w:val="Text1"/>
              <w:spacing w:beforeLines="20" w:before="48" w:afterLines="20" w:after="48"/>
              <w:ind w:left="984"/>
              <w:jc w:val="left"/>
              <w:rPr>
                <w:noProof/>
                <w:sz w:val="20"/>
              </w:rPr>
            </w:pPr>
            <w:r w:rsidRPr="00956203">
              <w:rPr>
                <w:noProof/>
                <w:sz w:val="20"/>
              </w:rPr>
              <w:t>01 01 01 01 (Indirect research)</w:t>
            </w:r>
          </w:p>
        </w:tc>
        <w:tc>
          <w:tcPr>
            <w:tcW w:w="653" w:type="pct"/>
            <w:shd w:val="clear" w:color="auto" w:fill="auto"/>
            <w:vAlign w:val="center"/>
          </w:tcPr>
          <w:p w14:paraId="5B4750BE"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59F16A0E"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1D7E7D8B"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18A30AE6" w14:textId="77777777" w:rsidR="008911CF" w:rsidRPr="00956203" w:rsidRDefault="008911CF" w:rsidP="00B2088F">
            <w:pPr>
              <w:spacing w:beforeLines="20" w:before="48" w:afterLines="20" w:after="48"/>
              <w:jc w:val="center"/>
              <w:rPr>
                <w:noProof/>
                <w:sz w:val="20"/>
              </w:rPr>
            </w:pPr>
          </w:p>
        </w:tc>
      </w:tr>
      <w:tr w:rsidR="008911CF" w:rsidRPr="00956203" w14:paraId="33520490" w14:textId="77777777" w:rsidTr="006A0D14">
        <w:trPr>
          <w:trHeight w:val="289"/>
        </w:trPr>
        <w:tc>
          <w:tcPr>
            <w:tcW w:w="2317" w:type="pct"/>
            <w:gridSpan w:val="2"/>
            <w:shd w:val="clear" w:color="auto" w:fill="auto"/>
            <w:vAlign w:val="center"/>
          </w:tcPr>
          <w:p w14:paraId="35524EA8" w14:textId="77777777" w:rsidR="008911CF" w:rsidRPr="00956203" w:rsidRDefault="008911CF" w:rsidP="00B2088F">
            <w:pPr>
              <w:pStyle w:val="Text1"/>
              <w:spacing w:beforeLines="20" w:before="48" w:afterLines="20" w:after="48"/>
              <w:ind w:left="984"/>
              <w:jc w:val="left"/>
              <w:rPr>
                <w:noProof/>
                <w:sz w:val="20"/>
              </w:rPr>
            </w:pPr>
            <w:r w:rsidRPr="00956203">
              <w:rPr>
                <w:noProof/>
                <w:sz w:val="20"/>
              </w:rPr>
              <w:t>10 01 05 01 (Direct research)</w:t>
            </w:r>
          </w:p>
        </w:tc>
        <w:tc>
          <w:tcPr>
            <w:tcW w:w="653" w:type="pct"/>
            <w:shd w:val="clear" w:color="auto" w:fill="auto"/>
            <w:vAlign w:val="center"/>
          </w:tcPr>
          <w:p w14:paraId="31A05527"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6EEF9600"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785A8039"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42F5FF38" w14:textId="77777777" w:rsidR="008911CF" w:rsidRPr="00956203" w:rsidRDefault="008911CF" w:rsidP="00B2088F">
            <w:pPr>
              <w:spacing w:beforeLines="20" w:before="48" w:afterLines="20" w:after="48"/>
              <w:jc w:val="center"/>
              <w:rPr>
                <w:noProof/>
                <w:sz w:val="20"/>
              </w:rPr>
            </w:pPr>
          </w:p>
        </w:tc>
      </w:tr>
      <w:tr w:rsidR="008911CF" w:rsidRPr="00956203" w14:paraId="047BFC0B" w14:textId="77777777" w:rsidTr="006A0D14">
        <w:trPr>
          <w:trHeight w:val="289"/>
        </w:trPr>
        <w:tc>
          <w:tcPr>
            <w:tcW w:w="2317" w:type="pct"/>
            <w:gridSpan w:val="2"/>
            <w:shd w:val="clear" w:color="auto" w:fill="auto"/>
            <w:vAlign w:val="center"/>
          </w:tcPr>
          <w:p w14:paraId="6C85C84D" w14:textId="77777777" w:rsidR="008911CF" w:rsidRPr="00956203" w:rsidRDefault="008911CF" w:rsidP="00B2088F">
            <w:pPr>
              <w:pStyle w:val="Text1"/>
              <w:spacing w:beforeLines="20" w:before="48" w:afterLines="20" w:after="48"/>
              <w:ind w:left="984"/>
              <w:jc w:val="left"/>
              <w:rPr>
                <w:noProof/>
                <w:sz w:val="20"/>
              </w:rPr>
            </w:pPr>
          </w:p>
        </w:tc>
        <w:tc>
          <w:tcPr>
            <w:tcW w:w="653" w:type="pct"/>
            <w:shd w:val="clear" w:color="auto" w:fill="auto"/>
            <w:vAlign w:val="center"/>
          </w:tcPr>
          <w:p w14:paraId="63621075"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441E344B"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55C8E847"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1783CD21" w14:textId="77777777" w:rsidR="008911CF" w:rsidRPr="00956203" w:rsidRDefault="008911CF" w:rsidP="00B2088F">
            <w:pPr>
              <w:spacing w:beforeLines="20" w:before="48" w:afterLines="20" w:after="48"/>
              <w:jc w:val="center"/>
              <w:rPr>
                <w:noProof/>
                <w:sz w:val="20"/>
              </w:rPr>
            </w:pPr>
          </w:p>
        </w:tc>
      </w:tr>
      <w:tr w:rsidR="008911CF" w:rsidRPr="00956203" w14:paraId="2E080D7E" w14:textId="77777777" w:rsidTr="006A0D14">
        <w:trPr>
          <w:trHeight w:val="289"/>
        </w:trPr>
        <w:tc>
          <w:tcPr>
            <w:tcW w:w="2317" w:type="pct"/>
            <w:gridSpan w:val="2"/>
            <w:shd w:val="clear" w:color="auto" w:fill="auto"/>
            <w:vAlign w:val="center"/>
          </w:tcPr>
          <w:p w14:paraId="2380F6DB" w14:textId="77777777" w:rsidR="008911CF" w:rsidRPr="00956203" w:rsidRDefault="008911CF" w:rsidP="00B2088F">
            <w:pPr>
              <w:pStyle w:val="Text1"/>
              <w:spacing w:beforeLines="20" w:before="48" w:afterLines="20" w:after="48"/>
              <w:ind w:left="208" w:hanging="120"/>
              <w:jc w:val="left"/>
              <w:rPr>
                <w:noProof/>
                <w:sz w:val="20"/>
              </w:rPr>
            </w:pPr>
            <w:r w:rsidRPr="00956203">
              <w:rPr>
                <w:b/>
                <w:noProof/>
                <w:sz w:val="20"/>
              </w:rPr>
              <w:sym w:font="Wingdings" w:char="F09F"/>
            </w:r>
            <w:r w:rsidRPr="00805B56">
              <w:rPr>
                <w:b/>
                <w:bCs/>
                <w:noProof/>
                <w:sz w:val="20"/>
                <w:szCs w:val="20"/>
              </w:rPr>
              <w:t xml:space="preserve"> External staff (in Full Time Equivalent unit: FTE)</w:t>
            </w:r>
            <w:r w:rsidRPr="00805B56">
              <w:rPr>
                <w:rStyle w:val="FootnoteReference"/>
                <w:b/>
                <w:bCs/>
                <w:noProof/>
                <w:sz w:val="20"/>
                <w:szCs w:val="20"/>
              </w:rPr>
              <w:footnoteReference w:id="61"/>
            </w:r>
          </w:p>
        </w:tc>
        <w:tc>
          <w:tcPr>
            <w:tcW w:w="653" w:type="pct"/>
            <w:shd w:val="clear" w:color="auto" w:fill="auto"/>
            <w:vAlign w:val="center"/>
          </w:tcPr>
          <w:p w14:paraId="258B06A1"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618A0483"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06DBEE02"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3E468317" w14:textId="77777777" w:rsidR="008911CF" w:rsidRPr="00956203" w:rsidRDefault="008911CF" w:rsidP="00B2088F">
            <w:pPr>
              <w:spacing w:beforeLines="20" w:before="48" w:afterLines="20" w:after="48"/>
              <w:jc w:val="center"/>
              <w:rPr>
                <w:noProof/>
                <w:sz w:val="20"/>
              </w:rPr>
            </w:pPr>
          </w:p>
        </w:tc>
      </w:tr>
      <w:tr w:rsidR="008911CF" w:rsidRPr="00956203" w14:paraId="26B2FECF" w14:textId="77777777" w:rsidTr="006A0D14">
        <w:trPr>
          <w:trHeight w:val="289"/>
        </w:trPr>
        <w:tc>
          <w:tcPr>
            <w:tcW w:w="2317" w:type="pct"/>
            <w:gridSpan w:val="2"/>
            <w:shd w:val="clear" w:color="auto" w:fill="auto"/>
            <w:vAlign w:val="center"/>
          </w:tcPr>
          <w:p w14:paraId="05FA6E9F" w14:textId="77777777" w:rsidR="008911CF" w:rsidRPr="00956203" w:rsidRDefault="008911CF" w:rsidP="00B2088F">
            <w:pPr>
              <w:pStyle w:val="Text1"/>
              <w:spacing w:beforeLines="20" w:before="48" w:afterLines="20" w:after="48"/>
              <w:ind w:left="986"/>
              <w:jc w:val="left"/>
              <w:rPr>
                <w:b/>
                <w:noProof/>
                <w:sz w:val="20"/>
              </w:rPr>
            </w:pPr>
            <w:r w:rsidRPr="00956203">
              <w:rPr>
                <w:noProof/>
                <w:sz w:val="20"/>
              </w:rPr>
              <w:t>20 02 01 (AC, END, INT from the ‘global envelope’)</w:t>
            </w:r>
          </w:p>
        </w:tc>
        <w:tc>
          <w:tcPr>
            <w:tcW w:w="653" w:type="pct"/>
            <w:shd w:val="clear" w:color="auto" w:fill="auto"/>
            <w:vAlign w:val="center"/>
          </w:tcPr>
          <w:p w14:paraId="7372870D" w14:textId="77777777" w:rsidR="008911CF" w:rsidRPr="00956203" w:rsidRDefault="008911CF" w:rsidP="00B2088F">
            <w:pPr>
              <w:spacing w:beforeLines="20" w:before="48" w:afterLines="20" w:after="48"/>
              <w:jc w:val="center"/>
              <w:rPr>
                <w:noProof/>
                <w:sz w:val="20"/>
              </w:rPr>
            </w:pPr>
            <w:r w:rsidRPr="00956203">
              <w:rPr>
                <w:noProof/>
                <w:sz w:val="20"/>
              </w:rPr>
              <w:t>1</w:t>
            </w:r>
          </w:p>
        </w:tc>
        <w:tc>
          <w:tcPr>
            <w:tcW w:w="660" w:type="pct"/>
            <w:shd w:val="clear" w:color="auto" w:fill="auto"/>
            <w:vAlign w:val="center"/>
          </w:tcPr>
          <w:p w14:paraId="0BB3EDE5" w14:textId="77777777" w:rsidR="008911CF" w:rsidRPr="00956203" w:rsidRDefault="008911CF" w:rsidP="00B2088F">
            <w:pPr>
              <w:spacing w:beforeLines="20" w:before="48" w:afterLines="20" w:after="48"/>
              <w:jc w:val="center"/>
              <w:rPr>
                <w:noProof/>
                <w:sz w:val="20"/>
              </w:rPr>
            </w:pPr>
            <w:r w:rsidRPr="00956203">
              <w:rPr>
                <w:noProof/>
                <w:sz w:val="20"/>
              </w:rPr>
              <w:t>1</w:t>
            </w:r>
          </w:p>
        </w:tc>
        <w:tc>
          <w:tcPr>
            <w:tcW w:w="660" w:type="pct"/>
            <w:shd w:val="clear" w:color="auto" w:fill="auto"/>
            <w:vAlign w:val="center"/>
          </w:tcPr>
          <w:p w14:paraId="10BA1A86" w14:textId="77777777" w:rsidR="008911CF" w:rsidRPr="00956203" w:rsidRDefault="008911CF" w:rsidP="00B2088F">
            <w:pPr>
              <w:spacing w:beforeLines="20" w:before="48" w:afterLines="20" w:after="48"/>
              <w:jc w:val="center"/>
              <w:rPr>
                <w:noProof/>
                <w:sz w:val="20"/>
              </w:rPr>
            </w:pPr>
            <w:r w:rsidRPr="00956203">
              <w:rPr>
                <w:noProof/>
                <w:sz w:val="20"/>
              </w:rPr>
              <w:t>1</w:t>
            </w:r>
          </w:p>
        </w:tc>
        <w:tc>
          <w:tcPr>
            <w:tcW w:w="710" w:type="pct"/>
            <w:shd w:val="clear" w:color="auto" w:fill="auto"/>
            <w:vAlign w:val="center"/>
          </w:tcPr>
          <w:p w14:paraId="4E984039" w14:textId="77777777" w:rsidR="008911CF" w:rsidRPr="00956203" w:rsidRDefault="008911CF" w:rsidP="00B2088F">
            <w:pPr>
              <w:spacing w:beforeLines="20" w:before="48" w:afterLines="20" w:after="48"/>
              <w:jc w:val="center"/>
              <w:rPr>
                <w:noProof/>
                <w:sz w:val="20"/>
              </w:rPr>
            </w:pPr>
            <w:r w:rsidRPr="00956203">
              <w:rPr>
                <w:noProof/>
                <w:sz w:val="20"/>
              </w:rPr>
              <w:t>1</w:t>
            </w:r>
          </w:p>
        </w:tc>
      </w:tr>
      <w:tr w:rsidR="008911CF" w:rsidRPr="00956203" w14:paraId="28F4D935" w14:textId="77777777" w:rsidTr="006A0D14">
        <w:trPr>
          <w:trHeight w:val="289"/>
        </w:trPr>
        <w:tc>
          <w:tcPr>
            <w:tcW w:w="2317" w:type="pct"/>
            <w:gridSpan w:val="2"/>
            <w:shd w:val="clear" w:color="auto" w:fill="auto"/>
            <w:vAlign w:val="center"/>
          </w:tcPr>
          <w:p w14:paraId="3BE60651" w14:textId="77777777" w:rsidR="008911CF" w:rsidRPr="00956203" w:rsidRDefault="008911CF" w:rsidP="00B2088F">
            <w:pPr>
              <w:pStyle w:val="Text1"/>
              <w:spacing w:beforeLines="20" w:before="48" w:afterLines="20" w:after="48"/>
              <w:ind w:left="986"/>
              <w:jc w:val="left"/>
              <w:rPr>
                <w:noProof/>
                <w:sz w:val="20"/>
              </w:rPr>
            </w:pPr>
            <w:r w:rsidRPr="00956203">
              <w:rPr>
                <w:noProof/>
                <w:sz w:val="20"/>
              </w:rPr>
              <w:t>20 02 03 (AC, AL, END, INT and JPD in the Delegations)</w:t>
            </w:r>
          </w:p>
        </w:tc>
        <w:tc>
          <w:tcPr>
            <w:tcW w:w="653" w:type="pct"/>
            <w:shd w:val="clear" w:color="auto" w:fill="auto"/>
            <w:vAlign w:val="center"/>
          </w:tcPr>
          <w:p w14:paraId="028D3755"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7E906C8D"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05A151AB"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18C6BBA7" w14:textId="77777777" w:rsidR="008911CF" w:rsidRPr="00956203" w:rsidRDefault="008911CF" w:rsidP="00B2088F">
            <w:pPr>
              <w:spacing w:beforeLines="20" w:before="48" w:afterLines="20" w:after="48"/>
              <w:jc w:val="center"/>
              <w:rPr>
                <w:noProof/>
                <w:sz w:val="20"/>
              </w:rPr>
            </w:pPr>
          </w:p>
        </w:tc>
      </w:tr>
      <w:tr w:rsidR="008911CF" w:rsidRPr="00956203" w14:paraId="6EE2DF75" w14:textId="77777777" w:rsidTr="006A0D14">
        <w:trPr>
          <w:trHeight w:val="289"/>
        </w:trPr>
        <w:tc>
          <w:tcPr>
            <w:tcW w:w="1150" w:type="pct"/>
            <w:vMerge w:val="restart"/>
            <w:shd w:val="clear" w:color="auto" w:fill="auto"/>
            <w:vAlign w:val="center"/>
          </w:tcPr>
          <w:p w14:paraId="543D9441" w14:textId="77777777" w:rsidR="008911CF" w:rsidRPr="00956203" w:rsidRDefault="008911CF" w:rsidP="00B2088F">
            <w:pPr>
              <w:pStyle w:val="Text1"/>
              <w:spacing w:beforeLines="20" w:before="48" w:afterLines="20" w:after="48"/>
              <w:ind w:left="986"/>
              <w:jc w:val="left"/>
              <w:rPr>
                <w:b/>
                <w:noProof/>
                <w:sz w:val="20"/>
              </w:rPr>
            </w:pPr>
            <w:r w:rsidRPr="00805B56">
              <w:rPr>
                <w:noProof/>
                <w:sz w:val="20"/>
                <w:szCs w:val="20"/>
              </w:rPr>
              <w:t>Budget line(s) (specify)</w:t>
            </w:r>
            <w:r w:rsidRPr="006D3B69">
              <w:rPr>
                <w:b/>
                <w:bCs/>
                <w:noProof/>
                <w:sz w:val="20"/>
                <w:szCs w:val="20"/>
              </w:rPr>
              <w:t xml:space="preserve"> </w:t>
            </w:r>
            <w:r w:rsidRPr="00805B56">
              <w:rPr>
                <w:rStyle w:val="FootnoteReference"/>
                <w:b/>
                <w:bCs/>
                <w:noProof/>
                <w:sz w:val="20"/>
                <w:szCs w:val="20"/>
              </w:rPr>
              <w:footnoteReference w:id="62"/>
            </w:r>
          </w:p>
        </w:tc>
        <w:tc>
          <w:tcPr>
            <w:tcW w:w="1168" w:type="pct"/>
            <w:shd w:val="clear" w:color="auto" w:fill="auto"/>
            <w:vAlign w:val="center"/>
          </w:tcPr>
          <w:p w14:paraId="596D5ED3" w14:textId="77777777" w:rsidR="008911CF" w:rsidRPr="00956203" w:rsidRDefault="008911CF" w:rsidP="00B2088F">
            <w:pPr>
              <w:pStyle w:val="Text1"/>
              <w:spacing w:beforeLines="20" w:before="48" w:afterLines="20" w:after="48"/>
              <w:ind w:left="598"/>
              <w:jc w:val="left"/>
              <w:rPr>
                <w:b/>
                <w:noProof/>
                <w:sz w:val="20"/>
              </w:rPr>
            </w:pPr>
            <w:r w:rsidRPr="00805B56">
              <w:rPr>
                <w:noProof/>
                <w:sz w:val="20"/>
                <w:szCs w:val="20"/>
              </w:rPr>
              <w:t>- at Headquarters</w:t>
            </w:r>
            <w:r w:rsidRPr="00805B56">
              <w:rPr>
                <w:rStyle w:val="FootnoteReference"/>
                <w:noProof/>
                <w:sz w:val="20"/>
                <w:szCs w:val="20"/>
              </w:rPr>
              <w:footnoteReference w:id="63"/>
            </w:r>
            <w:r w:rsidRPr="00956203">
              <w:rPr>
                <w:noProof/>
                <w:sz w:val="20"/>
              </w:rPr>
              <w:br/>
            </w:r>
          </w:p>
        </w:tc>
        <w:tc>
          <w:tcPr>
            <w:tcW w:w="653" w:type="pct"/>
            <w:shd w:val="clear" w:color="auto" w:fill="auto"/>
            <w:vAlign w:val="center"/>
          </w:tcPr>
          <w:p w14:paraId="53DB9CFE" w14:textId="77777777" w:rsidR="008911CF" w:rsidRPr="00956203" w:rsidRDefault="008911CF" w:rsidP="00B2088F">
            <w:pPr>
              <w:pStyle w:val="Text1"/>
              <w:spacing w:beforeLines="20" w:before="48" w:afterLines="20" w:after="48"/>
              <w:rPr>
                <w:noProof/>
                <w:sz w:val="20"/>
              </w:rPr>
            </w:pPr>
          </w:p>
        </w:tc>
        <w:tc>
          <w:tcPr>
            <w:tcW w:w="660" w:type="pct"/>
            <w:shd w:val="clear" w:color="auto" w:fill="auto"/>
            <w:vAlign w:val="center"/>
          </w:tcPr>
          <w:p w14:paraId="2B229C09"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69C8BDFD"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552D8001" w14:textId="77777777" w:rsidR="008911CF" w:rsidRPr="00956203" w:rsidRDefault="008911CF" w:rsidP="00B2088F">
            <w:pPr>
              <w:spacing w:beforeLines="20" w:before="48" w:afterLines="20" w:after="48"/>
              <w:jc w:val="center"/>
              <w:rPr>
                <w:noProof/>
                <w:sz w:val="20"/>
              </w:rPr>
            </w:pPr>
          </w:p>
        </w:tc>
      </w:tr>
      <w:tr w:rsidR="008911CF" w:rsidRPr="00956203" w14:paraId="76BF9031" w14:textId="77777777" w:rsidTr="006A0D14">
        <w:trPr>
          <w:trHeight w:val="289"/>
        </w:trPr>
        <w:tc>
          <w:tcPr>
            <w:tcW w:w="1150" w:type="pct"/>
            <w:vMerge/>
            <w:shd w:val="clear" w:color="auto" w:fill="auto"/>
            <w:vAlign w:val="center"/>
          </w:tcPr>
          <w:p w14:paraId="10A38D48" w14:textId="77777777" w:rsidR="008911CF" w:rsidRPr="00956203" w:rsidRDefault="008911CF" w:rsidP="00B2088F">
            <w:pPr>
              <w:rPr>
                <w:b/>
                <w:noProof/>
                <w:sz w:val="20"/>
              </w:rPr>
            </w:pPr>
          </w:p>
        </w:tc>
        <w:tc>
          <w:tcPr>
            <w:tcW w:w="1168" w:type="pct"/>
            <w:shd w:val="clear" w:color="auto" w:fill="auto"/>
            <w:vAlign w:val="center"/>
          </w:tcPr>
          <w:p w14:paraId="6D6FCDB5" w14:textId="77777777" w:rsidR="008911CF" w:rsidRPr="00956203" w:rsidRDefault="008911CF" w:rsidP="00B2088F">
            <w:pPr>
              <w:pStyle w:val="Text1"/>
              <w:spacing w:beforeLines="20" w:before="48" w:afterLines="20" w:after="48"/>
              <w:ind w:left="598"/>
              <w:jc w:val="left"/>
              <w:rPr>
                <w:b/>
                <w:noProof/>
                <w:sz w:val="20"/>
              </w:rPr>
            </w:pPr>
            <w:r w:rsidRPr="00956203">
              <w:rPr>
                <w:noProof/>
                <w:sz w:val="20"/>
              </w:rPr>
              <w:t xml:space="preserve">- in Delegations </w:t>
            </w:r>
          </w:p>
        </w:tc>
        <w:tc>
          <w:tcPr>
            <w:tcW w:w="653" w:type="pct"/>
            <w:shd w:val="clear" w:color="auto" w:fill="auto"/>
            <w:vAlign w:val="center"/>
          </w:tcPr>
          <w:p w14:paraId="75338EB0" w14:textId="77777777" w:rsidR="008911CF" w:rsidRPr="00956203" w:rsidRDefault="008911CF" w:rsidP="00B2088F">
            <w:pPr>
              <w:pStyle w:val="Text1"/>
              <w:spacing w:beforeLines="20" w:before="48" w:afterLines="20" w:after="48"/>
              <w:rPr>
                <w:noProof/>
                <w:sz w:val="20"/>
              </w:rPr>
            </w:pPr>
          </w:p>
        </w:tc>
        <w:tc>
          <w:tcPr>
            <w:tcW w:w="660" w:type="pct"/>
            <w:shd w:val="clear" w:color="auto" w:fill="auto"/>
            <w:vAlign w:val="center"/>
          </w:tcPr>
          <w:p w14:paraId="55F5F28B"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57669B08"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16566843" w14:textId="77777777" w:rsidR="008911CF" w:rsidRPr="00956203" w:rsidRDefault="008911CF" w:rsidP="00B2088F">
            <w:pPr>
              <w:spacing w:beforeLines="20" w:before="48" w:afterLines="20" w:after="48"/>
              <w:jc w:val="center"/>
              <w:rPr>
                <w:noProof/>
                <w:sz w:val="20"/>
              </w:rPr>
            </w:pPr>
          </w:p>
        </w:tc>
      </w:tr>
      <w:tr w:rsidR="008911CF" w:rsidRPr="00956203" w14:paraId="2C8A9F40" w14:textId="77777777" w:rsidTr="006A0D14">
        <w:trPr>
          <w:trHeight w:val="289"/>
        </w:trPr>
        <w:tc>
          <w:tcPr>
            <w:tcW w:w="2317" w:type="pct"/>
            <w:gridSpan w:val="2"/>
            <w:shd w:val="clear" w:color="auto" w:fill="auto"/>
            <w:vAlign w:val="center"/>
          </w:tcPr>
          <w:p w14:paraId="2E0B8D41" w14:textId="77777777" w:rsidR="008911CF" w:rsidRPr="00956203" w:rsidRDefault="008911CF" w:rsidP="00B2088F">
            <w:pPr>
              <w:pStyle w:val="Text1"/>
              <w:spacing w:beforeLines="20" w:before="48" w:afterLines="20" w:after="48"/>
              <w:ind w:left="986"/>
              <w:jc w:val="left"/>
              <w:rPr>
                <w:noProof/>
                <w:sz w:val="20"/>
              </w:rPr>
            </w:pPr>
            <w:r w:rsidRPr="00956203">
              <w:rPr>
                <w:b/>
                <w:noProof/>
                <w:sz w:val="20"/>
              </w:rPr>
              <w:t>01 01 01 02</w:t>
            </w:r>
            <w:r w:rsidRPr="00956203">
              <w:rPr>
                <w:noProof/>
                <w:sz w:val="20"/>
              </w:rPr>
              <w:t xml:space="preserve"> (AC, END, INT – Indirect research)</w:t>
            </w:r>
          </w:p>
        </w:tc>
        <w:tc>
          <w:tcPr>
            <w:tcW w:w="653" w:type="pct"/>
            <w:shd w:val="clear" w:color="auto" w:fill="auto"/>
            <w:vAlign w:val="center"/>
          </w:tcPr>
          <w:p w14:paraId="0C36CE5C"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2D97476F"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1F9C4704"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495D2830" w14:textId="77777777" w:rsidR="008911CF" w:rsidRPr="00956203" w:rsidRDefault="008911CF" w:rsidP="00B2088F">
            <w:pPr>
              <w:spacing w:beforeLines="20" w:before="48" w:afterLines="20" w:after="48"/>
              <w:jc w:val="center"/>
              <w:rPr>
                <w:noProof/>
                <w:sz w:val="20"/>
              </w:rPr>
            </w:pPr>
          </w:p>
        </w:tc>
      </w:tr>
      <w:tr w:rsidR="008911CF" w:rsidRPr="00956203" w14:paraId="60834098" w14:textId="77777777" w:rsidTr="006A0D14">
        <w:trPr>
          <w:trHeight w:val="289"/>
        </w:trPr>
        <w:tc>
          <w:tcPr>
            <w:tcW w:w="2317" w:type="pct"/>
            <w:gridSpan w:val="2"/>
            <w:shd w:val="clear" w:color="auto" w:fill="auto"/>
            <w:vAlign w:val="center"/>
          </w:tcPr>
          <w:p w14:paraId="5D0C2913" w14:textId="77777777" w:rsidR="008911CF" w:rsidRPr="00956203" w:rsidRDefault="008911CF" w:rsidP="00B2088F">
            <w:pPr>
              <w:pStyle w:val="Text1"/>
              <w:spacing w:beforeLines="20" w:before="48" w:afterLines="20" w:after="48"/>
              <w:ind w:left="986"/>
              <w:jc w:val="left"/>
              <w:rPr>
                <w:noProof/>
                <w:sz w:val="20"/>
              </w:rPr>
            </w:pPr>
            <w:r w:rsidRPr="00956203">
              <w:rPr>
                <w:noProof/>
                <w:sz w:val="20"/>
              </w:rPr>
              <w:t>10 01 05 02 (AC, END, INT – Direct research)</w:t>
            </w:r>
          </w:p>
        </w:tc>
        <w:tc>
          <w:tcPr>
            <w:tcW w:w="653" w:type="pct"/>
            <w:shd w:val="clear" w:color="auto" w:fill="auto"/>
            <w:vAlign w:val="center"/>
          </w:tcPr>
          <w:p w14:paraId="36909B0A"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6498A001" w14:textId="77777777" w:rsidR="008911CF" w:rsidRPr="00956203" w:rsidRDefault="008911CF" w:rsidP="00B2088F">
            <w:pPr>
              <w:spacing w:beforeLines="20" w:before="48" w:afterLines="20" w:after="48"/>
              <w:jc w:val="center"/>
              <w:rPr>
                <w:noProof/>
                <w:sz w:val="20"/>
              </w:rPr>
            </w:pPr>
          </w:p>
        </w:tc>
        <w:tc>
          <w:tcPr>
            <w:tcW w:w="660" w:type="pct"/>
            <w:shd w:val="clear" w:color="auto" w:fill="auto"/>
            <w:vAlign w:val="center"/>
          </w:tcPr>
          <w:p w14:paraId="4E3F2A3E" w14:textId="77777777" w:rsidR="008911CF" w:rsidRPr="00956203" w:rsidRDefault="008911CF" w:rsidP="00B2088F">
            <w:pPr>
              <w:spacing w:beforeLines="20" w:before="48" w:afterLines="20" w:after="48"/>
              <w:jc w:val="center"/>
              <w:rPr>
                <w:noProof/>
                <w:sz w:val="20"/>
              </w:rPr>
            </w:pPr>
          </w:p>
        </w:tc>
        <w:tc>
          <w:tcPr>
            <w:tcW w:w="710" w:type="pct"/>
            <w:shd w:val="clear" w:color="auto" w:fill="auto"/>
            <w:vAlign w:val="center"/>
          </w:tcPr>
          <w:p w14:paraId="68446B3B" w14:textId="77777777" w:rsidR="008911CF" w:rsidRPr="00956203" w:rsidRDefault="008911CF" w:rsidP="00B2088F">
            <w:pPr>
              <w:spacing w:beforeLines="20" w:before="48" w:afterLines="20" w:after="48"/>
              <w:jc w:val="center"/>
              <w:rPr>
                <w:noProof/>
                <w:sz w:val="20"/>
              </w:rPr>
            </w:pPr>
          </w:p>
        </w:tc>
      </w:tr>
      <w:tr w:rsidR="008911CF" w:rsidRPr="00956203" w14:paraId="30C8EB9E" w14:textId="77777777" w:rsidTr="006A0D14">
        <w:trPr>
          <w:trHeight w:val="289"/>
        </w:trPr>
        <w:tc>
          <w:tcPr>
            <w:tcW w:w="2317" w:type="pct"/>
            <w:gridSpan w:val="2"/>
            <w:tcBorders>
              <w:bottom w:val="double" w:sz="4" w:space="0" w:color="auto"/>
            </w:tcBorders>
            <w:shd w:val="clear" w:color="auto" w:fill="auto"/>
            <w:vAlign w:val="center"/>
          </w:tcPr>
          <w:p w14:paraId="2651FA9C" w14:textId="77777777" w:rsidR="008911CF" w:rsidRPr="00956203" w:rsidRDefault="008911CF" w:rsidP="00B2088F">
            <w:pPr>
              <w:pStyle w:val="Text1"/>
              <w:spacing w:beforeLines="20" w:before="48" w:afterLines="20" w:after="48"/>
              <w:ind w:left="984"/>
              <w:jc w:val="left"/>
              <w:rPr>
                <w:noProof/>
                <w:sz w:val="20"/>
              </w:rPr>
            </w:pPr>
            <w:r w:rsidRPr="00956203">
              <w:rPr>
                <w:noProof/>
                <w:sz w:val="20"/>
              </w:rPr>
              <w:t>Other budget lines (specify)</w:t>
            </w:r>
          </w:p>
        </w:tc>
        <w:tc>
          <w:tcPr>
            <w:tcW w:w="653" w:type="pct"/>
            <w:tcBorders>
              <w:bottom w:val="double" w:sz="4" w:space="0" w:color="auto"/>
            </w:tcBorders>
            <w:shd w:val="clear" w:color="auto" w:fill="auto"/>
            <w:vAlign w:val="center"/>
          </w:tcPr>
          <w:p w14:paraId="32080206" w14:textId="77777777" w:rsidR="008911CF" w:rsidRPr="00956203" w:rsidRDefault="008911CF" w:rsidP="00B2088F">
            <w:pPr>
              <w:spacing w:beforeLines="20" w:before="48" w:afterLines="20" w:after="48"/>
              <w:jc w:val="center"/>
              <w:rPr>
                <w:noProof/>
                <w:sz w:val="20"/>
              </w:rPr>
            </w:pPr>
          </w:p>
        </w:tc>
        <w:tc>
          <w:tcPr>
            <w:tcW w:w="660" w:type="pct"/>
            <w:tcBorders>
              <w:bottom w:val="double" w:sz="4" w:space="0" w:color="auto"/>
            </w:tcBorders>
            <w:shd w:val="clear" w:color="auto" w:fill="auto"/>
            <w:vAlign w:val="center"/>
          </w:tcPr>
          <w:p w14:paraId="7842615D" w14:textId="77777777" w:rsidR="008911CF" w:rsidRPr="00956203" w:rsidRDefault="008911CF" w:rsidP="00B2088F">
            <w:pPr>
              <w:spacing w:beforeLines="20" w:before="48" w:afterLines="20" w:after="48"/>
              <w:jc w:val="center"/>
              <w:rPr>
                <w:noProof/>
                <w:sz w:val="20"/>
              </w:rPr>
            </w:pPr>
          </w:p>
        </w:tc>
        <w:tc>
          <w:tcPr>
            <w:tcW w:w="660" w:type="pct"/>
            <w:tcBorders>
              <w:bottom w:val="double" w:sz="4" w:space="0" w:color="auto"/>
            </w:tcBorders>
            <w:shd w:val="clear" w:color="auto" w:fill="auto"/>
            <w:vAlign w:val="center"/>
          </w:tcPr>
          <w:p w14:paraId="259E2E0A" w14:textId="77777777" w:rsidR="008911CF" w:rsidRPr="00956203" w:rsidRDefault="008911CF" w:rsidP="00B2088F">
            <w:pPr>
              <w:spacing w:beforeLines="20" w:before="48" w:afterLines="20" w:after="48"/>
              <w:jc w:val="center"/>
              <w:rPr>
                <w:noProof/>
                <w:sz w:val="20"/>
              </w:rPr>
            </w:pPr>
          </w:p>
        </w:tc>
        <w:tc>
          <w:tcPr>
            <w:tcW w:w="710" w:type="pct"/>
            <w:tcBorders>
              <w:bottom w:val="double" w:sz="4" w:space="0" w:color="auto"/>
            </w:tcBorders>
            <w:shd w:val="clear" w:color="auto" w:fill="auto"/>
            <w:vAlign w:val="center"/>
          </w:tcPr>
          <w:p w14:paraId="4058F5D9" w14:textId="77777777" w:rsidR="008911CF" w:rsidRPr="00956203" w:rsidRDefault="008911CF" w:rsidP="00B2088F">
            <w:pPr>
              <w:spacing w:beforeLines="20" w:before="48" w:afterLines="20" w:after="48"/>
              <w:jc w:val="center"/>
              <w:rPr>
                <w:noProof/>
                <w:sz w:val="20"/>
              </w:rPr>
            </w:pPr>
          </w:p>
        </w:tc>
      </w:tr>
      <w:tr w:rsidR="008911CF" w:rsidRPr="00956203" w14:paraId="2DF0C23A" w14:textId="77777777" w:rsidTr="006A0D14">
        <w:trPr>
          <w:trHeight w:val="289"/>
        </w:trPr>
        <w:tc>
          <w:tcPr>
            <w:tcW w:w="2317" w:type="pct"/>
            <w:gridSpan w:val="2"/>
            <w:tcBorders>
              <w:top w:val="double" w:sz="4" w:space="0" w:color="auto"/>
            </w:tcBorders>
            <w:shd w:val="clear" w:color="auto" w:fill="auto"/>
            <w:vAlign w:val="center"/>
          </w:tcPr>
          <w:p w14:paraId="2703E74A" w14:textId="77777777" w:rsidR="008911CF" w:rsidRPr="00956203" w:rsidRDefault="008911CF" w:rsidP="00B2088F">
            <w:pPr>
              <w:pStyle w:val="Text1"/>
              <w:spacing w:beforeLines="20" w:before="48" w:afterLines="20" w:after="48"/>
              <w:ind w:left="986"/>
              <w:jc w:val="left"/>
              <w:rPr>
                <w:noProof/>
                <w:sz w:val="20"/>
              </w:rPr>
            </w:pPr>
            <w:r w:rsidRPr="00956203">
              <w:rPr>
                <w:b/>
                <w:noProof/>
                <w:sz w:val="20"/>
              </w:rPr>
              <w:t>TOTAL</w:t>
            </w:r>
          </w:p>
        </w:tc>
        <w:tc>
          <w:tcPr>
            <w:tcW w:w="653" w:type="pct"/>
            <w:tcBorders>
              <w:top w:val="double" w:sz="4" w:space="0" w:color="auto"/>
            </w:tcBorders>
            <w:shd w:val="clear" w:color="auto" w:fill="auto"/>
            <w:vAlign w:val="center"/>
          </w:tcPr>
          <w:p w14:paraId="5BCCC205" w14:textId="77777777" w:rsidR="008911CF" w:rsidRPr="00956203" w:rsidRDefault="008911CF" w:rsidP="00B2088F">
            <w:pPr>
              <w:spacing w:beforeLines="20" w:before="48" w:afterLines="20" w:after="48"/>
              <w:jc w:val="center"/>
              <w:rPr>
                <w:b/>
                <w:noProof/>
                <w:sz w:val="20"/>
              </w:rPr>
            </w:pPr>
            <w:r w:rsidRPr="00956203">
              <w:rPr>
                <w:b/>
                <w:noProof/>
                <w:sz w:val="20"/>
              </w:rPr>
              <w:t>2</w:t>
            </w:r>
          </w:p>
        </w:tc>
        <w:tc>
          <w:tcPr>
            <w:tcW w:w="660" w:type="pct"/>
            <w:tcBorders>
              <w:top w:val="double" w:sz="4" w:space="0" w:color="auto"/>
            </w:tcBorders>
            <w:shd w:val="clear" w:color="auto" w:fill="auto"/>
            <w:vAlign w:val="center"/>
          </w:tcPr>
          <w:p w14:paraId="593C263D" w14:textId="77777777" w:rsidR="008911CF" w:rsidRPr="00956203" w:rsidRDefault="008911CF" w:rsidP="00B2088F">
            <w:pPr>
              <w:spacing w:beforeLines="20" w:before="48" w:afterLines="20" w:after="48"/>
              <w:jc w:val="center"/>
              <w:rPr>
                <w:b/>
                <w:noProof/>
                <w:sz w:val="20"/>
              </w:rPr>
            </w:pPr>
            <w:r w:rsidRPr="00956203">
              <w:rPr>
                <w:b/>
                <w:noProof/>
                <w:sz w:val="20"/>
              </w:rPr>
              <w:t>2</w:t>
            </w:r>
          </w:p>
        </w:tc>
        <w:tc>
          <w:tcPr>
            <w:tcW w:w="660" w:type="pct"/>
            <w:tcBorders>
              <w:top w:val="double" w:sz="4" w:space="0" w:color="auto"/>
            </w:tcBorders>
            <w:shd w:val="clear" w:color="auto" w:fill="auto"/>
            <w:vAlign w:val="center"/>
          </w:tcPr>
          <w:p w14:paraId="7393C5A1" w14:textId="77777777" w:rsidR="008911CF" w:rsidRPr="00956203" w:rsidRDefault="008911CF" w:rsidP="00B2088F">
            <w:pPr>
              <w:spacing w:beforeLines="20" w:before="48" w:afterLines="20" w:after="48"/>
              <w:jc w:val="center"/>
              <w:rPr>
                <w:b/>
                <w:noProof/>
                <w:sz w:val="20"/>
              </w:rPr>
            </w:pPr>
            <w:r w:rsidRPr="00956203">
              <w:rPr>
                <w:b/>
                <w:noProof/>
                <w:sz w:val="20"/>
              </w:rPr>
              <w:t>2</w:t>
            </w:r>
          </w:p>
        </w:tc>
        <w:tc>
          <w:tcPr>
            <w:tcW w:w="710" w:type="pct"/>
            <w:tcBorders>
              <w:top w:val="double" w:sz="4" w:space="0" w:color="auto"/>
            </w:tcBorders>
            <w:shd w:val="clear" w:color="auto" w:fill="auto"/>
            <w:vAlign w:val="center"/>
          </w:tcPr>
          <w:p w14:paraId="071198AB" w14:textId="77777777" w:rsidR="008911CF" w:rsidRPr="00956203" w:rsidRDefault="008911CF" w:rsidP="00B2088F">
            <w:pPr>
              <w:spacing w:beforeLines="20" w:before="48" w:afterLines="20" w:after="48"/>
              <w:jc w:val="center"/>
              <w:rPr>
                <w:b/>
                <w:noProof/>
                <w:sz w:val="20"/>
              </w:rPr>
            </w:pPr>
            <w:r w:rsidRPr="00956203">
              <w:rPr>
                <w:b/>
                <w:noProof/>
                <w:sz w:val="20"/>
              </w:rPr>
              <w:t>2</w:t>
            </w:r>
          </w:p>
        </w:tc>
      </w:tr>
    </w:tbl>
    <w:p w14:paraId="0857EA2A" w14:textId="77777777" w:rsidR="00D42205" w:rsidRPr="00956203" w:rsidRDefault="00D42205" w:rsidP="00D42205">
      <w:pPr>
        <w:pStyle w:val="Text1"/>
        <w:rPr>
          <w:noProof/>
          <w:sz w:val="22"/>
        </w:rPr>
      </w:pPr>
      <w:r w:rsidRPr="00956203">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2FBEFE7D" w14:textId="77777777" w:rsidR="00D42205" w:rsidRDefault="00D42205" w:rsidP="00ED2926">
      <w:pPr>
        <w:pStyle w:val="Text1"/>
        <w:rPr>
          <w:noProof/>
          <w:sz w:val="18"/>
        </w:rPr>
      </w:pPr>
    </w:p>
    <w:p w14:paraId="4D35C1D9" w14:textId="77777777" w:rsidR="00D42205" w:rsidRDefault="00D42205" w:rsidP="00ED2926">
      <w:pPr>
        <w:pStyle w:val="Text1"/>
        <w:rPr>
          <w:noProof/>
          <w:sz w:val="18"/>
          <w:szCs w:val="18"/>
        </w:rPr>
      </w:pPr>
    </w:p>
    <w:p w14:paraId="225A83C4" w14:textId="77777777" w:rsidR="00D42205" w:rsidRPr="00D42205" w:rsidRDefault="00436363" w:rsidP="00ED2926">
      <w:pPr>
        <w:rPr>
          <w:noProof/>
          <w:sz w:val="20"/>
          <w:u w:val="single"/>
        </w:rPr>
      </w:pPr>
      <w:r w:rsidRPr="00D42205">
        <w:rPr>
          <w:noProof/>
          <w:sz w:val="20"/>
          <w:u w:val="single"/>
        </w:rPr>
        <w:t>Descript</w:t>
      </w:r>
      <w:r w:rsidR="00D42205">
        <w:rPr>
          <w:noProof/>
          <w:sz w:val="20"/>
          <w:u w:val="single"/>
        </w:rPr>
        <w: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42205" w:rsidRPr="00956203" w14:paraId="1585DBDC" w14:textId="77777777" w:rsidTr="00B2088F">
        <w:tc>
          <w:tcPr>
            <w:tcW w:w="3240" w:type="dxa"/>
          </w:tcPr>
          <w:p w14:paraId="057DB931" w14:textId="77777777" w:rsidR="00D42205" w:rsidRPr="00956203" w:rsidRDefault="00D42205" w:rsidP="00B2088F">
            <w:pPr>
              <w:rPr>
                <w:noProof/>
                <w:sz w:val="20"/>
              </w:rPr>
            </w:pPr>
            <w:r w:rsidRPr="00956203">
              <w:rPr>
                <w:noProof/>
                <w:sz w:val="20"/>
              </w:rPr>
              <w:t>Officials and temporary staff</w:t>
            </w:r>
          </w:p>
        </w:tc>
        <w:tc>
          <w:tcPr>
            <w:tcW w:w="7200" w:type="dxa"/>
          </w:tcPr>
          <w:p w14:paraId="43364F1D" w14:textId="77777777" w:rsidR="00D42205" w:rsidRPr="00956203" w:rsidRDefault="00D42205" w:rsidP="00B2088F">
            <w:pPr>
              <w:rPr>
                <w:noProof/>
                <w:sz w:val="20"/>
              </w:rPr>
            </w:pPr>
            <w:r w:rsidRPr="00956203">
              <w:rPr>
                <w:noProof/>
                <w:sz w:val="20"/>
              </w:rPr>
              <w:t>Represent the Commission in the ExecutiveBoard of the Agency. Draw up commission opinion on the annual work programme and monitor its implementation. Monitor implementation of the budget. Assist the Agency in developing its activities in line with EU policies, including by participating in experts meetings.</w:t>
            </w:r>
          </w:p>
        </w:tc>
      </w:tr>
      <w:tr w:rsidR="00D42205" w:rsidRPr="00956203" w14:paraId="4841ECB9" w14:textId="77777777" w:rsidTr="00B2088F">
        <w:tc>
          <w:tcPr>
            <w:tcW w:w="3240" w:type="dxa"/>
          </w:tcPr>
          <w:p w14:paraId="4B5055F9" w14:textId="77777777" w:rsidR="00D42205" w:rsidRPr="00956203" w:rsidRDefault="00D42205" w:rsidP="00B2088F">
            <w:pPr>
              <w:spacing w:before="60" w:after="60"/>
              <w:rPr>
                <w:noProof/>
                <w:sz w:val="20"/>
              </w:rPr>
            </w:pPr>
            <w:r w:rsidRPr="00956203">
              <w:rPr>
                <w:noProof/>
                <w:sz w:val="20"/>
              </w:rPr>
              <w:t>External staff</w:t>
            </w:r>
          </w:p>
        </w:tc>
        <w:tc>
          <w:tcPr>
            <w:tcW w:w="7200" w:type="dxa"/>
          </w:tcPr>
          <w:p w14:paraId="63FEFD22" w14:textId="77777777" w:rsidR="00D42205" w:rsidRPr="00956203" w:rsidRDefault="00D42205" w:rsidP="00B2088F">
            <w:pPr>
              <w:rPr>
                <w:noProof/>
                <w:sz w:val="20"/>
              </w:rPr>
            </w:pPr>
            <w:r w:rsidRPr="00956203">
              <w:rPr>
                <w:noProof/>
                <w:sz w:val="20"/>
              </w:rPr>
              <w:t>One SNE will support the officials and temporary staff in the above tasks and assist the Agency in developing its activities in line with EU policies, including by participating in experts meetings</w:t>
            </w:r>
          </w:p>
        </w:tc>
      </w:tr>
    </w:tbl>
    <w:p w14:paraId="24235A36" w14:textId="77777777" w:rsidR="00D42205" w:rsidRPr="00956203" w:rsidRDefault="00D42205" w:rsidP="00D42205">
      <w:pPr>
        <w:rPr>
          <w:noProof/>
        </w:rPr>
      </w:pPr>
    </w:p>
    <w:p w14:paraId="7B489DC2" w14:textId="77777777" w:rsidR="00D42205" w:rsidRDefault="00D42205" w:rsidP="00D42205">
      <w:pPr>
        <w:rPr>
          <w:noProof/>
        </w:rPr>
      </w:pPr>
      <w:r w:rsidRPr="00956203">
        <w:rPr>
          <w:noProof/>
        </w:rPr>
        <w:t>Description of the calculation of cost for FTE units should be included in the</w:t>
      </w:r>
      <w:r>
        <w:rPr>
          <w:noProof/>
        </w:rPr>
        <w:t xml:space="preserve"> Annex V, section 3. </w:t>
      </w:r>
    </w:p>
    <w:p w14:paraId="2BD91B02" w14:textId="77777777" w:rsidR="00D42205" w:rsidRDefault="00D42205" w:rsidP="00ED2926">
      <w:pPr>
        <w:rPr>
          <w:noProof/>
        </w:rPr>
        <w:sectPr w:rsidR="00D42205" w:rsidSect="00A618F2">
          <w:pgSz w:w="11907" w:h="16840"/>
          <w:pgMar w:top="1134" w:right="1418" w:bottom="1134" w:left="1418" w:header="709" w:footer="709" w:gutter="0"/>
          <w:cols w:space="708"/>
          <w:docGrid w:linePitch="360"/>
        </w:sectPr>
      </w:pPr>
    </w:p>
    <w:p w14:paraId="42EDD532" w14:textId="68968CFC" w:rsidR="00D42205" w:rsidRPr="00D42205" w:rsidRDefault="00306677" w:rsidP="00306677">
      <w:pPr>
        <w:pStyle w:val="ManualHeading3"/>
        <w:rPr>
          <w:noProof/>
        </w:rPr>
      </w:pPr>
      <w:bookmarkStart w:id="125" w:name="_Toc514938056"/>
      <w:bookmarkStart w:id="126" w:name="_Toc520485055"/>
      <w:bookmarkStart w:id="127" w:name="_Toc84517602"/>
      <w:r w:rsidRPr="00306677">
        <w:t>3.2.4.</w:t>
      </w:r>
      <w:r w:rsidRPr="00306677">
        <w:tab/>
      </w:r>
      <w:r w:rsidR="00436363">
        <w:rPr>
          <w:noProof/>
        </w:rPr>
        <w:t>Compatibility with the current multiannual financial framework</w:t>
      </w:r>
      <w:bookmarkEnd w:id="125"/>
      <w:bookmarkEnd w:id="126"/>
      <w:bookmarkEnd w:id="127"/>
      <w:r w:rsidR="00436363">
        <w:rPr>
          <w:noProof/>
        </w:rPr>
        <w:t xml:space="preserve"> </w:t>
      </w:r>
      <w:bookmarkStart w:id="128" w:name="_Toc514938058"/>
      <w:bookmarkStart w:id="129" w:name="_Toc520485056"/>
    </w:p>
    <w:p w14:paraId="5CA68DD8" w14:textId="0D33D949" w:rsidR="006E524A" w:rsidRDefault="006E524A" w:rsidP="006E524A">
      <w:pPr>
        <w:pStyle w:val="Text1"/>
        <w:rPr>
          <w:noProof/>
          <w:lang w:eastAsia="en-GB"/>
        </w:rPr>
      </w:pPr>
      <w:r>
        <w:rPr>
          <w:noProof/>
        </w:rPr>
        <w:t>The proposal/initiative:</w:t>
      </w:r>
    </w:p>
    <w:p w14:paraId="7C9C6C36" w14:textId="77777777" w:rsidR="006E524A" w:rsidRDefault="006E524A" w:rsidP="00221FF8">
      <w:pPr>
        <w:pStyle w:val="ListDash1"/>
        <w:numPr>
          <w:ilvl w:val="0"/>
          <w:numId w:val="30"/>
        </w:numPr>
        <w:rPr>
          <w:noProof/>
          <w:lang w:eastAsia="en-US"/>
        </w:rPr>
      </w:pPr>
      <w:r>
        <w:rPr>
          <w:rFonts w:ascii="Wingdings" w:hAnsi="Wingdings"/>
          <w:noProof/>
        </w:rPr>
        <w:t></w:t>
      </w:r>
      <w:r>
        <w:rPr>
          <w:noProof/>
        </w:rPr>
        <w:t xml:space="preserve"> can be fully financed through redeployment within the relevant heading of the Multiannual Financial Framework (MFF).</w:t>
      </w:r>
    </w:p>
    <w:p w14:paraId="17F03E2B" w14:textId="77777777" w:rsidR="006E524A" w:rsidRDefault="006E524A" w:rsidP="006E524A">
      <w:pPr>
        <w:pStyle w:val="Text1"/>
        <w:rPr>
          <w:noProof/>
          <w:sz w:val="20"/>
          <w:szCs w:val="20"/>
        </w:rPr>
      </w:pPr>
      <w:r>
        <w:rPr>
          <w:noProof/>
          <w:sz w:val="20"/>
          <w:szCs w:val="20"/>
        </w:rPr>
        <w:t>Explain what reprogramming is required, specifying the budget lines concerned and the corresponding amounts.</w:t>
      </w:r>
      <w:r w:rsidRPr="7CC317AF">
        <w:rPr>
          <w:noProof/>
        </w:rPr>
        <w:t xml:space="preserve"> </w:t>
      </w:r>
      <w:r>
        <w:rPr>
          <w:noProof/>
          <w:sz w:val="20"/>
          <w:szCs w:val="20"/>
        </w:rPr>
        <w:t>Please provide an excel table in the case of major reprogramming.</w:t>
      </w:r>
    </w:p>
    <w:p w14:paraId="768DB67C" w14:textId="3A325AEF" w:rsidR="006E524A" w:rsidRDefault="006E524A" w:rsidP="00221FF8">
      <w:pPr>
        <w:pStyle w:val="ListDash1"/>
        <w:numPr>
          <w:ilvl w:val="0"/>
          <w:numId w:val="30"/>
        </w:numPr>
        <w:rPr>
          <w:noProof/>
        </w:rPr>
      </w:pPr>
      <w:r>
        <w:rPr>
          <w:noProof/>
        </w:rPr>
        <w:sym w:font="Wingdings" w:char="F0FE"/>
      </w:r>
      <w:r>
        <w:rPr>
          <w:rFonts w:ascii="Wingdings" w:hAnsi="Wingdings"/>
          <w:noProof/>
        </w:rPr>
        <w:t></w:t>
      </w:r>
      <w:r>
        <w:rPr>
          <w:noProof/>
        </w:rPr>
        <w:t>requires use of the unallocated margin under the relevant heading of the MFF and/or use of the special instruments as defined in the MFF Regulation.</w:t>
      </w:r>
    </w:p>
    <w:p w14:paraId="359E9C19" w14:textId="77777777" w:rsidR="006E524A" w:rsidRDefault="006E524A" w:rsidP="006E524A">
      <w:pPr>
        <w:pStyle w:val="Text1"/>
        <w:rPr>
          <w:noProof/>
          <w:sz w:val="20"/>
          <w:szCs w:val="20"/>
        </w:rPr>
      </w:pPr>
      <w:r>
        <w:rPr>
          <w:noProof/>
          <w:sz w:val="20"/>
          <w:szCs w:val="20"/>
        </w:rPr>
        <w:t>Explain what is required, specifying the headings and budget lines concerned, the corresponding amounts, and the instruments proposed to be used.</w:t>
      </w:r>
    </w:p>
    <w:p w14:paraId="2E67F7D7" w14:textId="1161DB37" w:rsidR="00D42205" w:rsidRDefault="006E524A" w:rsidP="00D42205">
      <w:pPr>
        <w:pStyle w:val="Text1"/>
        <w:pBdr>
          <w:top w:val="single" w:sz="4" w:space="1" w:color="auto"/>
          <w:left w:val="single" w:sz="4" w:space="4" w:color="auto"/>
          <w:bottom w:val="single" w:sz="4" w:space="1" w:color="auto"/>
          <w:right w:val="single" w:sz="4" w:space="4" w:color="auto"/>
        </w:pBdr>
        <w:rPr>
          <w:noProof/>
        </w:rPr>
      </w:pPr>
      <w:r w:rsidRPr="00EC27A1">
        <w:rPr>
          <w:noProof/>
        </w:rPr>
        <w:t xml:space="preserve">The proposal requires use of the unallocated margin under the heading 2b of the MFF as follow: on BL 07.1007 – Eurojust – in 2024 – EUR </w:t>
      </w:r>
      <w:r w:rsidR="00EC27A1" w:rsidRPr="00EC27A1">
        <w:rPr>
          <w:noProof/>
        </w:rPr>
        <w:t>2,158</w:t>
      </w:r>
      <w:r w:rsidRPr="00EC27A1">
        <w:rPr>
          <w:noProof/>
        </w:rPr>
        <w:t xml:space="preserve"> million, in 2025 </w:t>
      </w:r>
      <w:r w:rsidR="00560246" w:rsidRPr="00EC27A1">
        <w:rPr>
          <w:noProof/>
        </w:rPr>
        <w:t xml:space="preserve">EUR </w:t>
      </w:r>
      <w:r w:rsidR="00EC27A1" w:rsidRPr="00EC27A1">
        <w:rPr>
          <w:noProof/>
        </w:rPr>
        <w:t>10,811</w:t>
      </w:r>
      <w:r w:rsidRPr="00EC27A1">
        <w:rPr>
          <w:noProof/>
        </w:rPr>
        <w:t xml:space="preserve"> million, in 2026 – EUR </w:t>
      </w:r>
      <w:r w:rsidR="00EC27A1" w:rsidRPr="00EC27A1">
        <w:rPr>
          <w:noProof/>
        </w:rPr>
        <w:t>10,403</w:t>
      </w:r>
      <w:r w:rsidRPr="00EC27A1">
        <w:rPr>
          <w:noProof/>
        </w:rPr>
        <w:t xml:space="preserve"> million and in 2027 EUR </w:t>
      </w:r>
      <w:r w:rsidR="00EC27A1" w:rsidRPr="00EC27A1">
        <w:rPr>
          <w:noProof/>
        </w:rPr>
        <w:t>9,371</w:t>
      </w:r>
      <w:r w:rsidRPr="00EC27A1">
        <w:rPr>
          <w:noProof/>
        </w:rPr>
        <w:t xml:space="preserve"> million.</w:t>
      </w:r>
    </w:p>
    <w:p w14:paraId="1D494286" w14:textId="77777777" w:rsidR="00D42205" w:rsidRPr="00D42205" w:rsidRDefault="00D42205" w:rsidP="00D42205">
      <w:pPr>
        <w:pStyle w:val="Text1"/>
        <w:rPr>
          <w:noProof/>
        </w:rPr>
      </w:pPr>
    </w:p>
    <w:p w14:paraId="1E89C3F5" w14:textId="44B1805F" w:rsidR="00436363" w:rsidRDefault="00306677" w:rsidP="00306677">
      <w:pPr>
        <w:pStyle w:val="ManualHeading3"/>
        <w:rPr>
          <w:bCs/>
          <w:noProof/>
          <w:szCs w:val="24"/>
        </w:rPr>
      </w:pPr>
      <w:bookmarkStart w:id="130" w:name="_Toc84517603"/>
      <w:r w:rsidRPr="00306677">
        <w:t>3.2.5.</w:t>
      </w:r>
      <w:r w:rsidRPr="00306677">
        <w:tab/>
      </w:r>
      <w:r w:rsidR="00436363">
        <w:rPr>
          <w:noProof/>
        </w:rPr>
        <w:t>Third-party contributions</w:t>
      </w:r>
      <w:bookmarkEnd w:id="128"/>
      <w:bookmarkEnd w:id="129"/>
      <w:bookmarkEnd w:id="130"/>
      <w:r w:rsidR="00436363">
        <w:rPr>
          <w:noProof/>
        </w:rPr>
        <w:t xml:space="preserve"> </w:t>
      </w:r>
    </w:p>
    <w:p w14:paraId="262F471A" w14:textId="77777777" w:rsidR="00436363" w:rsidRPr="00386FF5" w:rsidRDefault="00436363" w:rsidP="00ED2926">
      <w:pPr>
        <w:pStyle w:val="Text1"/>
        <w:rPr>
          <w:noProof/>
        </w:rPr>
      </w:pPr>
      <w:r w:rsidRPr="007974DD">
        <w:rPr>
          <w:noProof/>
        </w:rPr>
        <w:t>The proposal/initiative:</w:t>
      </w:r>
    </w:p>
    <w:p w14:paraId="7EC773A7" w14:textId="77777777" w:rsidR="00B50AC3" w:rsidRDefault="00B50AC3" w:rsidP="00B50AC3">
      <w:pPr>
        <w:pStyle w:val="ListDash1"/>
        <w:rPr>
          <w:noProof/>
        </w:rPr>
      </w:pPr>
      <w:r w:rsidRPr="00DC7AD3">
        <w:rPr>
          <w:noProof/>
        </w:rPr>
        <w:sym w:font="Wingdings" w:char="F0FE"/>
      </w:r>
      <w:r>
        <w:rPr>
          <w:noProof/>
        </w:rPr>
        <w:t xml:space="preserve">The proposal/initiative does not provide for co-financing by third parties. </w:t>
      </w:r>
    </w:p>
    <w:p w14:paraId="44ACCB3F" w14:textId="77777777" w:rsidR="00B50AC3" w:rsidRDefault="00B50AC3" w:rsidP="00B50AC3">
      <w:pPr>
        <w:pStyle w:val="ListDash1"/>
        <w:rPr>
          <w:noProof/>
        </w:rPr>
      </w:pPr>
      <w:r>
        <w:rPr>
          <w:noProof/>
        </w:rPr>
        <w:t>The proposal/initiative provides for the co-financing estimated below:</w:t>
      </w:r>
    </w:p>
    <w:p w14:paraId="364059CB" w14:textId="77777777" w:rsidR="00B50AC3" w:rsidRPr="00B50AC3" w:rsidRDefault="00B50AC3" w:rsidP="00B50AC3">
      <w:pPr>
        <w:jc w:val="right"/>
        <w:rPr>
          <w:noProof/>
          <w:sz w:val="20"/>
          <w:lang w:eastAsia="en-GB"/>
        </w:rPr>
      </w:pPr>
      <w:r w:rsidRPr="00B50AC3">
        <w:rPr>
          <w:noProof/>
          <w:sz w:val="20"/>
          <w:lang w:eastAsia="en-GB"/>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0AC3" w14:paraId="5EE9DD7E" w14:textId="77777777" w:rsidTr="00B2088F">
        <w:trPr>
          <w:cantSplit/>
        </w:trPr>
        <w:tc>
          <w:tcPr>
            <w:tcW w:w="2340" w:type="dxa"/>
          </w:tcPr>
          <w:p w14:paraId="5DC181DB" w14:textId="77777777" w:rsidR="00B50AC3" w:rsidRDefault="00B50AC3" w:rsidP="00B2088F">
            <w:pPr>
              <w:spacing w:before="60" w:after="60"/>
              <w:rPr>
                <w:noProof/>
                <w:sz w:val="20"/>
              </w:rPr>
            </w:pPr>
          </w:p>
        </w:tc>
        <w:tc>
          <w:tcPr>
            <w:tcW w:w="964" w:type="dxa"/>
            <w:vAlign w:val="center"/>
          </w:tcPr>
          <w:p w14:paraId="639FA8D7" w14:textId="77777777" w:rsidR="00B50AC3" w:rsidRDefault="00B50AC3" w:rsidP="00B2088F">
            <w:pPr>
              <w:jc w:val="center"/>
              <w:rPr>
                <w:noProof/>
                <w:sz w:val="20"/>
              </w:rPr>
            </w:pPr>
            <w:r>
              <w:rPr>
                <w:noProof/>
                <w:sz w:val="20"/>
              </w:rPr>
              <w:t>Year</w:t>
            </w:r>
            <w:r>
              <w:rPr>
                <w:noProof/>
                <w:sz w:val="22"/>
              </w:rPr>
              <w:br/>
            </w:r>
            <w:r>
              <w:rPr>
                <w:b/>
                <w:noProof/>
                <w:sz w:val="20"/>
              </w:rPr>
              <w:t>N</w:t>
            </w:r>
          </w:p>
        </w:tc>
        <w:tc>
          <w:tcPr>
            <w:tcW w:w="964" w:type="dxa"/>
            <w:vAlign w:val="center"/>
          </w:tcPr>
          <w:p w14:paraId="7F1D2ABA" w14:textId="77777777" w:rsidR="00B50AC3" w:rsidRDefault="00B50AC3" w:rsidP="00B2088F">
            <w:pPr>
              <w:jc w:val="center"/>
              <w:rPr>
                <w:noProof/>
                <w:sz w:val="20"/>
              </w:rPr>
            </w:pPr>
            <w:r>
              <w:rPr>
                <w:noProof/>
                <w:sz w:val="20"/>
              </w:rPr>
              <w:t>Year</w:t>
            </w:r>
            <w:r>
              <w:rPr>
                <w:noProof/>
                <w:sz w:val="22"/>
              </w:rPr>
              <w:br/>
            </w:r>
            <w:r>
              <w:rPr>
                <w:b/>
                <w:noProof/>
                <w:sz w:val="20"/>
              </w:rPr>
              <w:t>N+1</w:t>
            </w:r>
          </w:p>
        </w:tc>
        <w:tc>
          <w:tcPr>
            <w:tcW w:w="964" w:type="dxa"/>
            <w:vAlign w:val="center"/>
          </w:tcPr>
          <w:p w14:paraId="1CFD0D9F" w14:textId="77777777" w:rsidR="00B50AC3" w:rsidRDefault="00B50AC3" w:rsidP="00B2088F">
            <w:pPr>
              <w:jc w:val="center"/>
              <w:rPr>
                <w:noProof/>
                <w:sz w:val="20"/>
              </w:rPr>
            </w:pPr>
            <w:r>
              <w:rPr>
                <w:noProof/>
                <w:sz w:val="20"/>
              </w:rPr>
              <w:t>Year</w:t>
            </w:r>
            <w:r>
              <w:rPr>
                <w:noProof/>
                <w:sz w:val="22"/>
              </w:rPr>
              <w:br/>
            </w:r>
            <w:r>
              <w:rPr>
                <w:b/>
                <w:noProof/>
                <w:sz w:val="20"/>
              </w:rPr>
              <w:t>N+2</w:t>
            </w:r>
          </w:p>
        </w:tc>
        <w:tc>
          <w:tcPr>
            <w:tcW w:w="964" w:type="dxa"/>
            <w:vAlign w:val="center"/>
          </w:tcPr>
          <w:p w14:paraId="33003D8B" w14:textId="77777777" w:rsidR="00B50AC3" w:rsidRDefault="00B50AC3" w:rsidP="00B2088F">
            <w:pPr>
              <w:jc w:val="center"/>
              <w:rPr>
                <w:noProof/>
                <w:sz w:val="20"/>
              </w:rPr>
            </w:pPr>
            <w:r>
              <w:rPr>
                <w:noProof/>
                <w:sz w:val="20"/>
              </w:rPr>
              <w:t>Year</w:t>
            </w:r>
            <w:r>
              <w:rPr>
                <w:noProof/>
                <w:sz w:val="22"/>
              </w:rPr>
              <w:br/>
            </w:r>
            <w:r>
              <w:rPr>
                <w:b/>
                <w:noProof/>
                <w:sz w:val="20"/>
              </w:rPr>
              <w:t>N+3</w:t>
            </w:r>
          </w:p>
        </w:tc>
        <w:tc>
          <w:tcPr>
            <w:tcW w:w="2892" w:type="dxa"/>
            <w:gridSpan w:val="3"/>
            <w:vAlign w:val="center"/>
          </w:tcPr>
          <w:p w14:paraId="2B45BA7D" w14:textId="77777777" w:rsidR="00B50AC3" w:rsidRDefault="00B50AC3" w:rsidP="00B2088F">
            <w:pPr>
              <w:jc w:val="center"/>
              <w:rPr>
                <w:b/>
                <w:noProof/>
                <w:sz w:val="20"/>
              </w:rPr>
            </w:pPr>
            <w:r>
              <w:rPr>
                <w:noProof/>
                <w:sz w:val="20"/>
              </w:rPr>
              <w:t>Enter as many years as necessary to show the duration of the impact (see point 1.6)</w:t>
            </w:r>
          </w:p>
        </w:tc>
        <w:tc>
          <w:tcPr>
            <w:tcW w:w="1158" w:type="dxa"/>
            <w:vAlign w:val="center"/>
          </w:tcPr>
          <w:p w14:paraId="2D1021B5" w14:textId="77777777" w:rsidR="00B50AC3" w:rsidRDefault="00B50AC3" w:rsidP="00B2088F">
            <w:pPr>
              <w:spacing w:before="60" w:after="60"/>
              <w:jc w:val="center"/>
              <w:rPr>
                <w:noProof/>
                <w:sz w:val="20"/>
              </w:rPr>
            </w:pPr>
            <w:r>
              <w:rPr>
                <w:noProof/>
                <w:sz w:val="20"/>
              </w:rPr>
              <w:t>Total</w:t>
            </w:r>
          </w:p>
        </w:tc>
      </w:tr>
      <w:tr w:rsidR="00B50AC3" w14:paraId="6ACC11EC" w14:textId="77777777" w:rsidTr="00B2088F">
        <w:trPr>
          <w:cantSplit/>
        </w:trPr>
        <w:tc>
          <w:tcPr>
            <w:tcW w:w="2340" w:type="dxa"/>
          </w:tcPr>
          <w:p w14:paraId="4CE30237" w14:textId="77777777" w:rsidR="00B50AC3" w:rsidRDefault="00B50AC3" w:rsidP="00B2088F">
            <w:pPr>
              <w:rPr>
                <w:noProof/>
              </w:rPr>
            </w:pPr>
            <w:r>
              <w:rPr>
                <w:noProof/>
                <w:sz w:val="20"/>
              </w:rPr>
              <w:t>Specify the co-financing body</w:t>
            </w:r>
            <w:r>
              <w:rPr>
                <w:i/>
                <w:noProof/>
                <w:sz w:val="20"/>
              </w:rPr>
              <w:t xml:space="preserve"> </w:t>
            </w:r>
          </w:p>
        </w:tc>
        <w:tc>
          <w:tcPr>
            <w:tcW w:w="964" w:type="dxa"/>
            <w:vAlign w:val="center"/>
          </w:tcPr>
          <w:p w14:paraId="3BD8D0D9" w14:textId="77777777" w:rsidR="00B50AC3" w:rsidRDefault="00B50AC3" w:rsidP="00B2088F">
            <w:pPr>
              <w:spacing w:before="60" w:after="60"/>
              <w:jc w:val="center"/>
              <w:rPr>
                <w:noProof/>
                <w:sz w:val="20"/>
              </w:rPr>
            </w:pPr>
          </w:p>
        </w:tc>
        <w:tc>
          <w:tcPr>
            <w:tcW w:w="964" w:type="dxa"/>
            <w:vAlign w:val="center"/>
          </w:tcPr>
          <w:p w14:paraId="07D0D8A5" w14:textId="77777777" w:rsidR="00B50AC3" w:rsidRDefault="00B50AC3" w:rsidP="00B2088F">
            <w:pPr>
              <w:spacing w:before="60" w:after="60"/>
              <w:jc w:val="center"/>
              <w:rPr>
                <w:noProof/>
                <w:sz w:val="20"/>
              </w:rPr>
            </w:pPr>
          </w:p>
        </w:tc>
        <w:tc>
          <w:tcPr>
            <w:tcW w:w="964" w:type="dxa"/>
            <w:vAlign w:val="center"/>
          </w:tcPr>
          <w:p w14:paraId="7213F42D" w14:textId="77777777" w:rsidR="00B50AC3" w:rsidRDefault="00B50AC3" w:rsidP="00B2088F">
            <w:pPr>
              <w:spacing w:before="60" w:after="60"/>
              <w:jc w:val="center"/>
              <w:rPr>
                <w:noProof/>
                <w:sz w:val="20"/>
              </w:rPr>
            </w:pPr>
          </w:p>
        </w:tc>
        <w:tc>
          <w:tcPr>
            <w:tcW w:w="964" w:type="dxa"/>
            <w:vAlign w:val="center"/>
          </w:tcPr>
          <w:p w14:paraId="028B5212" w14:textId="77777777" w:rsidR="00B50AC3" w:rsidRDefault="00B50AC3" w:rsidP="00B2088F">
            <w:pPr>
              <w:spacing w:before="60" w:after="60"/>
              <w:jc w:val="center"/>
              <w:rPr>
                <w:noProof/>
                <w:sz w:val="20"/>
              </w:rPr>
            </w:pPr>
          </w:p>
        </w:tc>
        <w:tc>
          <w:tcPr>
            <w:tcW w:w="964" w:type="dxa"/>
            <w:vAlign w:val="center"/>
          </w:tcPr>
          <w:p w14:paraId="35D8296C" w14:textId="77777777" w:rsidR="00B50AC3" w:rsidRDefault="00B50AC3" w:rsidP="00B2088F">
            <w:pPr>
              <w:spacing w:before="60" w:after="60"/>
              <w:jc w:val="center"/>
              <w:rPr>
                <w:noProof/>
                <w:sz w:val="20"/>
              </w:rPr>
            </w:pPr>
          </w:p>
        </w:tc>
        <w:tc>
          <w:tcPr>
            <w:tcW w:w="964" w:type="dxa"/>
            <w:vAlign w:val="center"/>
          </w:tcPr>
          <w:p w14:paraId="40B9E682" w14:textId="77777777" w:rsidR="00B50AC3" w:rsidRDefault="00B50AC3" w:rsidP="00B2088F">
            <w:pPr>
              <w:spacing w:before="60" w:after="60"/>
              <w:jc w:val="center"/>
              <w:rPr>
                <w:noProof/>
                <w:sz w:val="20"/>
              </w:rPr>
            </w:pPr>
          </w:p>
        </w:tc>
        <w:tc>
          <w:tcPr>
            <w:tcW w:w="964" w:type="dxa"/>
            <w:vAlign w:val="center"/>
          </w:tcPr>
          <w:p w14:paraId="36CCE4A4" w14:textId="77777777" w:rsidR="00B50AC3" w:rsidRDefault="00B50AC3" w:rsidP="00B2088F">
            <w:pPr>
              <w:spacing w:before="60" w:after="60"/>
              <w:jc w:val="center"/>
              <w:rPr>
                <w:noProof/>
                <w:sz w:val="20"/>
              </w:rPr>
            </w:pPr>
          </w:p>
        </w:tc>
        <w:tc>
          <w:tcPr>
            <w:tcW w:w="1158" w:type="dxa"/>
            <w:vAlign w:val="center"/>
          </w:tcPr>
          <w:p w14:paraId="6D6C3221" w14:textId="77777777" w:rsidR="00B50AC3" w:rsidRDefault="00B50AC3" w:rsidP="00B2088F">
            <w:pPr>
              <w:spacing w:before="60" w:after="60"/>
              <w:jc w:val="center"/>
              <w:rPr>
                <w:noProof/>
                <w:sz w:val="20"/>
              </w:rPr>
            </w:pPr>
          </w:p>
        </w:tc>
      </w:tr>
      <w:tr w:rsidR="00B50AC3" w14:paraId="05B18121" w14:textId="77777777" w:rsidTr="00B2088F">
        <w:trPr>
          <w:cantSplit/>
        </w:trPr>
        <w:tc>
          <w:tcPr>
            <w:tcW w:w="2340" w:type="dxa"/>
          </w:tcPr>
          <w:p w14:paraId="31D88757" w14:textId="77777777" w:rsidR="00B50AC3" w:rsidRDefault="00B50AC3" w:rsidP="00B2088F">
            <w:pPr>
              <w:spacing w:before="60" w:after="60"/>
              <w:rPr>
                <w:noProof/>
                <w:sz w:val="20"/>
              </w:rPr>
            </w:pPr>
            <w:r>
              <w:rPr>
                <w:noProof/>
                <w:sz w:val="20"/>
              </w:rPr>
              <w:t xml:space="preserve">TOTAL appropriations co-financed </w:t>
            </w:r>
          </w:p>
        </w:tc>
        <w:tc>
          <w:tcPr>
            <w:tcW w:w="964" w:type="dxa"/>
            <w:vAlign w:val="center"/>
          </w:tcPr>
          <w:p w14:paraId="5ACCF124" w14:textId="77777777" w:rsidR="00B50AC3" w:rsidRDefault="00B50AC3" w:rsidP="00B2088F">
            <w:pPr>
              <w:spacing w:before="60" w:after="60"/>
              <w:jc w:val="center"/>
              <w:rPr>
                <w:noProof/>
                <w:sz w:val="20"/>
              </w:rPr>
            </w:pPr>
          </w:p>
        </w:tc>
        <w:tc>
          <w:tcPr>
            <w:tcW w:w="964" w:type="dxa"/>
            <w:vAlign w:val="center"/>
          </w:tcPr>
          <w:p w14:paraId="034BD86F" w14:textId="77777777" w:rsidR="00B50AC3" w:rsidRDefault="00B50AC3" w:rsidP="00B2088F">
            <w:pPr>
              <w:spacing w:before="60" w:after="60"/>
              <w:jc w:val="center"/>
              <w:rPr>
                <w:noProof/>
                <w:sz w:val="20"/>
              </w:rPr>
            </w:pPr>
          </w:p>
        </w:tc>
        <w:tc>
          <w:tcPr>
            <w:tcW w:w="964" w:type="dxa"/>
            <w:vAlign w:val="center"/>
          </w:tcPr>
          <w:p w14:paraId="0FBAD273" w14:textId="77777777" w:rsidR="00B50AC3" w:rsidRDefault="00B50AC3" w:rsidP="00B2088F">
            <w:pPr>
              <w:spacing w:before="60" w:after="60"/>
              <w:jc w:val="center"/>
              <w:rPr>
                <w:noProof/>
                <w:sz w:val="20"/>
              </w:rPr>
            </w:pPr>
          </w:p>
        </w:tc>
        <w:tc>
          <w:tcPr>
            <w:tcW w:w="964" w:type="dxa"/>
            <w:vAlign w:val="center"/>
          </w:tcPr>
          <w:p w14:paraId="0D283B22" w14:textId="77777777" w:rsidR="00B50AC3" w:rsidRDefault="00B50AC3" w:rsidP="00B2088F">
            <w:pPr>
              <w:spacing w:before="60" w:after="60"/>
              <w:jc w:val="center"/>
              <w:rPr>
                <w:noProof/>
                <w:sz w:val="20"/>
              </w:rPr>
            </w:pPr>
          </w:p>
        </w:tc>
        <w:tc>
          <w:tcPr>
            <w:tcW w:w="964" w:type="dxa"/>
            <w:vAlign w:val="center"/>
          </w:tcPr>
          <w:p w14:paraId="5B71380E" w14:textId="77777777" w:rsidR="00B50AC3" w:rsidRDefault="00B50AC3" w:rsidP="00B2088F">
            <w:pPr>
              <w:spacing w:before="60" w:after="60"/>
              <w:jc w:val="center"/>
              <w:rPr>
                <w:noProof/>
                <w:sz w:val="20"/>
              </w:rPr>
            </w:pPr>
          </w:p>
        </w:tc>
        <w:tc>
          <w:tcPr>
            <w:tcW w:w="964" w:type="dxa"/>
            <w:vAlign w:val="center"/>
          </w:tcPr>
          <w:p w14:paraId="21804D7A" w14:textId="77777777" w:rsidR="00B50AC3" w:rsidRDefault="00B50AC3" w:rsidP="00B2088F">
            <w:pPr>
              <w:spacing w:before="60" w:after="60"/>
              <w:jc w:val="center"/>
              <w:rPr>
                <w:noProof/>
                <w:sz w:val="20"/>
              </w:rPr>
            </w:pPr>
          </w:p>
        </w:tc>
        <w:tc>
          <w:tcPr>
            <w:tcW w:w="964" w:type="dxa"/>
            <w:vAlign w:val="center"/>
          </w:tcPr>
          <w:p w14:paraId="5228F35F" w14:textId="77777777" w:rsidR="00B50AC3" w:rsidRDefault="00B50AC3" w:rsidP="00B2088F">
            <w:pPr>
              <w:spacing w:before="60" w:after="60"/>
              <w:jc w:val="center"/>
              <w:rPr>
                <w:noProof/>
                <w:sz w:val="20"/>
              </w:rPr>
            </w:pPr>
          </w:p>
        </w:tc>
        <w:tc>
          <w:tcPr>
            <w:tcW w:w="1158" w:type="dxa"/>
            <w:vAlign w:val="center"/>
          </w:tcPr>
          <w:p w14:paraId="080D6A3E" w14:textId="77777777" w:rsidR="00B50AC3" w:rsidRDefault="00B50AC3" w:rsidP="00B2088F">
            <w:pPr>
              <w:spacing w:before="60" w:after="60"/>
              <w:jc w:val="center"/>
              <w:rPr>
                <w:noProof/>
                <w:sz w:val="20"/>
              </w:rPr>
            </w:pPr>
          </w:p>
        </w:tc>
      </w:tr>
    </w:tbl>
    <w:p w14:paraId="05B36FBC" w14:textId="77777777" w:rsidR="00436363" w:rsidRDefault="00436363" w:rsidP="00ED2926">
      <w:pPr>
        <w:rPr>
          <w:noProof/>
        </w:rPr>
      </w:pPr>
      <w:r>
        <w:rPr>
          <w:noProof/>
        </w:rPr>
        <w:br/>
      </w:r>
    </w:p>
    <w:p w14:paraId="4FD2413C" w14:textId="413FB938" w:rsidR="00436363" w:rsidRDefault="00436363" w:rsidP="00306677">
      <w:pPr>
        <w:pStyle w:val="ManualHeading2"/>
        <w:rPr>
          <w:bCs/>
          <w:noProof/>
          <w:szCs w:val="24"/>
        </w:rPr>
      </w:pPr>
      <w:r>
        <w:rPr>
          <w:noProof/>
        </w:rPr>
        <w:br w:type="page"/>
      </w:r>
      <w:bookmarkStart w:id="131" w:name="_Toc514938059"/>
      <w:bookmarkStart w:id="132" w:name="_Toc520485057"/>
      <w:bookmarkStart w:id="133" w:name="_Toc84517604"/>
      <w:r w:rsidR="00306677" w:rsidRPr="00306677">
        <w:t>3.3.</w:t>
      </w:r>
      <w:r w:rsidR="00306677" w:rsidRPr="00306677">
        <w:tab/>
      </w:r>
      <w:r>
        <w:rPr>
          <w:noProof/>
        </w:rPr>
        <w:t>Estimated impact on revenue</w:t>
      </w:r>
      <w:bookmarkEnd w:id="131"/>
      <w:bookmarkEnd w:id="132"/>
      <w:bookmarkEnd w:id="133"/>
      <w:r>
        <w:rPr>
          <w:noProof/>
        </w:rPr>
        <w:t xml:space="preserve"> </w:t>
      </w:r>
    </w:p>
    <w:p w14:paraId="501D6EA4" w14:textId="77777777" w:rsidR="000D757F" w:rsidRDefault="000D757F" w:rsidP="000D757F">
      <w:pPr>
        <w:pStyle w:val="ListDash1"/>
        <w:rPr>
          <w:noProof/>
        </w:rPr>
      </w:pPr>
      <w:r>
        <w:rPr>
          <w:noProof/>
        </w:rPr>
        <w:sym w:font="Wingdings" w:char="F0FE"/>
      </w:r>
      <w:r>
        <w:rPr>
          <w:noProof/>
        </w:rPr>
        <w:tab/>
        <w:t>The proposal/initiative has no financial impact on revenue.</w:t>
      </w:r>
    </w:p>
    <w:p w14:paraId="142A6D3C" w14:textId="77777777" w:rsidR="000D757F" w:rsidRDefault="000D757F" w:rsidP="000D757F">
      <w:pPr>
        <w:pStyle w:val="ListDash1"/>
        <w:rPr>
          <w:noProof/>
        </w:rPr>
      </w:pPr>
      <w:r>
        <w:rPr>
          <w:noProof/>
        </w:rPr>
        <w:sym w:font="Wingdings" w:char="F0A8"/>
      </w:r>
      <w:r>
        <w:rPr>
          <w:noProof/>
        </w:rPr>
        <w:tab/>
        <w:t>The proposal/initiative has the following financial impact:</w:t>
      </w:r>
    </w:p>
    <w:p w14:paraId="3AAD609A" w14:textId="7474C133" w:rsidR="000D757F" w:rsidRPr="003053B5" w:rsidRDefault="000D757F" w:rsidP="00221FF8">
      <w:pPr>
        <w:pStyle w:val="Tiret2"/>
        <w:numPr>
          <w:ilvl w:val="0"/>
          <w:numId w:val="29"/>
        </w:numPr>
        <w:rPr>
          <w:noProof/>
        </w:rPr>
      </w:pPr>
      <w:r w:rsidRPr="003053B5">
        <w:rPr>
          <w:noProof/>
        </w:rPr>
        <w:sym w:font="Wingdings" w:char="F0A8"/>
      </w:r>
      <w:r w:rsidRPr="003053B5">
        <w:rPr>
          <w:noProof/>
        </w:rPr>
        <w:tab/>
        <w:t xml:space="preserve">on own resources </w:t>
      </w:r>
    </w:p>
    <w:p w14:paraId="285FCA90" w14:textId="23D56CEC" w:rsidR="000D757F" w:rsidRPr="003053B5" w:rsidRDefault="000D757F" w:rsidP="003053B5">
      <w:pPr>
        <w:pStyle w:val="Tiret2"/>
        <w:rPr>
          <w:noProof/>
        </w:rPr>
      </w:pPr>
      <w:r w:rsidRPr="003053B5">
        <w:rPr>
          <w:noProof/>
        </w:rPr>
        <w:sym w:font="Wingdings" w:char="F0A8"/>
      </w:r>
      <w:r w:rsidRPr="003053B5">
        <w:rPr>
          <w:noProof/>
        </w:rPr>
        <w:tab/>
        <w:t xml:space="preserve">on other revenue </w:t>
      </w:r>
    </w:p>
    <w:p w14:paraId="7DEACF40" w14:textId="6989524F" w:rsidR="000D757F" w:rsidRPr="003053B5" w:rsidRDefault="000D757F" w:rsidP="003053B5">
      <w:pPr>
        <w:pStyle w:val="Tiret2"/>
        <w:rPr>
          <w:noProof/>
        </w:rPr>
      </w:pPr>
      <w:r w:rsidRPr="003053B5">
        <w:rPr>
          <w:noProof/>
        </w:rPr>
        <w:t xml:space="preserve"> </w:t>
      </w:r>
      <w:r w:rsidRPr="003053B5">
        <w:rPr>
          <w:noProof/>
        </w:rPr>
        <w:sym w:font="Wingdings" w:char="F0A8"/>
      </w:r>
      <w:r w:rsidRPr="003053B5">
        <w:rPr>
          <w:noProof/>
        </w:rPr>
        <w:t xml:space="preserve">        please indicate, if the revenue is assigned to expenditure lines </w:t>
      </w:r>
    </w:p>
    <w:p w14:paraId="341DBB65" w14:textId="77777777" w:rsidR="000D757F" w:rsidRDefault="00436363" w:rsidP="00ED2926">
      <w:pPr>
        <w:ind w:left="4320"/>
        <w:rPr>
          <w:noProof/>
        </w:rPr>
      </w:pPr>
      <w:r>
        <w:rPr>
          <w:noProof/>
        </w:rPr>
        <w:t xml:space="preserve">    </w:t>
      </w:r>
    </w:p>
    <w:p w14:paraId="73AACFF4" w14:textId="77777777" w:rsidR="000D757F" w:rsidRPr="000D757F" w:rsidRDefault="000D757F" w:rsidP="000D757F">
      <w:pPr>
        <w:jc w:val="right"/>
        <w:rPr>
          <w:i/>
          <w:noProof/>
          <w:sz w:val="20"/>
          <w:lang w:eastAsia="en-GB"/>
        </w:rPr>
      </w:pPr>
      <w:r w:rsidRPr="000D757F">
        <w:rPr>
          <w:noProof/>
          <w:sz w:val="20"/>
          <w:lang w:eastAsia="en-GB"/>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D757F" w:rsidRPr="000D757F" w14:paraId="1DFC6C98" w14:textId="77777777" w:rsidTr="006A0D14">
        <w:trPr>
          <w:trHeight w:val="388"/>
        </w:trPr>
        <w:tc>
          <w:tcPr>
            <w:tcW w:w="2144" w:type="dxa"/>
            <w:vMerge w:val="restart"/>
            <w:vAlign w:val="center"/>
          </w:tcPr>
          <w:p w14:paraId="7AF8C1AB" w14:textId="77777777" w:rsidR="000D757F" w:rsidRPr="000D757F" w:rsidRDefault="000D757F" w:rsidP="000D757F">
            <w:pPr>
              <w:spacing w:before="40" w:after="40"/>
              <w:rPr>
                <w:noProof/>
                <w:sz w:val="18"/>
                <w:lang w:eastAsia="en-GB"/>
              </w:rPr>
            </w:pPr>
            <w:r w:rsidRPr="000D757F">
              <w:rPr>
                <w:noProof/>
                <w:sz w:val="18"/>
                <w:lang w:eastAsia="en-GB"/>
              </w:rPr>
              <w:t>Budget revenue line:</w:t>
            </w:r>
          </w:p>
        </w:tc>
        <w:tc>
          <w:tcPr>
            <w:tcW w:w="1276" w:type="dxa"/>
            <w:vMerge w:val="restart"/>
            <w:vAlign w:val="center"/>
          </w:tcPr>
          <w:p w14:paraId="342AAB0B" w14:textId="77777777" w:rsidR="000D757F" w:rsidRPr="000D757F" w:rsidRDefault="000D757F" w:rsidP="000D757F">
            <w:pPr>
              <w:jc w:val="center"/>
              <w:rPr>
                <w:noProof/>
                <w:sz w:val="18"/>
                <w:lang w:eastAsia="en-GB"/>
              </w:rPr>
            </w:pPr>
            <w:r w:rsidRPr="000D757F">
              <w:rPr>
                <w:noProof/>
                <w:sz w:val="18"/>
                <w:lang w:eastAsia="en-GB"/>
              </w:rPr>
              <w:t>Appropriations available for the current financial year</w:t>
            </w:r>
          </w:p>
        </w:tc>
        <w:tc>
          <w:tcPr>
            <w:tcW w:w="7200" w:type="dxa"/>
            <w:gridSpan w:val="7"/>
            <w:vAlign w:val="center"/>
          </w:tcPr>
          <w:p w14:paraId="63F08A74" w14:textId="77777777" w:rsidR="000D757F" w:rsidRPr="000D757F" w:rsidRDefault="000D757F" w:rsidP="000D757F">
            <w:pPr>
              <w:jc w:val="center"/>
              <w:rPr>
                <w:noProof/>
                <w:sz w:val="18"/>
                <w:lang w:eastAsia="en-GB"/>
              </w:rPr>
            </w:pPr>
            <w:r w:rsidRPr="00805B56">
              <w:rPr>
                <w:noProof/>
                <w:sz w:val="18"/>
                <w:szCs w:val="18"/>
                <w:lang w:eastAsia="en-GB"/>
              </w:rPr>
              <w:t>Impact of the proposal/initiative</w:t>
            </w:r>
            <w:r w:rsidRPr="00BE7C1D">
              <w:rPr>
                <w:rStyle w:val="FootnoteReference"/>
                <w:noProof/>
              </w:rPr>
              <w:footnoteReference w:id="64"/>
            </w:r>
          </w:p>
        </w:tc>
      </w:tr>
      <w:tr w:rsidR="000D757F" w:rsidRPr="000D757F" w14:paraId="475A1BBF" w14:textId="77777777" w:rsidTr="006A0D14">
        <w:trPr>
          <w:trHeight w:val="388"/>
        </w:trPr>
        <w:tc>
          <w:tcPr>
            <w:tcW w:w="2144" w:type="dxa"/>
            <w:vMerge/>
            <w:vAlign w:val="center"/>
          </w:tcPr>
          <w:p w14:paraId="77DEBEA2" w14:textId="77777777" w:rsidR="000D757F" w:rsidRPr="000D757F" w:rsidRDefault="000D757F" w:rsidP="000D757F">
            <w:pPr>
              <w:rPr>
                <w:noProof/>
                <w:sz w:val="18"/>
                <w:lang w:eastAsia="en-GB"/>
              </w:rPr>
            </w:pPr>
          </w:p>
        </w:tc>
        <w:tc>
          <w:tcPr>
            <w:tcW w:w="1276" w:type="dxa"/>
            <w:vMerge/>
            <w:vAlign w:val="center"/>
          </w:tcPr>
          <w:p w14:paraId="37444EA1" w14:textId="77777777" w:rsidR="000D757F" w:rsidRPr="000D757F" w:rsidRDefault="000D757F" w:rsidP="000D757F">
            <w:pPr>
              <w:rPr>
                <w:noProof/>
                <w:sz w:val="18"/>
                <w:lang w:eastAsia="en-GB"/>
              </w:rPr>
            </w:pPr>
          </w:p>
        </w:tc>
        <w:tc>
          <w:tcPr>
            <w:tcW w:w="1080" w:type="dxa"/>
            <w:vAlign w:val="center"/>
          </w:tcPr>
          <w:p w14:paraId="5289410B" w14:textId="77777777" w:rsidR="000D757F" w:rsidRPr="000D757F" w:rsidRDefault="000D757F" w:rsidP="000D757F">
            <w:pPr>
              <w:jc w:val="center"/>
              <w:rPr>
                <w:noProof/>
                <w:sz w:val="18"/>
                <w:lang w:eastAsia="en-GB"/>
              </w:rPr>
            </w:pPr>
            <w:r w:rsidRPr="000D757F">
              <w:rPr>
                <w:noProof/>
                <w:sz w:val="18"/>
                <w:lang w:eastAsia="en-GB"/>
              </w:rPr>
              <w:t>Year</w:t>
            </w:r>
            <w:r w:rsidRPr="000D757F">
              <w:rPr>
                <w:noProof/>
                <w:sz w:val="22"/>
                <w:lang w:eastAsia="en-GB"/>
              </w:rPr>
              <w:br/>
            </w:r>
            <w:r w:rsidRPr="000D757F">
              <w:rPr>
                <w:b/>
                <w:noProof/>
                <w:sz w:val="18"/>
                <w:lang w:eastAsia="en-GB"/>
              </w:rPr>
              <w:t>N</w:t>
            </w:r>
          </w:p>
        </w:tc>
        <w:tc>
          <w:tcPr>
            <w:tcW w:w="900" w:type="dxa"/>
            <w:vAlign w:val="center"/>
          </w:tcPr>
          <w:p w14:paraId="76911291" w14:textId="77777777" w:rsidR="000D757F" w:rsidRPr="000D757F" w:rsidRDefault="000D757F" w:rsidP="000D757F">
            <w:pPr>
              <w:jc w:val="center"/>
              <w:rPr>
                <w:noProof/>
                <w:sz w:val="18"/>
                <w:lang w:eastAsia="en-GB"/>
              </w:rPr>
            </w:pPr>
            <w:r w:rsidRPr="000D757F">
              <w:rPr>
                <w:noProof/>
                <w:sz w:val="18"/>
                <w:lang w:eastAsia="en-GB"/>
              </w:rPr>
              <w:t>Year</w:t>
            </w:r>
            <w:r w:rsidRPr="000D757F">
              <w:rPr>
                <w:noProof/>
                <w:sz w:val="22"/>
                <w:lang w:eastAsia="en-GB"/>
              </w:rPr>
              <w:br/>
            </w:r>
            <w:r w:rsidRPr="000D757F">
              <w:rPr>
                <w:b/>
                <w:noProof/>
                <w:sz w:val="18"/>
                <w:lang w:eastAsia="en-GB"/>
              </w:rPr>
              <w:t>N+1</w:t>
            </w:r>
          </w:p>
        </w:tc>
        <w:tc>
          <w:tcPr>
            <w:tcW w:w="900" w:type="dxa"/>
            <w:vAlign w:val="center"/>
          </w:tcPr>
          <w:p w14:paraId="36824122" w14:textId="77777777" w:rsidR="000D757F" w:rsidRPr="000D757F" w:rsidRDefault="000D757F" w:rsidP="000D757F">
            <w:pPr>
              <w:jc w:val="center"/>
              <w:rPr>
                <w:noProof/>
                <w:sz w:val="18"/>
                <w:lang w:eastAsia="en-GB"/>
              </w:rPr>
            </w:pPr>
            <w:r w:rsidRPr="000D757F">
              <w:rPr>
                <w:noProof/>
                <w:sz w:val="18"/>
                <w:lang w:eastAsia="en-GB"/>
              </w:rPr>
              <w:t>Year</w:t>
            </w:r>
            <w:r w:rsidRPr="000D757F">
              <w:rPr>
                <w:noProof/>
                <w:sz w:val="22"/>
                <w:lang w:eastAsia="en-GB"/>
              </w:rPr>
              <w:br/>
            </w:r>
            <w:r w:rsidRPr="000D757F">
              <w:rPr>
                <w:b/>
                <w:noProof/>
                <w:sz w:val="18"/>
                <w:lang w:eastAsia="en-GB"/>
              </w:rPr>
              <w:t>N+2</w:t>
            </w:r>
          </w:p>
        </w:tc>
        <w:tc>
          <w:tcPr>
            <w:tcW w:w="1080" w:type="dxa"/>
            <w:vAlign w:val="center"/>
          </w:tcPr>
          <w:p w14:paraId="3E0983F4" w14:textId="77777777" w:rsidR="000D757F" w:rsidRPr="000D757F" w:rsidRDefault="000D757F" w:rsidP="000D757F">
            <w:pPr>
              <w:jc w:val="center"/>
              <w:rPr>
                <w:noProof/>
                <w:sz w:val="18"/>
                <w:lang w:eastAsia="en-GB"/>
              </w:rPr>
            </w:pPr>
            <w:r w:rsidRPr="000D757F">
              <w:rPr>
                <w:noProof/>
                <w:sz w:val="18"/>
                <w:lang w:eastAsia="en-GB"/>
              </w:rPr>
              <w:t>Year</w:t>
            </w:r>
            <w:r w:rsidRPr="000D757F">
              <w:rPr>
                <w:noProof/>
                <w:sz w:val="22"/>
                <w:lang w:eastAsia="en-GB"/>
              </w:rPr>
              <w:br/>
            </w:r>
            <w:r w:rsidRPr="000D757F">
              <w:rPr>
                <w:b/>
                <w:noProof/>
                <w:sz w:val="18"/>
                <w:lang w:eastAsia="en-GB"/>
              </w:rPr>
              <w:t>N+3</w:t>
            </w:r>
          </w:p>
        </w:tc>
        <w:tc>
          <w:tcPr>
            <w:tcW w:w="3240" w:type="dxa"/>
            <w:gridSpan w:val="3"/>
            <w:vAlign w:val="center"/>
          </w:tcPr>
          <w:p w14:paraId="0E17EFE0" w14:textId="77777777" w:rsidR="000D757F" w:rsidRPr="000D757F" w:rsidRDefault="000D757F" w:rsidP="000D757F">
            <w:pPr>
              <w:jc w:val="center"/>
              <w:rPr>
                <w:b/>
                <w:noProof/>
                <w:sz w:val="18"/>
                <w:lang w:eastAsia="en-GB"/>
              </w:rPr>
            </w:pPr>
            <w:r w:rsidRPr="000D757F">
              <w:rPr>
                <w:noProof/>
                <w:sz w:val="18"/>
                <w:lang w:eastAsia="en-GB"/>
              </w:rPr>
              <w:t>Enter as many years as necessary to show the duration of the impact (see point 1.6)</w:t>
            </w:r>
          </w:p>
        </w:tc>
      </w:tr>
      <w:tr w:rsidR="000D757F" w:rsidRPr="000D757F" w14:paraId="1B1915B9" w14:textId="77777777" w:rsidTr="006A0D14">
        <w:trPr>
          <w:trHeight w:val="388"/>
        </w:trPr>
        <w:tc>
          <w:tcPr>
            <w:tcW w:w="2144" w:type="dxa"/>
            <w:vAlign w:val="center"/>
          </w:tcPr>
          <w:p w14:paraId="66E75124" w14:textId="77777777" w:rsidR="000D757F" w:rsidRPr="000D757F" w:rsidRDefault="000D757F" w:rsidP="000D757F">
            <w:pPr>
              <w:spacing w:before="40" w:after="40"/>
              <w:rPr>
                <w:noProof/>
                <w:sz w:val="18"/>
                <w:lang w:eastAsia="en-GB"/>
              </w:rPr>
            </w:pPr>
            <w:r w:rsidRPr="000D757F">
              <w:rPr>
                <w:noProof/>
                <w:sz w:val="18"/>
                <w:lang w:eastAsia="en-GB"/>
              </w:rPr>
              <w:t>Article ………….</w:t>
            </w:r>
          </w:p>
        </w:tc>
        <w:tc>
          <w:tcPr>
            <w:tcW w:w="1276" w:type="dxa"/>
          </w:tcPr>
          <w:p w14:paraId="5320BB5A" w14:textId="77777777" w:rsidR="000D757F" w:rsidRPr="000D757F" w:rsidRDefault="000D757F" w:rsidP="000D757F">
            <w:pPr>
              <w:spacing w:beforeLines="40" w:before="96" w:afterLines="40" w:after="96"/>
              <w:jc w:val="center"/>
              <w:rPr>
                <w:i/>
                <w:noProof/>
                <w:sz w:val="18"/>
                <w:lang w:eastAsia="en-GB"/>
              </w:rPr>
            </w:pPr>
          </w:p>
        </w:tc>
        <w:tc>
          <w:tcPr>
            <w:tcW w:w="1080" w:type="dxa"/>
          </w:tcPr>
          <w:p w14:paraId="29C04D67" w14:textId="77777777" w:rsidR="000D757F" w:rsidRPr="000D757F" w:rsidRDefault="000D757F" w:rsidP="000D757F">
            <w:pPr>
              <w:spacing w:beforeLines="40" w:before="96" w:afterLines="40" w:after="96"/>
              <w:jc w:val="center"/>
              <w:rPr>
                <w:noProof/>
                <w:sz w:val="18"/>
                <w:lang w:eastAsia="en-GB"/>
              </w:rPr>
            </w:pPr>
          </w:p>
        </w:tc>
        <w:tc>
          <w:tcPr>
            <w:tcW w:w="900" w:type="dxa"/>
          </w:tcPr>
          <w:p w14:paraId="51663CDD" w14:textId="77777777" w:rsidR="000D757F" w:rsidRPr="000D757F" w:rsidRDefault="000D757F" w:rsidP="000D757F">
            <w:pPr>
              <w:spacing w:beforeLines="40" w:before="96" w:afterLines="40" w:after="96"/>
              <w:jc w:val="center"/>
              <w:rPr>
                <w:noProof/>
                <w:sz w:val="18"/>
                <w:lang w:eastAsia="en-GB"/>
              </w:rPr>
            </w:pPr>
          </w:p>
        </w:tc>
        <w:tc>
          <w:tcPr>
            <w:tcW w:w="900" w:type="dxa"/>
          </w:tcPr>
          <w:p w14:paraId="5A39B8F5" w14:textId="77777777" w:rsidR="000D757F" w:rsidRPr="000D757F" w:rsidRDefault="000D757F" w:rsidP="000D757F">
            <w:pPr>
              <w:spacing w:beforeLines="40" w:before="96" w:afterLines="40" w:after="96"/>
              <w:jc w:val="center"/>
              <w:rPr>
                <w:noProof/>
                <w:sz w:val="18"/>
                <w:lang w:eastAsia="en-GB"/>
              </w:rPr>
            </w:pPr>
          </w:p>
        </w:tc>
        <w:tc>
          <w:tcPr>
            <w:tcW w:w="1080" w:type="dxa"/>
          </w:tcPr>
          <w:p w14:paraId="73798490" w14:textId="77777777" w:rsidR="000D757F" w:rsidRPr="000D757F" w:rsidRDefault="000D757F" w:rsidP="000D757F">
            <w:pPr>
              <w:spacing w:beforeLines="40" w:before="96" w:afterLines="40" w:after="96"/>
              <w:jc w:val="center"/>
              <w:rPr>
                <w:noProof/>
                <w:sz w:val="18"/>
                <w:lang w:eastAsia="en-GB"/>
              </w:rPr>
            </w:pPr>
          </w:p>
        </w:tc>
        <w:tc>
          <w:tcPr>
            <w:tcW w:w="1080" w:type="dxa"/>
          </w:tcPr>
          <w:p w14:paraId="17DF884B" w14:textId="77777777" w:rsidR="000D757F" w:rsidRPr="000D757F" w:rsidRDefault="000D757F" w:rsidP="000D757F">
            <w:pPr>
              <w:spacing w:beforeLines="40" w:before="96" w:afterLines="40" w:after="96"/>
              <w:jc w:val="center"/>
              <w:rPr>
                <w:noProof/>
                <w:sz w:val="18"/>
                <w:lang w:eastAsia="en-GB"/>
              </w:rPr>
            </w:pPr>
          </w:p>
        </w:tc>
        <w:tc>
          <w:tcPr>
            <w:tcW w:w="1080" w:type="dxa"/>
          </w:tcPr>
          <w:p w14:paraId="757C6203" w14:textId="77777777" w:rsidR="000D757F" w:rsidRPr="000D757F" w:rsidRDefault="000D757F" w:rsidP="000D757F">
            <w:pPr>
              <w:spacing w:beforeLines="40" w:before="96" w:afterLines="40" w:after="96"/>
              <w:jc w:val="center"/>
              <w:rPr>
                <w:noProof/>
                <w:sz w:val="18"/>
                <w:lang w:eastAsia="en-GB"/>
              </w:rPr>
            </w:pPr>
          </w:p>
        </w:tc>
        <w:tc>
          <w:tcPr>
            <w:tcW w:w="1080" w:type="dxa"/>
          </w:tcPr>
          <w:p w14:paraId="3FC8F2D8" w14:textId="77777777" w:rsidR="000D757F" w:rsidRPr="000D757F" w:rsidRDefault="000D757F" w:rsidP="000D757F">
            <w:pPr>
              <w:spacing w:beforeLines="40" w:before="96" w:afterLines="40" w:after="96"/>
              <w:jc w:val="center"/>
              <w:rPr>
                <w:noProof/>
                <w:sz w:val="18"/>
                <w:lang w:eastAsia="en-GB"/>
              </w:rPr>
            </w:pPr>
          </w:p>
        </w:tc>
      </w:tr>
    </w:tbl>
    <w:p w14:paraId="2C631819" w14:textId="77777777" w:rsidR="000D757F" w:rsidRPr="006A0D14" w:rsidRDefault="000D757F">
      <w:pPr>
        <w:ind w:left="850"/>
        <w:rPr>
          <w:noProof/>
          <w:sz w:val="20"/>
          <w:szCs w:val="20"/>
          <w:lang w:eastAsia="en-GB"/>
        </w:rPr>
      </w:pPr>
      <w:r w:rsidRPr="00805B56">
        <w:rPr>
          <w:noProof/>
          <w:sz w:val="20"/>
          <w:szCs w:val="20"/>
          <w:lang w:eastAsia="en-GB"/>
        </w:rPr>
        <w:t>For miscellaneous ‘assigned’ revenue, specify the budget expenditure line(s) affected.</w:t>
      </w:r>
    </w:p>
    <w:p w14:paraId="70A05244" w14:textId="77777777" w:rsidR="000D757F" w:rsidRPr="000D757F" w:rsidRDefault="000D757F" w:rsidP="000D757F">
      <w:pPr>
        <w:pBdr>
          <w:top w:val="single" w:sz="4" w:space="1" w:color="auto"/>
          <w:left w:val="single" w:sz="4" w:space="4" w:color="auto"/>
          <w:bottom w:val="single" w:sz="4" w:space="1" w:color="auto"/>
          <w:right w:val="single" w:sz="4" w:space="4" w:color="auto"/>
        </w:pBdr>
        <w:ind w:left="850"/>
        <w:rPr>
          <w:noProof/>
          <w:lang w:eastAsia="en-GB"/>
        </w:rPr>
      </w:pPr>
      <w:r w:rsidRPr="000D757F">
        <w:rPr>
          <w:noProof/>
          <w:color w:val="0000FF"/>
          <w:lang w:eastAsia="en-GB"/>
        </w:rPr>
        <w:t>[…]</w:t>
      </w:r>
    </w:p>
    <w:p w14:paraId="5180FD14" w14:textId="77777777" w:rsidR="000D757F" w:rsidRPr="006A0D14" w:rsidRDefault="000D757F">
      <w:pPr>
        <w:ind w:left="850"/>
        <w:rPr>
          <w:noProof/>
          <w:sz w:val="20"/>
          <w:szCs w:val="20"/>
          <w:lang w:eastAsia="en-GB"/>
        </w:rPr>
      </w:pPr>
      <w:r w:rsidRPr="00805B56">
        <w:rPr>
          <w:noProof/>
          <w:sz w:val="20"/>
          <w:szCs w:val="20"/>
          <w:lang w:eastAsia="en-GB"/>
        </w:rPr>
        <w:t>Specify the method for calculating the impact on revenue.</w:t>
      </w:r>
    </w:p>
    <w:p w14:paraId="5C79C434" w14:textId="77777777" w:rsidR="000D757F" w:rsidRPr="000D757F" w:rsidRDefault="000D757F" w:rsidP="000D757F">
      <w:pPr>
        <w:pBdr>
          <w:top w:val="single" w:sz="4" w:space="1" w:color="auto"/>
          <w:left w:val="single" w:sz="4" w:space="4" w:color="auto"/>
          <w:bottom w:val="single" w:sz="4" w:space="1" w:color="auto"/>
          <w:right w:val="single" w:sz="4" w:space="4" w:color="auto"/>
        </w:pBdr>
        <w:ind w:left="850"/>
        <w:rPr>
          <w:noProof/>
          <w:lang w:eastAsia="en-GB"/>
        </w:rPr>
      </w:pPr>
      <w:r w:rsidRPr="000D757F">
        <w:rPr>
          <w:noProof/>
          <w:color w:val="0000FF"/>
          <w:lang w:eastAsia="en-GB"/>
        </w:rPr>
        <w:t>[…]</w:t>
      </w:r>
    </w:p>
    <w:p w14:paraId="4668D3DC" w14:textId="77777777" w:rsidR="00436363" w:rsidRDefault="00436363" w:rsidP="000D757F">
      <w:pPr>
        <w:ind w:left="4320"/>
        <w:rPr>
          <w:noProof/>
        </w:rPr>
      </w:pPr>
      <w:r>
        <w:rPr>
          <w:noProof/>
        </w:rPr>
        <w:t xml:space="preserve"> </w:t>
      </w:r>
    </w:p>
    <w:sectPr w:rsidR="00436363" w:rsidSect="00A618F2">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3443" w14:textId="77777777" w:rsidR="00CF260E" w:rsidRDefault="00CF260E" w:rsidP="00EB0A3C">
      <w:pPr>
        <w:spacing w:before="0" w:after="0"/>
      </w:pPr>
      <w:r>
        <w:separator/>
      </w:r>
    </w:p>
  </w:endnote>
  <w:endnote w:type="continuationSeparator" w:id="0">
    <w:p w14:paraId="1317F061" w14:textId="77777777" w:rsidR="00CF260E" w:rsidRDefault="00CF260E" w:rsidP="00EB0A3C">
      <w:pPr>
        <w:spacing w:before="0" w:after="0"/>
      </w:pPr>
      <w:r>
        <w:continuationSeparator/>
      </w:r>
    </w:p>
  </w:endnote>
  <w:endnote w:type="continuationNotice" w:id="1">
    <w:p w14:paraId="397A73F2" w14:textId="77777777" w:rsidR="00CF260E" w:rsidRDefault="00CF26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3577" w14:textId="7719DE33" w:rsidR="00CF260E" w:rsidRPr="00A618F2" w:rsidRDefault="00A618F2" w:rsidP="00A618F2">
    <w:pPr>
      <w:pStyle w:val="Footer"/>
      <w:rPr>
        <w:rFonts w:ascii="Arial" w:hAnsi="Arial" w:cs="Arial"/>
        <w:b/>
        <w:sz w:val="48"/>
      </w:rPr>
    </w:pPr>
    <w:r w:rsidRPr="00A618F2">
      <w:rPr>
        <w:rFonts w:ascii="Arial" w:hAnsi="Arial" w:cs="Arial"/>
        <w:b/>
        <w:sz w:val="48"/>
      </w:rPr>
      <w:t>EN</w:t>
    </w:r>
    <w:r w:rsidRPr="00A618F2">
      <w:rPr>
        <w:rFonts w:ascii="Arial" w:hAnsi="Arial" w:cs="Arial"/>
        <w:b/>
        <w:sz w:val="48"/>
      </w:rPr>
      <w:tab/>
    </w:r>
    <w:r w:rsidRPr="00A618F2">
      <w:rPr>
        <w:rFonts w:ascii="Arial" w:hAnsi="Arial" w:cs="Arial"/>
        <w:b/>
        <w:sz w:val="48"/>
      </w:rPr>
      <w:tab/>
    </w:r>
    <w:r w:rsidRPr="00A618F2">
      <w:tab/>
    </w:r>
    <w:r w:rsidRPr="00A618F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C3FB" w14:textId="5D87DBDE" w:rsidR="00A618F2" w:rsidRPr="00A618F2" w:rsidRDefault="00A618F2" w:rsidP="00A618F2">
    <w:pPr>
      <w:pStyle w:val="Footer"/>
      <w:rPr>
        <w:rFonts w:ascii="Arial" w:hAnsi="Arial" w:cs="Arial"/>
        <w:b/>
        <w:sz w:val="48"/>
      </w:rPr>
    </w:pPr>
    <w:r w:rsidRPr="00A618F2">
      <w:rPr>
        <w:rFonts w:ascii="Arial" w:hAnsi="Arial" w:cs="Arial"/>
        <w:b/>
        <w:sz w:val="48"/>
      </w:rPr>
      <w:t>EN</w:t>
    </w:r>
    <w:r w:rsidRPr="00A618F2">
      <w:rPr>
        <w:rFonts w:ascii="Arial" w:hAnsi="Arial" w:cs="Arial"/>
        <w:b/>
        <w:sz w:val="48"/>
      </w:rPr>
      <w:tab/>
    </w:r>
    <w:r>
      <w:fldChar w:fldCharType="begin"/>
    </w:r>
    <w:r>
      <w:instrText xml:space="preserve"> PAGE  \* MERGEFORMAT </w:instrText>
    </w:r>
    <w:r>
      <w:fldChar w:fldCharType="separate"/>
    </w:r>
    <w:r w:rsidR="003B21D7">
      <w:rPr>
        <w:noProof/>
      </w:rPr>
      <w:t>23</w:t>
    </w:r>
    <w:r>
      <w:fldChar w:fldCharType="end"/>
    </w:r>
    <w:r>
      <w:tab/>
    </w:r>
    <w:r w:rsidRPr="00A618F2">
      <w:tab/>
    </w:r>
    <w:r w:rsidRPr="00A618F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4DD1" w14:textId="77777777" w:rsidR="00A618F2" w:rsidRPr="00A618F2" w:rsidRDefault="00A618F2" w:rsidP="00A618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5091" w14:textId="0DD88E31" w:rsidR="00A618F2" w:rsidRPr="00A618F2" w:rsidRDefault="00A618F2" w:rsidP="00A618F2">
    <w:pPr>
      <w:pStyle w:val="FooterLandscape"/>
      <w:rPr>
        <w:rFonts w:ascii="Arial" w:hAnsi="Arial" w:cs="Arial"/>
        <w:b/>
        <w:sz w:val="48"/>
      </w:rPr>
    </w:pPr>
    <w:r w:rsidRPr="00A618F2">
      <w:rPr>
        <w:rFonts w:ascii="Arial" w:hAnsi="Arial" w:cs="Arial"/>
        <w:b/>
        <w:sz w:val="48"/>
      </w:rPr>
      <w:t>EN</w:t>
    </w:r>
    <w:r w:rsidRPr="00A618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618F2">
      <w:tab/>
    </w:r>
    <w:r w:rsidRPr="00A618F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3C48" w14:textId="77777777" w:rsidR="00A618F2" w:rsidRPr="00A618F2" w:rsidRDefault="00A618F2" w:rsidP="00A618F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4DD8" w14:textId="79C89174" w:rsidR="007A1133" w:rsidRPr="00A618F2" w:rsidRDefault="00A618F2" w:rsidP="00A618F2">
    <w:pPr>
      <w:pStyle w:val="Footer"/>
      <w:rPr>
        <w:rFonts w:ascii="Arial" w:hAnsi="Arial" w:cs="Arial"/>
        <w:b/>
        <w:sz w:val="48"/>
      </w:rPr>
    </w:pPr>
    <w:r w:rsidRPr="00A618F2">
      <w:rPr>
        <w:rFonts w:ascii="Arial" w:hAnsi="Arial" w:cs="Arial"/>
        <w:b/>
        <w:sz w:val="48"/>
      </w:rPr>
      <w:t>EN</w:t>
    </w:r>
    <w:r w:rsidRPr="00A618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618F2">
      <w:tab/>
    </w:r>
    <w:r w:rsidRPr="00A618F2">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0C720" w14:textId="77777777" w:rsidR="00A618F2" w:rsidRPr="00A618F2" w:rsidRDefault="00A618F2" w:rsidP="00A6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67A3F" w14:textId="77777777" w:rsidR="00CF260E" w:rsidRDefault="00CF260E" w:rsidP="00EB0A3C">
      <w:pPr>
        <w:spacing w:before="0" w:after="0"/>
      </w:pPr>
      <w:r>
        <w:separator/>
      </w:r>
    </w:p>
  </w:footnote>
  <w:footnote w:type="continuationSeparator" w:id="0">
    <w:p w14:paraId="0ECA9635" w14:textId="77777777" w:rsidR="00CF260E" w:rsidRDefault="00CF260E" w:rsidP="00EB0A3C">
      <w:pPr>
        <w:spacing w:before="0" w:after="0"/>
      </w:pPr>
      <w:r>
        <w:continuationSeparator/>
      </w:r>
    </w:p>
  </w:footnote>
  <w:footnote w:type="continuationNotice" w:id="1">
    <w:p w14:paraId="1833241A" w14:textId="77777777" w:rsidR="00CF260E" w:rsidRDefault="00CF260E">
      <w:pPr>
        <w:spacing w:before="0" w:after="0"/>
      </w:pPr>
    </w:p>
  </w:footnote>
  <w:footnote w:id="2">
    <w:p w14:paraId="10445622" w14:textId="77777777" w:rsidR="00CF260E" w:rsidRPr="00FC00B8" w:rsidRDefault="00CF260E">
      <w:pPr>
        <w:pStyle w:val="FootnoteText"/>
        <w:rPr>
          <w:lang w:val="en-IE"/>
        </w:rPr>
      </w:pPr>
      <w:r>
        <w:rPr>
          <w:rStyle w:val="FootnoteReference"/>
        </w:rPr>
        <w:footnoteRef/>
      </w:r>
      <w:r>
        <w:rPr>
          <w:lang w:val="en-IE"/>
        </w:rPr>
        <w:tab/>
      </w:r>
      <w:r w:rsidRPr="00B3515D">
        <w:t>Council Decision 2005/671/JHA of 20 September 2005 on the exchange of information and cooperatio</w:t>
      </w:r>
      <w:r>
        <w:t>n concerning terrorist offences</w:t>
      </w:r>
      <w:r w:rsidRPr="00B3515D">
        <w:t xml:space="preserve"> </w:t>
      </w:r>
      <w:r>
        <w:t>(</w:t>
      </w:r>
      <w:r w:rsidRPr="00B3515D">
        <w:t>OJ</w:t>
      </w:r>
      <w:r>
        <w:t xml:space="preserve"> </w:t>
      </w:r>
      <w:r w:rsidRPr="00B3515D">
        <w:t>L 253, 29.9.2005, p. 22</w:t>
      </w:r>
      <w:r>
        <w:t>).</w:t>
      </w:r>
    </w:p>
  </w:footnote>
  <w:footnote w:id="3">
    <w:p w14:paraId="14F51C2C" w14:textId="79E600FD" w:rsidR="00CF260E" w:rsidRPr="006A0D14" w:rsidRDefault="00CF260E">
      <w:pPr>
        <w:pStyle w:val="FootnoteText"/>
        <w:rPr>
          <w:lang w:val="en-IE"/>
        </w:rPr>
      </w:pPr>
      <w:r>
        <w:rPr>
          <w:rStyle w:val="FootnoteReference"/>
        </w:rPr>
        <w:footnoteRef/>
      </w:r>
      <w:r w:rsidRPr="006A0D14">
        <w:rPr>
          <w:lang w:val="en-US"/>
        </w:rPr>
        <w:tab/>
        <w:t xml:space="preserve">Europol is </w:t>
      </w:r>
      <w:r>
        <w:rPr>
          <w:lang w:val="en-IE"/>
        </w:rPr>
        <w:t>the EU’s law enforcement agency. Europol supports law enforcement authorities throughout the EU on crime fighting activities in all its mandated areas.</w:t>
      </w:r>
    </w:p>
  </w:footnote>
  <w:footnote w:id="4">
    <w:p w14:paraId="28A900B0" w14:textId="77777777" w:rsidR="00CF260E" w:rsidRPr="00264943" w:rsidRDefault="00CF260E" w:rsidP="00FC00B8">
      <w:pPr>
        <w:pStyle w:val="FootnoteText"/>
        <w:rPr>
          <w:lang w:val="en-US"/>
        </w:rPr>
      </w:pPr>
      <w:r>
        <w:rPr>
          <w:rStyle w:val="FootnoteReference"/>
        </w:rPr>
        <w:footnoteRef/>
      </w:r>
      <w:r w:rsidRPr="00264943">
        <w:rPr>
          <w:lang w:val="en-US"/>
        </w:rPr>
        <w:tab/>
      </w:r>
      <w:r w:rsidRPr="008C039C">
        <w:rPr>
          <w:lang w:val="en-US"/>
        </w:rPr>
        <w:t>Directive (EU) 2017/541 of the European Parliament and of the Council of 15 March 2017 on combating terrorism and replacing Council Framework Decision 2002/475/JHA and amending Council Decision 2005/671/JHA</w:t>
      </w:r>
      <w:r>
        <w:rPr>
          <w:lang w:val="en-US"/>
        </w:rPr>
        <w:t xml:space="preserve"> </w:t>
      </w:r>
      <w:r w:rsidRPr="008C039C">
        <w:rPr>
          <w:lang w:val="en-US"/>
        </w:rPr>
        <w:t xml:space="preserve"> </w:t>
      </w:r>
      <w:r>
        <w:rPr>
          <w:lang w:val="en-US"/>
        </w:rPr>
        <w:t>(</w:t>
      </w:r>
      <w:r w:rsidRPr="008C039C">
        <w:t>OJ L 88, 31.3.2017, p. 6</w:t>
      </w:r>
      <w:r>
        <w:t>).</w:t>
      </w:r>
    </w:p>
  </w:footnote>
  <w:footnote w:id="5">
    <w:p w14:paraId="413AD453" w14:textId="7EA84647" w:rsidR="00CF260E" w:rsidRPr="00034149" w:rsidRDefault="00CF260E" w:rsidP="00EB73F6">
      <w:pPr>
        <w:pStyle w:val="FootnoteText"/>
        <w:rPr>
          <w:lang w:val="en-US"/>
        </w:rPr>
      </w:pPr>
      <w:r>
        <w:rPr>
          <w:rStyle w:val="FootnoteReference"/>
        </w:rPr>
        <w:footnoteRef/>
      </w:r>
      <w:r w:rsidRPr="00034149">
        <w:rPr>
          <w:lang w:val="en-US"/>
        </w:rPr>
        <w:tab/>
        <w:t xml:space="preserve">Cross-border Digital </w:t>
      </w:r>
      <w:r>
        <w:rPr>
          <w:lang w:val="en-US"/>
        </w:rPr>
        <w:t xml:space="preserve">Criminal Justice, Final Report, </w:t>
      </w:r>
      <w:hyperlink r:id="rId1" w:history="1">
        <w:r w:rsidRPr="00013007">
          <w:rPr>
            <w:rStyle w:val="Hyperlink"/>
          </w:rPr>
          <w:t>https://op.europa.eu/en/publication-detail/-/publication/e38795b5-f633-11ea-991b-01aa75ed71a1/language-en</w:t>
        </w:r>
      </w:hyperlink>
      <w:r w:rsidRPr="00013007">
        <w:t>.</w:t>
      </w:r>
    </w:p>
  </w:footnote>
  <w:footnote w:id="6">
    <w:p w14:paraId="7A6C51AA" w14:textId="77777777" w:rsidR="00CF260E" w:rsidRPr="00196C2B" w:rsidRDefault="00CF260E" w:rsidP="003C7DDE">
      <w:pPr>
        <w:pStyle w:val="FootnoteText"/>
        <w:rPr>
          <w:lang w:val="en-US"/>
        </w:rPr>
      </w:pPr>
      <w:r>
        <w:rPr>
          <w:rStyle w:val="FootnoteReference"/>
        </w:rPr>
        <w:footnoteRef/>
      </w:r>
      <w:r w:rsidRPr="00196C2B">
        <w:rPr>
          <w:lang w:val="en-US"/>
        </w:rPr>
        <w:tab/>
      </w:r>
      <w:r w:rsidRPr="00B3515D">
        <w:t>Regulation (EU) 2018/1727 of the European Parliament and of the Council of 14 November 2018 on the European Union Agency for Criminal Justice Cooperation (Eurojust), and replacing and repealin</w:t>
      </w:r>
      <w:r>
        <w:t>g Council Decision 2002/187/JHA</w:t>
      </w:r>
      <w:r w:rsidRPr="00B3515D">
        <w:t xml:space="preserve"> </w:t>
      </w:r>
      <w:r>
        <w:t>(OJ L 295, 21.11.2018, p. 138)</w:t>
      </w:r>
      <w:r w:rsidRPr="00B3515D">
        <w:t>.</w:t>
      </w:r>
    </w:p>
  </w:footnote>
  <w:footnote w:id="7">
    <w:p w14:paraId="2885D414" w14:textId="6E945E66" w:rsidR="00CF260E" w:rsidRPr="002E6722" w:rsidRDefault="00CF260E" w:rsidP="0018409A">
      <w:pPr>
        <w:pStyle w:val="FootnoteText"/>
      </w:pPr>
      <w:r w:rsidRPr="006D0ACA">
        <w:rPr>
          <w:rStyle w:val="FootnoteReference"/>
        </w:rPr>
        <w:footnoteRef/>
      </w:r>
      <w:r>
        <w:tab/>
        <w:t xml:space="preserve">See Article 23(1) of the Eurojust Regulation. </w:t>
      </w:r>
    </w:p>
  </w:footnote>
  <w:footnote w:id="8">
    <w:p w14:paraId="3125DDB5" w14:textId="1B5C62D4" w:rsidR="00CF260E" w:rsidRPr="002E6722" w:rsidRDefault="00CF260E" w:rsidP="00183611">
      <w:pPr>
        <w:pStyle w:val="FootnoteText"/>
      </w:pPr>
      <w:r w:rsidRPr="006D0ACA">
        <w:rPr>
          <w:rStyle w:val="FootnoteReference"/>
        </w:rPr>
        <w:footnoteRef/>
      </w:r>
      <w:r>
        <w:tab/>
        <w:t xml:space="preserve">See Article 23(6) of the Eurojust Regulation. </w:t>
      </w:r>
    </w:p>
  </w:footnote>
  <w:footnote w:id="9">
    <w:p w14:paraId="14B72573" w14:textId="5A1E40C9" w:rsidR="00CF260E" w:rsidRPr="00D745EF" w:rsidRDefault="00CF260E">
      <w:pPr>
        <w:pStyle w:val="FootnoteText"/>
        <w:rPr>
          <w:lang w:val="en-US"/>
        </w:rPr>
      </w:pPr>
      <w:r>
        <w:rPr>
          <w:rStyle w:val="FootnoteReference"/>
        </w:rPr>
        <w:footnoteRef/>
      </w:r>
      <w:r w:rsidRPr="00D745EF">
        <w:rPr>
          <w:lang w:val="en-US"/>
        </w:rPr>
        <w:tab/>
      </w:r>
      <w:r w:rsidRPr="00D745EF">
        <w:t xml:space="preserve">Cooperation agreements exist between Eurojust and Albania, Montenegro, North Macedonia, Serbia, Georgia, Iceland, Liechtenstein, Moldova, Norway, Switzerland, Ukraine and the USA. </w:t>
      </w:r>
      <w:r>
        <w:t>Eurojust has concluded another cooperation agreement with Denmark, which is</w:t>
      </w:r>
      <w:r w:rsidRPr="00D745EF">
        <w:t xml:space="preserve"> not a member of Eurojust in line with Protocol 22 of the Lisbon Treaty. Part three, Title IV of the Trade and Cooperation Agreement between the European Union and the European Atomic Energy Community, of one part, and the United Kingdom of Great Britain and Northern Ireland, of the other part, also contains provisions on the future cooperation between national authorities of the UK and Eurojust.</w:t>
      </w:r>
    </w:p>
  </w:footnote>
  <w:footnote w:id="10">
    <w:p w14:paraId="12559255" w14:textId="77777777" w:rsidR="00CF260E" w:rsidRPr="00193F20" w:rsidRDefault="00CF260E">
      <w:pPr>
        <w:pStyle w:val="FootnoteText"/>
        <w:rPr>
          <w:lang w:val="en-US"/>
        </w:rPr>
      </w:pPr>
      <w:r>
        <w:rPr>
          <w:rStyle w:val="FootnoteReference"/>
        </w:rPr>
        <w:footnoteRef/>
      </w:r>
      <w:r w:rsidRPr="00193F20">
        <w:rPr>
          <w:lang w:val="en-US"/>
        </w:rPr>
        <w:tab/>
      </w:r>
      <w:r w:rsidRPr="00AA6997">
        <w:t>Commission Communication on the Digitalisation of justice in the European Union - A toolbox of opportunities, COM(2020) 710 final, 2.12.2020.</w:t>
      </w:r>
    </w:p>
  </w:footnote>
  <w:footnote w:id="11">
    <w:p w14:paraId="73765D7D" w14:textId="60404E30" w:rsidR="00CF260E" w:rsidRPr="006A0D14" w:rsidRDefault="00CF260E">
      <w:pPr>
        <w:pStyle w:val="FootnoteText"/>
        <w:rPr>
          <w:lang w:val="en-US"/>
        </w:rPr>
      </w:pPr>
      <w:r>
        <w:rPr>
          <w:rStyle w:val="FootnoteReference"/>
        </w:rPr>
        <w:footnoteRef/>
      </w:r>
      <w:r>
        <w:rPr>
          <w:lang w:val="en-US"/>
        </w:rPr>
        <w:tab/>
        <w:t>e</w:t>
      </w:r>
      <w:r w:rsidRPr="006A0D14">
        <w:rPr>
          <w:lang w:val="en-US"/>
        </w:rPr>
        <w:t xml:space="preserve">-CODEX is </w:t>
      </w:r>
      <w:r>
        <w:t>is a software package that enables connection between national systems, allowing users, such as judicial authorities, legal practitioners and members of the public, to send and receive documents, legal forms, evidence and other information in a swift and safe manner. e-CODEX is already used by the e-evidence digital exchange system (eEDES) and certain pilot projects. To ensure its long-term sustainability, the Commission has adopted a proposal to entrust its further development and maintenance to the EU Agency for the Operational Management of Large-Scale IT Systems in the Area of Freedom, Security and Justice.</w:t>
      </w:r>
    </w:p>
  </w:footnote>
  <w:footnote w:id="12">
    <w:p w14:paraId="10D4E7C5" w14:textId="2069AB1F" w:rsidR="00CF260E" w:rsidRPr="006A0D14" w:rsidRDefault="00CF260E">
      <w:pPr>
        <w:pStyle w:val="FootnoteText"/>
        <w:rPr>
          <w:lang w:val="en-US"/>
        </w:rPr>
      </w:pPr>
      <w:r>
        <w:rPr>
          <w:rStyle w:val="FootnoteReference"/>
        </w:rPr>
        <w:footnoteRef/>
      </w:r>
      <w:r w:rsidRPr="006A0D14">
        <w:rPr>
          <w:lang w:val="en-US"/>
        </w:rPr>
        <w:tab/>
      </w:r>
      <w:r>
        <w:rPr>
          <w:lang w:val="en-US"/>
        </w:rPr>
        <w:t>Commission Communication Commission Work Programme 2021, A Union of vitality in a world of fragility, COM(2020) 690 final.</w:t>
      </w:r>
    </w:p>
  </w:footnote>
  <w:footnote w:id="13">
    <w:p w14:paraId="4C07DB6B" w14:textId="3DECB0FA" w:rsidR="00CF260E" w:rsidRPr="00E529CF" w:rsidRDefault="00CF260E">
      <w:pPr>
        <w:pStyle w:val="FootnoteText"/>
        <w:rPr>
          <w:lang w:val="en-IE"/>
        </w:rPr>
      </w:pPr>
      <w:r>
        <w:rPr>
          <w:rStyle w:val="FootnoteReference"/>
        </w:rPr>
        <w:footnoteRef/>
      </w:r>
      <w:r w:rsidRPr="00E529CF">
        <w:rPr>
          <w:lang w:val="en-US"/>
        </w:rPr>
        <w:tab/>
        <w:t xml:space="preserve">Directive (EU) […/…] </w:t>
      </w:r>
      <w:r>
        <w:rPr>
          <w:lang w:val="en-US"/>
        </w:rPr>
        <w:t>of t</w:t>
      </w:r>
      <w:r w:rsidRPr="00E529CF">
        <w:rPr>
          <w:lang w:val="en-US"/>
        </w:rPr>
        <w:t xml:space="preserve">he European Parliament and </w:t>
      </w:r>
      <w:r>
        <w:rPr>
          <w:lang w:val="en-US"/>
        </w:rPr>
        <w:t>of</w:t>
      </w:r>
      <w:r w:rsidRPr="00E529CF">
        <w:rPr>
          <w:lang w:val="en-US"/>
        </w:rPr>
        <w:t xml:space="preserve"> </w:t>
      </w:r>
      <w:r>
        <w:rPr>
          <w:lang w:val="en-US"/>
        </w:rPr>
        <w:t>t</w:t>
      </w:r>
      <w:r w:rsidRPr="00E529CF">
        <w:rPr>
          <w:lang w:val="en-US"/>
        </w:rPr>
        <w:t>he Council amending Coun</w:t>
      </w:r>
      <w:r>
        <w:rPr>
          <w:lang w:val="en-US"/>
        </w:rPr>
        <w:t>cil Decision 2005/671/JHA, as regards its alignment with EU rules on the protection of personal data (OJ L ...).</w:t>
      </w:r>
    </w:p>
  </w:footnote>
  <w:footnote w:id="14">
    <w:p w14:paraId="34E8CC7B" w14:textId="77777777" w:rsidR="00CF260E" w:rsidRPr="00372FD1" w:rsidRDefault="00CF260E" w:rsidP="00F0090D">
      <w:pPr>
        <w:pStyle w:val="FootnoteText"/>
        <w:rPr>
          <w:lang w:val="en-US"/>
        </w:rPr>
      </w:pPr>
      <w:r>
        <w:rPr>
          <w:rStyle w:val="FootnoteReference"/>
        </w:rPr>
        <w:footnoteRef/>
      </w:r>
      <w:r w:rsidRPr="00372FD1">
        <w:rPr>
          <w:lang w:val="en-US"/>
        </w:rPr>
        <w:tab/>
        <w:t>Directive (EU) 2016/680 of the European Parliament and of the Council of 27 A</w:t>
      </w:r>
      <w:r>
        <w:rPr>
          <w:lang w:val="en-US"/>
        </w:rPr>
        <w:t xml:space="preserve">pril 2016 on the protection of </w:t>
      </w:r>
      <w:r w:rsidRPr="00372FD1">
        <w:rPr>
          <w:lang w:val="en-US"/>
        </w:rPr>
        <w:t>natural persons with regard to the processing of personal data by competent autho</w:t>
      </w:r>
      <w:r>
        <w:rPr>
          <w:lang w:val="en-US"/>
        </w:rPr>
        <w:t xml:space="preserve">rities for the purposes of the </w:t>
      </w:r>
      <w:r w:rsidRPr="00372FD1">
        <w:rPr>
          <w:lang w:val="en-US"/>
        </w:rPr>
        <w:t>prevention, investigation, detection or prosecution of criminal offences or the ex</w:t>
      </w:r>
      <w:r>
        <w:rPr>
          <w:lang w:val="en-US"/>
        </w:rPr>
        <w:t xml:space="preserve">ecution of criminal penalties, </w:t>
      </w:r>
      <w:r w:rsidRPr="00372FD1">
        <w:rPr>
          <w:lang w:val="en-US"/>
        </w:rPr>
        <w:t>and on the free movement of such data, and repealing Council</w:t>
      </w:r>
      <w:r>
        <w:rPr>
          <w:lang w:val="en-US"/>
        </w:rPr>
        <w:t xml:space="preserve"> Framework Decision 2008/977/JHA</w:t>
      </w:r>
      <w:r w:rsidRPr="00372FD1">
        <w:rPr>
          <w:lang w:val="en-US"/>
        </w:rPr>
        <w:t xml:space="preserve"> (O</w:t>
      </w:r>
      <w:r>
        <w:rPr>
          <w:lang w:val="en-US"/>
        </w:rPr>
        <w:t xml:space="preserve">J L 119, </w:t>
      </w:r>
      <w:r w:rsidRPr="00372FD1">
        <w:rPr>
          <w:lang w:val="en-US"/>
        </w:rPr>
        <w:t>4.5.2016, p. 89).</w:t>
      </w:r>
    </w:p>
  </w:footnote>
  <w:footnote w:id="15">
    <w:p w14:paraId="77DB70FC" w14:textId="2162DD53" w:rsidR="00CF260E" w:rsidRPr="00193F20" w:rsidRDefault="00CF260E">
      <w:pPr>
        <w:pStyle w:val="FootnoteText"/>
        <w:rPr>
          <w:lang w:val="en-US"/>
        </w:rPr>
      </w:pPr>
      <w:r>
        <w:rPr>
          <w:rStyle w:val="FootnoteReference"/>
        </w:rPr>
        <w:footnoteRef/>
      </w:r>
      <w:r w:rsidRPr="00193F20">
        <w:rPr>
          <w:lang w:val="en-US"/>
        </w:rPr>
        <w:tab/>
      </w:r>
      <w:r>
        <w:t xml:space="preserve">Commission Communication on the </w:t>
      </w:r>
      <w:r w:rsidRPr="00E34BE0">
        <w:t xml:space="preserve">EU Security Union </w:t>
      </w:r>
      <w:r>
        <w:t>s</w:t>
      </w:r>
      <w:r w:rsidRPr="00E34BE0">
        <w:t>trategy</w:t>
      </w:r>
      <w:r w:rsidRPr="7CC317AF">
        <w:t>,</w:t>
      </w:r>
      <w:r w:rsidRPr="00E34BE0">
        <w:t xml:space="preserve"> COM(2020) 605 final</w:t>
      </w:r>
      <w:r w:rsidRPr="7CC317AF">
        <w:t>.</w:t>
      </w:r>
    </w:p>
  </w:footnote>
  <w:footnote w:id="16">
    <w:p w14:paraId="388A76E6" w14:textId="68D185F4" w:rsidR="00CF260E" w:rsidRPr="00193F20" w:rsidRDefault="00CF260E">
      <w:pPr>
        <w:pStyle w:val="FootnoteText"/>
        <w:rPr>
          <w:lang w:val="en-US"/>
        </w:rPr>
      </w:pPr>
      <w:r>
        <w:rPr>
          <w:rStyle w:val="FootnoteReference"/>
        </w:rPr>
        <w:footnoteRef/>
      </w:r>
      <w:r w:rsidRPr="00193F20">
        <w:rPr>
          <w:lang w:val="en-US"/>
        </w:rPr>
        <w:tab/>
      </w:r>
      <w:r>
        <w:t xml:space="preserve">Commission Communication on a Counter-Terrorism agenda for the EU, </w:t>
      </w:r>
      <w:r w:rsidRPr="00E34BE0">
        <w:t>COM(2020) 795 final</w:t>
      </w:r>
      <w:r w:rsidRPr="7CC317AF">
        <w:t>.</w:t>
      </w:r>
    </w:p>
  </w:footnote>
  <w:footnote w:id="17">
    <w:p w14:paraId="33001911" w14:textId="490CC273" w:rsidR="00CF260E" w:rsidRPr="00193F20" w:rsidRDefault="00CF260E">
      <w:pPr>
        <w:pStyle w:val="FootnoteText"/>
        <w:rPr>
          <w:lang w:val="en-US"/>
        </w:rPr>
      </w:pPr>
      <w:r>
        <w:rPr>
          <w:rStyle w:val="FootnoteReference"/>
        </w:rPr>
        <w:footnoteRef/>
      </w:r>
      <w:r w:rsidRPr="00193F20">
        <w:rPr>
          <w:lang w:val="en-US"/>
        </w:rPr>
        <w:tab/>
      </w:r>
      <w:r>
        <w:t xml:space="preserve">Commission Communication on the EU strategy to tackle Organised Crime 2021-2025, </w:t>
      </w:r>
      <w:r w:rsidRPr="00CC2BCC">
        <w:rPr>
          <w:lang w:val="en-US"/>
        </w:rPr>
        <w:t>COM(2021) 170 final.</w:t>
      </w:r>
    </w:p>
  </w:footnote>
  <w:footnote w:id="18">
    <w:p w14:paraId="25CE6DE7" w14:textId="199CBCF6" w:rsidR="00CF260E" w:rsidRPr="000D157B" w:rsidRDefault="00CF260E">
      <w:pPr>
        <w:pStyle w:val="FootnoteText"/>
        <w:rPr>
          <w:lang w:val="en-US"/>
        </w:rPr>
      </w:pPr>
      <w:r>
        <w:rPr>
          <w:rStyle w:val="FootnoteReference"/>
        </w:rPr>
        <w:footnoteRef/>
      </w:r>
      <w:r w:rsidRPr="000D157B">
        <w:rPr>
          <w:lang w:val="en-US"/>
        </w:rPr>
        <w:tab/>
        <w:t>Cou</w:t>
      </w:r>
      <w:r>
        <w:rPr>
          <w:lang w:val="en-US"/>
        </w:rPr>
        <w:t>ncil Decision (EU) 2021/7072 of 16 March 2021</w:t>
      </w:r>
      <w:r w:rsidRPr="000D157B">
        <w:rPr>
          <w:lang w:val="en-US"/>
        </w:rPr>
        <w:t>.</w:t>
      </w:r>
    </w:p>
  </w:footnote>
  <w:footnote w:id="19">
    <w:p w14:paraId="7B5B10C1" w14:textId="77777777" w:rsidR="00CF260E" w:rsidRPr="006A50D1" w:rsidRDefault="00CF260E" w:rsidP="006A50D1">
      <w:pPr>
        <w:pStyle w:val="FootnoteText"/>
        <w:rPr>
          <w:lang w:val="en-US"/>
        </w:rPr>
      </w:pPr>
      <w:r>
        <w:rPr>
          <w:rStyle w:val="FootnoteReference"/>
        </w:rPr>
        <w:footnoteRef/>
      </w:r>
      <w:r w:rsidRPr="006A50D1">
        <w:rPr>
          <w:lang w:val="en-US"/>
        </w:rPr>
        <w:tab/>
        <w:t>Council Regulation (EU) 2017/1939 of 12 October 2017 implementing enhanced cooperation on the establishment of the European Public P</w:t>
      </w:r>
      <w:r>
        <w:rPr>
          <w:lang w:val="en-US"/>
        </w:rPr>
        <w:t>rosecutor’s Office (‘the EPPO’) (</w:t>
      </w:r>
      <w:r w:rsidRPr="006A50D1">
        <w:rPr>
          <w:lang w:val="en-US"/>
        </w:rPr>
        <w:t>OJ L 283, 31.10.2017, p. 1</w:t>
      </w:r>
      <w:r>
        <w:rPr>
          <w:lang w:val="en-US"/>
        </w:rPr>
        <w:t>).</w:t>
      </w:r>
    </w:p>
  </w:footnote>
  <w:footnote w:id="20">
    <w:p w14:paraId="6F9EB425" w14:textId="77777777" w:rsidR="00CF260E" w:rsidRPr="006A50D1" w:rsidRDefault="00CF260E">
      <w:pPr>
        <w:pStyle w:val="FootnoteText"/>
        <w:rPr>
          <w:lang w:val="en-US"/>
        </w:rPr>
      </w:pPr>
      <w:r>
        <w:rPr>
          <w:rStyle w:val="FootnoteReference"/>
        </w:rPr>
        <w:footnoteRef/>
      </w:r>
      <w:r w:rsidRPr="006A50D1">
        <w:rPr>
          <w:lang w:val="en-US"/>
        </w:rPr>
        <w:tab/>
        <w:t>Regulation (EU) 2016/794 of the European Parliament and of the Council of 11 May 2016 on the European Union Agency for Law Enforcement Cooperation (Europol) and replacing and repealing Council Decisions 2009/371/JHA, 2009/934/JHA, 2009/935/JHA, 2009/936/JHA and 2009/968/JHA</w:t>
      </w:r>
      <w:r>
        <w:rPr>
          <w:lang w:val="en-US"/>
        </w:rPr>
        <w:t xml:space="preserve"> (</w:t>
      </w:r>
      <w:r w:rsidRPr="006A50D1">
        <w:rPr>
          <w:lang w:val="en-US"/>
        </w:rPr>
        <w:t>OJ L 135, 24.5.2016, p. 53</w:t>
      </w:r>
      <w:r>
        <w:rPr>
          <w:lang w:val="en-US"/>
        </w:rPr>
        <w:t>).</w:t>
      </w:r>
    </w:p>
  </w:footnote>
  <w:footnote w:id="21">
    <w:p w14:paraId="3671EF58" w14:textId="77777777" w:rsidR="00CF260E" w:rsidRPr="00DF432B" w:rsidRDefault="00CF260E" w:rsidP="006A50D1">
      <w:pPr>
        <w:pStyle w:val="FootnoteText"/>
        <w:rPr>
          <w:lang w:val="en-US"/>
        </w:rPr>
      </w:pPr>
      <w:r>
        <w:rPr>
          <w:rStyle w:val="FootnoteReference"/>
        </w:rPr>
        <w:footnoteRef/>
      </w:r>
      <w:r w:rsidRPr="00DF432B">
        <w:rPr>
          <w:lang w:val="en-US"/>
        </w:rPr>
        <w:tab/>
      </w:r>
      <w:r w:rsidRPr="006A50D1">
        <w:rPr>
          <w:lang w:val="en-US"/>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w:t>
      </w:r>
      <w:r>
        <w:rPr>
          <w:lang w:val="en-US"/>
        </w:rPr>
        <w:t>gulation (Euratom) No 1074/1999 (</w:t>
      </w:r>
      <w:r w:rsidRPr="006A50D1">
        <w:rPr>
          <w:lang w:val="en-US"/>
        </w:rPr>
        <w:t>OJ L 248, 18.9.2013, p. 1</w:t>
      </w:r>
      <w:r>
        <w:rPr>
          <w:lang w:val="en-US"/>
        </w:rPr>
        <w:t>).</w:t>
      </w:r>
    </w:p>
  </w:footnote>
  <w:footnote w:id="22">
    <w:p w14:paraId="4BF7DF34" w14:textId="77777777" w:rsidR="00CF260E" w:rsidRPr="00DF432B" w:rsidRDefault="00CF260E" w:rsidP="00ED73EB">
      <w:pPr>
        <w:pStyle w:val="FootnoteText"/>
        <w:rPr>
          <w:lang w:val="en-US"/>
        </w:rPr>
      </w:pPr>
      <w:r>
        <w:rPr>
          <w:rStyle w:val="FootnoteReference"/>
        </w:rPr>
        <w:footnoteRef/>
      </w:r>
      <w:r w:rsidRPr="00DF432B">
        <w:rPr>
          <w:lang w:val="en-US"/>
        </w:rPr>
        <w:tab/>
      </w:r>
      <w:r w:rsidRPr="00ED73EB">
        <w:rPr>
          <w:lang w:val="en-US"/>
        </w:rPr>
        <w:t xml:space="preserve">Regulation (EU) 2019/1896 of the European Parliament and of the Council of 13 November 2019 on the European Border and Coast Guard and repealing Regulations (EU) </w:t>
      </w:r>
      <w:r>
        <w:rPr>
          <w:lang w:val="en-US"/>
        </w:rPr>
        <w:t>No 1052/2013 and (EU) 2016/1624 (</w:t>
      </w:r>
      <w:r w:rsidRPr="00ED73EB">
        <w:rPr>
          <w:lang w:val="en-US"/>
        </w:rPr>
        <w:t>OJ L 295, 14.11.2019, p. 1</w:t>
      </w:r>
      <w:r>
        <w:rPr>
          <w:lang w:val="en-US"/>
        </w:rPr>
        <w:t>).</w:t>
      </w:r>
    </w:p>
  </w:footnote>
  <w:footnote w:id="23">
    <w:p w14:paraId="12A01670" w14:textId="69364720" w:rsidR="00B83475" w:rsidRPr="00534D23" w:rsidRDefault="00B83475">
      <w:pPr>
        <w:pStyle w:val="FootnoteText"/>
        <w:rPr>
          <w:lang w:val="en-IE"/>
        </w:rPr>
      </w:pPr>
      <w:r>
        <w:rPr>
          <w:rStyle w:val="FootnoteReference"/>
        </w:rPr>
        <w:footnoteRef/>
      </w:r>
      <w:r>
        <w:rPr>
          <w:lang w:val="en-IE"/>
        </w:rPr>
        <w:tab/>
      </w:r>
      <w:r w:rsidRPr="00B83475">
        <w:rPr>
          <w:lang w:val="pt-PT"/>
        </w:rPr>
        <w:t>JOIN/2020/18 final</w:t>
      </w:r>
      <w:r>
        <w:rPr>
          <w:lang w:val="pt-PT"/>
        </w:rPr>
        <w:t>.</w:t>
      </w:r>
    </w:p>
  </w:footnote>
  <w:footnote w:id="24">
    <w:p w14:paraId="5389D748" w14:textId="44EDC8EB" w:rsidR="00B83475" w:rsidRPr="00534D23" w:rsidRDefault="00B83475">
      <w:pPr>
        <w:pStyle w:val="FootnoteText"/>
        <w:rPr>
          <w:lang w:val="en-IE"/>
        </w:rPr>
      </w:pPr>
      <w:r>
        <w:rPr>
          <w:rStyle w:val="FootnoteReference"/>
        </w:rPr>
        <w:footnoteRef/>
      </w:r>
      <w:r>
        <w:rPr>
          <w:lang w:val="en-IE"/>
        </w:rPr>
        <w:tab/>
      </w:r>
      <w:r w:rsidRPr="00B83475">
        <w:rPr>
          <w:lang w:val="pt-PT"/>
        </w:rPr>
        <w:t>COM 2020/823 final</w:t>
      </w:r>
      <w:r>
        <w:rPr>
          <w:lang w:val="pt-PT"/>
        </w:rPr>
        <w:t>.</w:t>
      </w:r>
    </w:p>
  </w:footnote>
  <w:footnote w:id="25">
    <w:p w14:paraId="7F3ABEBB" w14:textId="77777777" w:rsidR="00CF260E" w:rsidRPr="00013007" w:rsidRDefault="00CF260E" w:rsidP="00DF432B">
      <w:pPr>
        <w:pStyle w:val="FootnoteText"/>
      </w:pPr>
      <w:r>
        <w:rPr>
          <w:rStyle w:val="FootnoteReference"/>
        </w:rPr>
        <w:footnoteRef/>
      </w:r>
      <w:r w:rsidRPr="00013007">
        <w:rPr>
          <w:lang w:val="en-US"/>
        </w:rPr>
        <w:tab/>
      </w:r>
      <w:r w:rsidRPr="00013007">
        <w:t xml:space="preserve">Cross-border Digital Criminal Justice, Final Report, </w:t>
      </w:r>
      <w:hyperlink r:id="rId2" w:history="1">
        <w:r w:rsidRPr="00013007">
          <w:rPr>
            <w:rStyle w:val="Hyperlink"/>
          </w:rPr>
          <w:t>https://op.europa.eu/en/publication-detail/-/publication/e38795b5-f633-11ea-991b-01aa75ed71a1/language-en</w:t>
        </w:r>
      </w:hyperlink>
      <w:r w:rsidRPr="00013007">
        <w:t>.</w:t>
      </w:r>
    </w:p>
  </w:footnote>
  <w:footnote w:id="26">
    <w:p w14:paraId="0CFEDD12" w14:textId="5691FA28" w:rsidR="00CF260E" w:rsidRPr="006A0D14" w:rsidRDefault="00CF260E">
      <w:pPr>
        <w:pStyle w:val="FootnoteText"/>
        <w:rPr>
          <w:lang w:val="en-US"/>
        </w:rPr>
      </w:pPr>
      <w:r>
        <w:rPr>
          <w:rStyle w:val="FootnoteReference"/>
        </w:rPr>
        <w:footnoteRef/>
      </w:r>
      <w:r>
        <w:rPr>
          <w:lang w:val="en-US"/>
        </w:rPr>
        <w:tab/>
        <w:t>SWD(2021) 391.</w:t>
      </w:r>
    </w:p>
  </w:footnote>
  <w:footnote w:id="27">
    <w:p w14:paraId="0BB3FAE8" w14:textId="78195A9A" w:rsidR="00CF260E" w:rsidRPr="00715ADE" w:rsidRDefault="00CF260E">
      <w:pPr>
        <w:pStyle w:val="FootnoteText"/>
        <w:rPr>
          <w:lang w:val="en-US"/>
        </w:rPr>
      </w:pPr>
      <w:r>
        <w:rPr>
          <w:rStyle w:val="FootnoteReference"/>
        </w:rPr>
        <w:footnoteRef/>
      </w:r>
      <w:r w:rsidRPr="00715ADE">
        <w:rPr>
          <w:lang w:val="en-US"/>
        </w:rPr>
        <w:tab/>
        <w:t>Article 8 of the Charter of Fundamental Rights of the European Union (hereinafter ‘the Charter’).</w:t>
      </w:r>
    </w:p>
  </w:footnote>
  <w:footnote w:id="28">
    <w:p w14:paraId="12AD4A36" w14:textId="77777777" w:rsidR="00CF260E" w:rsidRPr="00715ADE" w:rsidRDefault="00CF260E">
      <w:pPr>
        <w:pStyle w:val="FootnoteText"/>
        <w:rPr>
          <w:lang w:val="en-US"/>
        </w:rPr>
      </w:pPr>
      <w:r>
        <w:rPr>
          <w:rStyle w:val="FootnoteReference"/>
        </w:rPr>
        <w:footnoteRef/>
      </w:r>
      <w:r w:rsidRPr="00715ADE">
        <w:rPr>
          <w:lang w:val="en-US"/>
        </w:rPr>
        <w:tab/>
      </w:r>
      <w:r>
        <w:t>A</w:t>
      </w:r>
      <w:r w:rsidRPr="006C72D3">
        <w:t>rticle 7 of the Charter.</w:t>
      </w:r>
    </w:p>
  </w:footnote>
  <w:footnote w:id="29">
    <w:p w14:paraId="1D04A860" w14:textId="77777777" w:rsidR="00CF260E" w:rsidRPr="003D3BE3" w:rsidRDefault="00CF260E">
      <w:pPr>
        <w:pStyle w:val="FootnoteText"/>
        <w:rPr>
          <w:lang w:val="en-US"/>
        </w:rPr>
      </w:pPr>
      <w:r w:rsidRPr="006D0ACA">
        <w:rPr>
          <w:rStyle w:val="FootnoteReference"/>
        </w:rPr>
        <w:footnoteRef/>
      </w:r>
      <w:r>
        <w:tab/>
      </w:r>
      <w:r w:rsidRPr="003D3BE3">
        <w:t xml:space="preserve">Cross-border Digital Criminal Justice, Final Report, </w:t>
      </w:r>
      <w:hyperlink r:id="rId3" w:history="1">
        <w:r w:rsidRPr="003D3BE3">
          <w:rPr>
            <w:rStyle w:val="Hyperlink"/>
          </w:rPr>
          <w:t>https://op.europa.eu/en/publication-detail/-/publication/e38795b5-f633-11ea-991b-01aa75ed71a1/language-en</w:t>
        </w:r>
      </w:hyperlink>
      <w:r>
        <w:t>, p. 244</w:t>
      </w:r>
      <w:r w:rsidRPr="003D3BE3">
        <w:t>.</w:t>
      </w:r>
    </w:p>
  </w:footnote>
  <w:footnote w:id="30">
    <w:p w14:paraId="7143A0CF" w14:textId="32FF1FDC" w:rsidR="00CF260E" w:rsidRPr="006A0D14" w:rsidRDefault="00CF260E">
      <w:pPr>
        <w:pStyle w:val="FootnoteText"/>
        <w:rPr>
          <w:lang w:val="en-US"/>
        </w:rPr>
      </w:pPr>
      <w:r>
        <w:rPr>
          <w:rStyle w:val="FootnoteReference"/>
        </w:rPr>
        <w:footnoteRef/>
      </w:r>
      <w:r w:rsidRPr="006A0D14">
        <w:rPr>
          <w:lang w:val="en-US"/>
        </w:rPr>
        <w:tab/>
        <w:t xml:space="preserve">The study </w:t>
      </w:r>
      <w:r>
        <w:rPr>
          <w:lang w:val="en-US"/>
        </w:rPr>
        <w:t>assumed a maintenance period</w:t>
      </w:r>
      <w:r w:rsidRPr="006A0D14">
        <w:rPr>
          <w:lang w:val="en-US"/>
        </w:rPr>
        <w:t xml:space="preserve"> </w:t>
      </w:r>
      <w:r>
        <w:rPr>
          <w:lang w:val="en-US"/>
        </w:rPr>
        <w:t>and a total amount of EUR 39 million. As the current EU budget (multiannual financial framework, MFF) only covers the period until 2027, the maintenance costs for the years 2028 and 2029 were deducted from this amount.</w:t>
      </w:r>
    </w:p>
  </w:footnote>
  <w:footnote w:id="31">
    <w:p w14:paraId="56BC2B89" w14:textId="4459692C" w:rsidR="00CF260E" w:rsidRPr="00F743B9" w:rsidRDefault="00CF260E">
      <w:pPr>
        <w:pStyle w:val="FootnoteText"/>
        <w:rPr>
          <w:lang w:val="en-US"/>
        </w:rPr>
      </w:pPr>
      <w:r>
        <w:rPr>
          <w:rStyle w:val="FootnoteReference"/>
        </w:rPr>
        <w:footnoteRef/>
      </w:r>
      <w:r w:rsidRPr="00F743B9">
        <w:rPr>
          <w:lang w:val="en-US"/>
        </w:rPr>
        <w:tab/>
        <w:t xml:space="preserve">Cross-border Digital Criminal Justice, Final Report, </w:t>
      </w:r>
      <w:hyperlink r:id="rId4" w:history="1">
        <w:r w:rsidRPr="00053DDC">
          <w:rPr>
            <w:rStyle w:val="Hyperlink"/>
            <w:lang w:val="en-US"/>
          </w:rPr>
          <w:t>https://op.europa.eu/en/publication-detail/-/publication/e38795b5-f633-11ea-991b-01aa75ed71a1/language-en</w:t>
        </w:r>
      </w:hyperlink>
      <w:r>
        <w:rPr>
          <w:lang w:val="en-US"/>
        </w:rPr>
        <w:t>, pp. 265 ff.</w:t>
      </w:r>
    </w:p>
  </w:footnote>
  <w:footnote w:id="32">
    <w:p w14:paraId="0BDF1D9C" w14:textId="77777777" w:rsidR="00CF260E" w:rsidRPr="00715ADE" w:rsidRDefault="00CF260E">
      <w:pPr>
        <w:pStyle w:val="FootnoteText"/>
        <w:rPr>
          <w:lang w:val="en-US"/>
        </w:rPr>
      </w:pPr>
      <w:r>
        <w:rPr>
          <w:rStyle w:val="FootnoteReference"/>
        </w:rPr>
        <w:footnoteRef/>
      </w:r>
      <w:r w:rsidRPr="00196C2B">
        <w:rPr>
          <w:lang w:val="en-US"/>
        </w:rPr>
        <w:tab/>
      </w:r>
      <w:r>
        <w:t>[….].</w:t>
      </w:r>
    </w:p>
  </w:footnote>
  <w:footnote w:id="33">
    <w:p w14:paraId="097FA04C" w14:textId="77777777" w:rsidR="00CF260E" w:rsidRPr="00715ADE" w:rsidRDefault="00CF260E">
      <w:pPr>
        <w:pStyle w:val="FootnoteText"/>
        <w:rPr>
          <w:lang w:val="en-US"/>
        </w:rPr>
      </w:pPr>
      <w:r>
        <w:rPr>
          <w:rStyle w:val="FootnoteReference"/>
        </w:rPr>
        <w:footnoteRef/>
      </w:r>
      <w:r w:rsidRPr="00715ADE">
        <w:rPr>
          <w:lang w:val="en-US"/>
        </w:rPr>
        <w:tab/>
      </w:r>
      <w:r w:rsidRPr="005C7FA3">
        <w:t>Regulation (EU) 2018/1727 of the European Parliament and of the Council of 14 November 2018 on the European Union Agency for Criminal Justice Cooperation (Eurojust), and replacing and repealing Council Decision 2002/187/JHA</w:t>
      </w:r>
      <w:r>
        <w:t xml:space="preserve"> (OJ L 295, 21.11.2018, p. </w:t>
      </w:r>
      <w:r w:rsidRPr="005C7FA3">
        <w:t>138</w:t>
      </w:r>
      <w:r>
        <w:t>).</w:t>
      </w:r>
    </w:p>
  </w:footnote>
  <w:footnote w:id="34">
    <w:p w14:paraId="0035470D" w14:textId="77777777" w:rsidR="00CF260E" w:rsidRPr="00715ADE" w:rsidRDefault="00CF260E">
      <w:pPr>
        <w:pStyle w:val="FootnoteText"/>
        <w:rPr>
          <w:lang w:val="en-US"/>
        </w:rPr>
      </w:pPr>
      <w:r>
        <w:rPr>
          <w:rStyle w:val="FootnoteReference"/>
        </w:rPr>
        <w:footnoteRef/>
      </w:r>
      <w:r w:rsidRPr="00715ADE">
        <w:rPr>
          <w:lang w:val="en-US"/>
        </w:rPr>
        <w:tab/>
      </w:r>
      <w:r w:rsidRPr="005C7FA3">
        <w:t>Council Decision 200</w:t>
      </w:r>
      <w:r>
        <w:t>5</w:t>
      </w:r>
      <w:r w:rsidRPr="005C7FA3">
        <w:t>/</w:t>
      </w:r>
      <w:r>
        <w:t>6</w:t>
      </w:r>
      <w:r w:rsidRPr="005C7FA3">
        <w:t>71/JHA of 20 September 2005 on the exchange of information and cooperation con</w:t>
      </w:r>
      <w:r>
        <w:t>cerning terrorist offences</w:t>
      </w:r>
      <w:r w:rsidRPr="005C7FA3">
        <w:t xml:space="preserve"> </w:t>
      </w:r>
      <w:r>
        <w:t>(</w:t>
      </w:r>
      <w:r w:rsidRPr="005C7FA3">
        <w:t>OJ</w:t>
      </w:r>
      <w:r>
        <w:t xml:space="preserve"> </w:t>
      </w:r>
      <w:r w:rsidRPr="005C7FA3">
        <w:t>L</w:t>
      </w:r>
      <w:r>
        <w:t xml:space="preserve"> </w:t>
      </w:r>
      <w:r w:rsidRPr="005C7FA3">
        <w:t>253</w:t>
      </w:r>
      <w:r>
        <w:t xml:space="preserve">, 29.09.2005, p. </w:t>
      </w:r>
      <w:r w:rsidRPr="005C7FA3">
        <w:t>22</w:t>
      </w:r>
      <w:r>
        <w:t>)</w:t>
      </w:r>
      <w:r w:rsidRPr="005C7FA3">
        <w:t>.</w:t>
      </w:r>
    </w:p>
  </w:footnote>
  <w:footnote w:id="35">
    <w:p w14:paraId="72DFA71D" w14:textId="54FDA639" w:rsidR="00CF260E" w:rsidRPr="006A0D14" w:rsidRDefault="00CF260E">
      <w:pPr>
        <w:pStyle w:val="FootnoteText"/>
        <w:rPr>
          <w:lang w:val="en-US"/>
        </w:rPr>
      </w:pPr>
      <w:r>
        <w:rPr>
          <w:rStyle w:val="FootnoteReference"/>
        </w:rPr>
        <w:footnoteRef/>
      </w:r>
      <w:r w:rsidRPr="006A0D14">
        <w:rPr>
          <w:lang w:val="en-US"/>
        </w:rPr>
        <w:tab/>
      </w:r>
      <w:r w:rsidRPr="002B14C9">
        <w:t>Directive (EU) 2017/541 of the European Parliament and of the Council of 15 March 2017 on combating terrorism and replacing Council Framework Decision 2002/475/JHA and amending Council Decision 2005/671/JHA (OJ L 88, 31.3.2017, p. 6).</w:t>
      </w:r>
    </w:p>
  </w:footnote>
  <w:footnote w:id="36">
    <w:p w14:paraId="114825DD" w14:textId="77777777" w:rsidR="00CF260E" w:rsidRPr="00715ADE" w:rsidRDefault="00CF260E">
      <w:pPr>
        <w:pStyle w:val="FootnoteText"/>
        <w:rPr>
          <w:lang w:val="en-US"/>
        </w:rPr>
      </w:pPr>
      <w:r>
        <w:rPr>
          <w:rStyle w:val="FootnoteReference"/>
        </w:rPr>
        <w:footnoteRef/>
      </w:r>
      <w:r w:rsidRPr="00715ADE">
        <w:rPr>
          <w:lang w:val="en-US"/>
        </w:rPr>
        <w:tab/>
      </w:r>
      <w:r>
        <w:t>Council Decision 2008/976/JHA of 16 December 2008 on the European Judicial Network (OJ L 348, 24.12.2008, p. 130).</w:t>
      </w:r>
      <w:r w:rsidRPr="00715ADE">
        <w:rPr>
          <w:lang w:val="en-US"/>
        </w:rPr>
        <w:tab/>
      </w:r>
    </w:p>
  </w:footnote>
  <w:footnote w:id="37">
    <w:p w14:paraId="38AA8275" w14:textId="2974978B" w:rsidR="00CF260E" w:rsidRPr="00715ADE" w:rsidRDefault="00CF260E">
      <w:pPr>
        <w:pStyle w:val="FootnoteText"/>
        <w:rPr>
          <w:lang w:val="en-US"/>
        </w:rPr>
      </w:pPr>
      <w:r w:rsidRPr="00BE5431">
        <w:rPr>
          <w:rStyle w:val="FootnoteReference"/>
        </w:rPr>
        <w:footnoteRef/>
      </w:r>
      <w:r w:rsidRPr="00BE5431">
        <w:rPr>
          <w:lang w:val="en-US"/>
        </w:rPr>
        <w:tab/>
      </w:r>
      <w:r w:rsidRPr="00BE5431">
        <w:t xml:space="preserve">Regulation (EU) </w:t>
      </w:r>
      <w:r w:rsidRPr="006A0D14">
        <w:t xml:space="preserve">[…/…] </w:t>
      </w:r>
      <w:r w:rsidRPr="00BE5431">
        <w:t>of the European Parliament and of the Council on the digitalisation of judicial cooperation and access to justice in civil, commercial and criminal law cases</w:t>
      </w:r>
      <w:r w:rsidRPr="006A0D14">
        <w:t xml:space="preserve"> (</w:t>
      </w:r>
      <w:r>
        <w:t>OJ L…</w:t>
      </w:r>
      <w:r w:rsidRPr="006A0D14">
        <w:t>)</w:t>
      </w:r>
      <w:r w:rsidRPr="00BE5431">
        <w:t>.</w:t>
      </w:r>
    </w:p>
  </w:footnote>
  <w:footnote w:id="38">
    <w:p w14:paraId="3A5C215A" w14:textId="11070E8B" w:rsidR="00CF260E" w:rsidRPr="00715ADE" w:rsidRDefault="00CF260E" w:rsidP="00350ADD">
      <w:pPr>
        <w:pStyle w:val="FootnoteText"/>
        <w:rPr>
          <w:lang w:val="en-US"/>
        </w:rPr>
      </w:pPr>
      <w:r w:rsidRPr="00BE5431">
        <w:rPr>
          <w:rStyle w:val="FootnoteReference"/>
        </w:rPr>
        <w:footnoteRef/>
      </w:r>
      <w:r w:rsidRPr="00BE5431">
        <w:rPr>
          <w:lang w:val="en-US"/>
        </w:rPr>
        <w:tab/>
      </w:r>
      <w:r w:rsidRPr="00BE5431">
        <w:t xml:space="preserve">Regulation (EU) </w:t>
      </w:r>
      <w:r w:rsidRPr="00F40C9E">
        <w:t xml:space="preserve">[…/…] </w:t>
      </w:r>
      <w:r w:rsidRPr="00BE5431">
        <w:t>of the European Parliament and of the Council on the digitalisation of judicial cooperation and access to justice in civil, commercial and criminal law cases</w:t>
      </w:r>
      <w:r w:rsidRPr="00F40C9E">
        <w:t xml:space="preserve"> (</w:t>
      </w:r>
      <w:r>
        <w:t>OJ L…</w:t>
      </w:r>
      <w:r w:rsidRPr="00F40C9E">
        <w:t>)</w:t>
      </w:r>
      <w:r w:rsidRPr="00BE5431">
        <w:t>.</w:t>
      </w:r>
    </w:p>
  </w:footnote>
  <w:footnote w:id="39">
    <w:p w14:paraId="3332AB2C" w14:textId="6421EC68" w:rsidR="00CF260E" w:rsidRPr="00350ADD" w:rsidRDefault="00CF260E">
      <w:pPr>
        <w:pStyle w:val="FootnoteText"/>
        <w:rPr>
          <w:lang w:val="en-US"/>
        </w:rPr>
      </w:pPr>
      <w:r>
        <w:rPr>
          <w:rStyle w:val="FootnoteReference"/>
        </w:rPr>
        <w:footnoteRef/>
      </w:r>
      <w:r w:rsidRPr="00350ADD">
        <w:rPr>
          <w:lang w:val="en-US"/>
        </w:rPr>
        <w:tab/>
      </w:r>
      <w:r w:rsidRPr="00350ADD">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40">
    <w:p w14:paraId="07D6ECC2" w14:textId="7B8C575F" w:rsidR="00CF260E" w:rsidRPr="006A0D14" w:rsidRDefault="00CF260E">
      <w:pPr>
        <w:pStyle w:val="FootnoteText"/>
        <w:rPr>
          <w:lang w:val="en-US"/>
        </w:rPr>
      </w:pPr>
      <w:r>
        <w:rPr>
          <w:rStyle w:val="FootnoteReference"/>
        </w:rPr>
        <w:footnoteRef/>
      </w:r>
      <w:r w:rsidRPr="006A0D14">
        <w:rPr>
          <w:lang w:val="en-US"/>
        </w:rPr>
        <w:tab/>
      </w:r>
      <w:r w:rsidRPr="00830F8B">
        <w:t>https://joinup.ec.europa.eu/collection/nifo-national-interoperability-framework-observatory/european-interoperability-framework</w:t>
      </w:r>
      <w:r w:rsidRPr="7CC317AF">
        <w:t>.</w:t>
      </w:r>
    </w:p>
  </w:footnote>
  <w:footnote w:id="41">
    <w:p w14:paraId="54E23D31" w14:textId="77777777" w:rsidR="00CF260E" w:rsidRPr="00715ADE" w:rsidRDefault="00CF260E">
      <w:pPr>
        <w:pStyle w:val="FootnoteText"/>
        <w:rPr>
          <w:lang w:val="en-US"/>
        </w:rPr>
      </w:pPr>
      <w:r>
        <w:rPr>
          <w:rStyle w:val="FootnoteReference"/>
        </w:rPr>
        <w:footnoteRef/>
      </w:r>
      <w:r w:rsidRPr="00715ADE">
        <w:rPr>
          <w:lang w:val="en-US"/>
        </w:rPr>
        <w:tab/>
      </w:r>
      <w:r w:rsidRPr="00C21869">
        <w:t>Agreement between the European Union and the European Atomic Energy Community, of the one part, and the United Kingdom of Great Britain and Nort</w:t>
      </w:r>
      <w:r>
        <w:t>hern Ireland, of the other part</w:t>
      </w:r>
      <w:r w:rsidRPr="00C21869">
        <w:t xml:space="preserve"> </w:t>
      </w:r>
      <w:r>
        <w:t>(</w:t>
      </w:r>
      <w:r w:rsidRPr="00C21869">
        <w:t>OJ L</w:t>
      </w:r>
      <w:r>
        <w:t xml:space="preserve"> </w:t>
      </w:r>
      <w:r w:rsidRPr="00C21869">
        <w:t>149</w:t>
      </w:r>
      <w:r>
        <w:t>, 30.4.2021, p.</w:t>
      </w:r>
      <w:r w:rsidRPr="00C21869">
        <w:t>10</w:t>
      </w:r>
      <w:r>
        <w:t>)</w:t>
      </w:r>
      <w:r w:rsidRPr="00C21869">
        <w:t>.</w:t>
      </w:r>
    </w:p>
  </w:footnote>
  <w:footnote w:id="42">
    <w:p w14:paraId="065265CF" w14:textId="77777777" w:rsidR="00CF260E" w:rsidRPr="00715ADE" w:rsidRDefault="00CF260E">
      <w:pPr>
        <w:pStyle w:val="FootnoteText"/>
        <w:rPr>
          <w:lang w:val="en-US"/>
        </w:rPr>
      </w:pPr>
      <w:r>
        <w:rPr>
          <w:rStyle w:val="FootnoteReference"/>
        </w:rPr>
        <w:footnoteRef/>
      </w:r>
      <w:r w:rsidRPr="00715ADE">
        <w:rPr>
          <w:lang w:val="en-US"/>
        </w:rPr>
        <w:tab/>
      </w:r>
      <w:r w:rsidRPr="0025259D">
        <w:t>Council Decision (EU) 2021/7072</w:t>
      </w:r>
      <w:r>
        <w:t xml:space="preserve"> of 16 March 2021.</w:t>
      </w:r>
    </w:p>
  </w:footnote>
  <w:footnote w:id="43">
    <w:p w14:paraId="1EE85485" w14:textId="77777777" w:rsidR="00CF260E" w:rsidRPr="00715ADE" w:rsidRDefault="00CF260E">
      <w:pPr>
        <w:pStyle w:val="FootnoteText"/>
        <w:rPr>
          <w:lang w:val="en-US"/>
        </w:rPr>
      </w:pPr>
      <w:r>
        <w:rPr>
          <w:rStyle w:val="FootnoteReference"/>
        </w:rPr>
        <w:footnoteRef/>
      </w:r>
      <w:r w:rsidRPr="00715ADE">
        <w:rPr>
          <w:lang w:val="en-US"/>
        </w:rPr>
        <w:tab/>
        <w:t>Council Decision 2008/976/JHA of 16 December 2008 on the European Judicial Network, (OJ L 348, 24.12.2008, p. 130).</w:t>
      </w:r>
    </w:p>
  </w:footnote>
  <w:footnote w:id="44">
    <w:p w14:paraId="5E59FC0E" w14:textId="77777777" w:rsidR="00CF260E" w:rsidRDefault="00CF260E" w:rsidP="160710AA">
      <w:pPr>
        <w:pStyle w:val="FootnoteText"/>
        <w:rPr>
          <w:szCs w:val="24"/>
        </w:rPr>
      </w:pPr>
      <w:r>
        <w:rPr>
          <w:rStyle w:val="FootnoteReference"/>
        </w:rPr>
        <w:footnoteRef/>
      </w:r>
      <w:r>
        <w:tab/>
        <w:t>As referred to in Article 58(2)(a) or (b) of the Financial Regulation.</w:t>
      </w:r>
    </w:p>
  </w:footnote>
  <w:footnote w:id="45">
    <w:p w14:paraId="3D2796AD" w14:textId="4B73A0D0" w:rsidR="00CF260E" w:rsidRPr="00E34BE0" w:rsidRDefault="00CF260E" w:rsidP="00ED2926">
      <w:pPr>
        <w:pStyle w:val="FootnoteText"/>
        <w:rPr>
          <w:lang w:val="en-US"/>
        </w:rPr>
      </w:pPr>
      <w:r w:rsidRPr="00BE7C1D">
        <w:rPr>
          <w:rStyle w:val="FootnoteReference"/>
        </w:rPr>
        <w:footnoteRef/>
      </w:r>
      <w:r>
        <w:tab/>
        <w:t xml:space="preserve">Commission Communication on the </w:t>
      </w:r>
      <w:r w:rsidRPr="00E34BE0">
        <w:t>EU Security Union Strategy</w:t>
      </w:r>
      <w:r>
        <w:t>,</w:t>
      </w:r>
      <w:r w:rsidRPr="00E34BE0">
        <w:t xml:space="preserve"> COM(2020) 605 final</w:t>
      </w:r>
      <w:r>
        <w:t>.</w:t>
      </w:r>
    </w:p>
  </w:footnote>
  <w:footnote w:id="46">
    <w:p w14:paraId="32CC52C6" w14:textId="7EA6A7BE" w:rsidR="00CF260E" w:rsidRPr="00E34BE0" w:rsidRDefault="00CF260E" w:rsidP="00ED2926">
      <w:pPr>
        <w:pStyle w:val="FootnoteText"/>
        <w:rPr>
          <w:lang w:val="en-US"/>
        </w:rPr>
      </w:pPr>
      <w:r w:rsidRPr="00BE7C1D">
        <w:rPr>
          <w:rStyle w:val="FootnoteReference"/>
        </w:rPr>
        <w:footnoteRef/>
      </w:r>
      <w:r>
        <w:tab/>
        <w:t xml:space="preserve">Commission Communication on a Counter-Terrorism Agenda for the EU, </w:t>
      </w:r>
      <w:r w:rsidRPr="00E34BE0">
        <w:t>COM(2020) 795 final</w:t>
      </w:r>
    </w:p>
  </w:footnote>
  <w:footnote w:id="47">
    <w:p w14:paraId="63904D4B" w14:textId="30C57EE9" w:rsidR="00CF260E" w:rsidRPr="00E34BE0" w:rsidRDefault="00CF260E" w:rsidP="00ED2926">
      <w:pPr>
        <w:pStyle w:val="FootnoteText"/>
        <w:rPr>
          <w:lang w:val="en-US"/>
        </w:rPr>
      </w:pPr>
      <w:r w:rsidRPr="00BE7C1D">
        <w:rPr>
          <w:rStyle w:val="FootnoteReference"/>
        </w:rPr>
        <w:footnoteRef/>
      </w:r>
      <w:r>
        <w:tab/>
      </w:r>
      <w:r w:rsidRPr="00AA6997">
        <w:t>Commission Communication on the Digitalisation of justice in the European Union - A toolbox of opportunities, COM(2020) 710 final, 2.12.2020.</w:t>
      </w:r>
    </w:p>
  </w:footnote>
  <w:footnote w:id="48">
    <w:p w14:paraId="31F22E82" w14:textId="2A9C8BC5" w:rsidR="00CF260E" w:rsidRPr="00CC2BCC" w:rsidRDefault="00CF260E" w:rsidP="00ED2926">
      <w:pPr>
        <w:pStyle w:val="FootnoteText"/>
        <w:rPr>
          <w:lang w:val="en-US"/>
        </w:rPr>
      </w:pPr>
      <w:r w:rsidRPr="00BE7C1D">
        <w:rPr>
          <w:rStyle w:val="FootnoteReference"/>
        </w:rPr>
        <w:footnoteRef/>
      </w:r>
      <w:r>
        <w:tab/>
        <w:t xml:space="preserve">Commission Communication on the EU Strategy to tackle Organised Crime 2021-2025, </w:t>
      </w:r>
      <w:r w:rsidRPr="00CC2BCC">
        <w:rPr>
          <w:lang w:val="en-US"/>
        </w:rPr>
        <w:t>COM(2021) 170 final.</w:t>
      </w:r>
    </w:p>
  </w:footnote>
  <w:footnote w:id="49">
    <w:p w14:paraId="32EEF929" w14:textId="77777777" w:rsidR="00CF260E" w:rsidRDefault="00CF260E" w:rsidP="160710AA">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5" w:history="1">
        <w:r w:rsidRPr="00805B56">
          <w:rPr>
            <w:rStyle w:val="Hyperlink"/>
          </w:rPr>
          <w:t>https://myintracomm.ec.europa.eu/budgweb/EN/man/budgmanag/Pages/budgmanag.aspx</w:t>
        </w:r>
      </w:hyperlink>
      <w:r w:rsidRPr="58C9E2C4">
        <w:t xml:space="preserve"> </w:t>
      </w:r>
    </w:p>
  </w:footnote>
  <w:footnote w:id="50">
    <w:p w14:paraId="14D95BC2" w14:textId="7AF5E912" w:rsidR="00CF260E" w:rsidRPr="009A09F6" w:rsidRDefault="00CF260E" w:rsidP="004D3101">
      <w:pPr>
        <w:pStyle w:val="FootnoteText"/>
        <w:rPr>
          <w:lang w:val="fr-BE"/>
        </w:rPr>
      </w:pPr>
      <w:r w:rsidRPr="00BE7C1D">
        <w:rPr>
          <w:rStyle w:val="FootnoteReference"/>
        </w:rPr>
        <w:footnoteRef/>
      </w:r>
      <w:r>
        <w:rPr>
          <w:lang w:val="fr-BE"/>
        </w:rPr>
        <w:tab/>
      </w:r>
      <w:r w:rsidRPr="009A09F6">
        <w:rPr>
          <w:lang w:val="fr-BE"/>
        </w:rPr>
        <w:t xml:space="preserve">Regulation (EU) 2017/1727. </w:t>
      </w:r>
    </w:p>
  </w:footnote>
  <w:footnote w:id="51">
    <w:p w14:paraId="71A1EE5A" w14:textId="46FB44EF" w:rsidR="00CF260E" w:rsidRPr="009A09F6" w:rsidRDefault="00CF260E" w:rsidP="004D3101">
      <w:pPr>
        <w:pStyle w:val="FootnoteText"/>
        <w:rPr>
          <w:lang w:val="fr-BE"/>
        </w:rPr>
      </w:pPr>
      <w:r w:rsidRPr="00BE7C1D">
        <w:rPr>
          <w:rStyle w:val="FootnoteReference"/>
        </w:rPr>
        <w:footnoteRef/>
      </w:r>
      <w:r w:rsidRPr="00BE7C1D">
        <w:rPr>
          <w:lang w:val="fr-BE"/>
        </w:rPr>
        <w:tab/>
      </w:r>
      <w:hyperlink r:id="rId6" w:history="1">
        <w:r w:rsidRPr="00450E61">
          <w:rPr>
            <w:rStyle w:val="Hyperlink"/>
            <w:lang w:val="fr-BE"/>
          </w:rPr>
          <w:t>https://europa.eu/european-union/sites/default/files/docs/body/joint_statement_and_common_approach_2012_en.pdf</w:t>
        </w:r>
      </w:hyperlink>
      <w:r w:rsidRPr="009A09F6">
        <w:rPr>
          <w:lang w:val="fr-BE"/>
        </w:rPr>
        <w:t xml:space="preserve">. </w:t>
      </w:r>
    </w:p>
  </w:footnote>
  <w:footnote w:id="52">
    <w:p w14:paraId="6C41DA78" w14:textId="77777777" w:rsidR="00CF260E" w:rsidRDefault="00CF260E" w:rsidP="160710AA">
      <w:pPr>
        <w:pStyle w:val="FootnoteText"/>
        <w:rPr>
          <w:szCs w:val="24"/>
        </w:rPr>
      </w:pPr>
      <w:r>
        <w:rPr>
          <w:rStyle w:val="FootnoteReference"/>
        </w:rPr>
        <w:footnoteRef/>
      </w:r>
      <w:r w:rsidRPr="00534D23">
        <w:tab/>
        <w:t xml:space="preserve">Diff. </w:t>
      </w:r>
      <w:r>
        <w:t>= Differentiated appropriations / Non-diff. = Non-differentiated appropriations.</w:t>
      </w:r>
    </w:p>
  </w:footnote>
  <w:footnote w:id="53">
    <w:p w14:paraId="35671D76" w14:textId="77777777" w:rsidR="00CF260E" w:rsidRDefault="00CF260E" w:rsidP="160710AA">
      <w:pPr>
        <w:pStyle w:val="FootnoteText"/>
        <w:rPr>
          <w:szCs w:val="24"/>
        </w:rPr>
      </w:pPr>
      <w:r>
        <w:rPr>
          <w:rStyle w:val="FootnoteReference"/>
        </w:rPr>
        <w:footnoteRef/>
      </w:r>
      <w:r>
        <w:tab/>
        <w:t xml:space="preserve">EFTA: European Free Trade Association. </w:t>
      </w:r>
    </w:p>
  </w:footnote>
  <w:footnote w:id="54">
    <w:p w14:paraId="4FE2190C" w14:textId="77777777" w:rsidR="00CF260E" w:rsidRDefault="00CF260E" w:rsidP="160710AA">
      <w:pPr>
        <w:pStyle w:val="FootnoteText"/>
        <w:rPr>
          <w:szCs w:val="24"/>
        </w:rPr>
      </w:pPr>
      <w:r>
        <w:rPr>
          <w:rStyle w:val="FootnoteReference"/>
        </w:rPr>
        <w:footnoteRef/>
      </w:r>
      <w:r>
        <w:tab/>
        <w:t>Candidate countries and, where applicable, potential candidates from the Western Balkans.</w:t>
      </w:r>
    </w:p>
  </w:footnote>
  <w:footnote w:id="55">
    <w:p w14:paraId="2FE7D1C1" w14:textId="2EABE480" w:rsidR="00CF260E" w:rsidRPr="00957C3E" w:rsidRDefault="00CF260E" w:rsidP="000217AE">
      <w:pPr>
        <w:pStyle w:val="FootnoteText"/>
        <w:rPr>
          <w:lang w:val="en-US"/>
        </w:rPr>
      </w:pPr>
      <w:r w:rsidRPr="00BE7C1D">
        <w:rPr>
          <w:rStyle w:val="FootnoteReference"/>
        </w:rPr>
        <w:footnoteRef/>
      </w:r>
      <w:r>
        <w:tab/>
      </w:r>
      <w:r w:rsidRPr="00FC2178">
        <w:t>Technical costs under Title 3 include operating and maintenance costs as all costs related to the CMS are currently committed under Title 3</w:t>
      </w:r>
      <w:r>
        <w:t>.</w:t>
      </w:r>
    </w:p>
  </w:footnote>
  <w:footnote w:id="56">
    <w:p w14:paraId="6B669E45" w14:textId="77777777" w:rsidR="00A838BB" w:rsidRDefault="00A838BB" w:rsidP="160710AA">
      <w:pPr>
        <w:pStyle w:val="FootnoteText"/>
        <w:rPr>
          <w:szCs w:val="24"/>
        </w:rPr>
      </w:pPr>
      <w:r>
        <w:rPr>
          <w:rStyle w:val="FootnoteReference"/>
        </w:rPr>
        <w:footnoteRef/>
      </w:r>
      <w:r>
        <w:tab/>
        <w:t>Year N is the year in which implementation of the proposal/initiative starts.</w:t>
      </w:r>
      <w:r w:rsidRPr="00A71F5B">
        <w:rPr>
          <w:sz w:val="18"/>
          <w:szCs w:val="18"/>
        </w:rPr>
        <w:t xml:space="preserve"> </w:t>
      </w:r>
      <w:r w:rsidRPr="007974DD">
        <w:rPr>
          <w:sz w:val="18"/>
          <w:szCs w:val="18"/>
        </w:rPr>
        <w:t>Please replace "N" by the expected first year of implementation (for instance: 2021)</w:t>
      </w:r>
      <w:r>
        <w:rPr>
          <w:sz w:val="18"/>
          <w:szCs w:val="18"/>
        </w:rPr>
        <w:t>. T</w:t>
      </w:r>
      <w:r w:rsidRPr="007974DD">
        <w:rPr>
          <w:sz w:val="18"/>
          <w:szCs w:val="18"/>
        </w:rPr>
        <w:t>he same for the following years</w:t>
      </w:r>
      <w:r>
        <w:rPr>
          <w:sz w:val="18"/>
          <w:szCs w:val="18"/>
        </w:rPr>
        <w:t>.</w:t>
      </w:r>
    </w:p>
  </w:footnote>
  <w:footnote w:id="57">
    <w:p w14:paraId="5AD2B001" w14:textId="77777777" w:rsidR="00CF260E" w:rsidRDefault="00CF260E" w:rsidP="160710AA">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8">
    <w:p w14:paraId="5FB708C7" w14:textId="70C1292B" w:rsidR="00CF260E" w:rsidRDefault="00CF260E" w:rsidP="160710AA">
      <w:pPr>
        <w:pStyle w:val="FootnoteText"/>
        <w:rPr>
          <w:szCs w:val="24"/>
        </w:rPr>
      </w:pPr>
      <w:r>
        <w:rPr>
          <w:rStyle w:val="FootnoteReference"/>
        </w:rPr>
        <w:footnoteRef/>
      </w:r>
      <w:r>
        <w:tab/>
        <w:t>As described in point 1.4.2. ‘Specific objective(s)’</w:t>
      </w:r>
    </w:p>
  </w:footnote>
  <w:footnote w:id="59">
    <w:p w14:paraId="0BD8A226" w14:textId="5AE13932" w:rsidR="00CF260E" w:rsidRPr="0044799B" w:rsidRDefault="00CF260E" w:rsidP="00906BEE">
      <w:pPr>
        <w:pStyle w:val="FootnoteText"/>
        <w:rPr>
          <w:lang w:val="en-US"/>
        </w:rPr>
      </w:pPr>
      <w:r w:rsidRPr="00BE7C1D">
        <w:rPr>
          <w:rStyle w:val="FootnoteReference"/>
        </w:rPr>
        <w:footnoteRef/>
      </w:r>
      <w:r>
        <w:tab/>
      </w:r>
      <w:r w:rsidRPr="0044799B">
        <w:rPr>
          <w:lang w:val="en-US"/>
        </w:rPr>
        <w:t>The costs estimates for staff are cumulative and have been made on the basis of the average costs for temporary and contract staff, indexed to the correction coefficient applicable for the Netherlands as of 07/2020 (113,9%).</w:t>
      </w:r>
    </w:p>
  </w:footnote>
  <w:footnote w:id="60">
    <w:p w14:paraId="10D135D8" w14:textId="2C877D0B" w:rsidR="00CF260E" w:rsidRPr="0044799B" w:rsidRDefault="00CF260E" w:rsidP="00906BEE">
      <w:pPr>
        <w:pStyle w:val="FootnoteText"/>
        <w:rPr>
          <w:lang w:val="en-US"/>
        </w:rPr>
      </w:pPr>
      <w:r w:rsidRPr="00BE7C1D">
        <w:rPr>
          <w:rStyle w:val="FootnoteReference"/>
        </w:rPr>
        <w:footnoteRef/>
      </w:r>
      <w:r>
        <w:tab/>
      </w:r>
      <w:r>
        <w:rPr>
          <w:lang w:val="en-US"/>
        </w:rPr>
        <w:t>C</w:t>
      </w:r>
      <w:r w:rsidRPr="0044799B">
        <w:rPr>
          <w:lang w:val="en-US"/>
        </w:rPr>
        <w:t xml:space="preserve">umulative. The number indicated under each year is the number of </w:t>
      </w:r>
      <w:r>
        <w:rPr>
          <w:lang w:val="en-US"/>
        </w:rPr>
        <w:t xml:space="preserve">old staff from the previous year(s) and </w:t>
      </w:r>
      <w:r w:rsidRPr="0044799B">
        <w:rPr>
          <w:lang w:val="en-US"/>
        </w:rPr>
        <w:t>newly recruited staff. The total number of new staff (</w:t>
      </w:r>
      <w:r>
        <w:rPr>
          <w:lang w:val="en-US"/>
        </w:rPr>
        <w:t>25) will be reached in 2027</w:t>
      </w:r>
      <w:r w:rsidRPr="0044799B">
        <w:rPr>
          <w:lang w:val="en-US"/>
        </w:rPr>
        <w:t>.</w:t>
      </w:r>
    </w:p>
  </w:footnote>
  <w:footnote w:id="61">
    <w:p w14:paraId="450B4F20" w14:textId="77777777" w:rsidR="00CF260E" w:rsidRDefault="00CF260E" w:rsidP="160710AA">
      <w:pPr>
        <w:pStyle w:val="FootnoteText"/>
        <w:rPr>
          <w:szCs w:val="24"/>
        </w:rPr>
      </w:pPr>
      <w:r>
        <w:rPr>
          <w:rStyle w:val="FootnoteReference"/>
        </w:rPr>
        <w:footnoteRef/>
      </w:r>
      <w:r>
        <w:tab/>
        <w:t xml:space="preserve">AC = Contract Staff; AL = Local Staff; END = Seconded National Expert; INT = agency staff; JPD = Junior </w:t>
      </w:r>
      <w:r w:rsidRPr="00547C99">
        <w:t>Professional</w:t>
      </w:r>
      <w:r>
        <w:t>s</w:t>
      </w:r>
      <w:r w:rsidRPr="00547C99">
        <w:t xml:space="preserve"> </w:t>
      </w:r>
      <w:r>
        <w:t xml:space="preserve">in Delegations. </w:t>
      </w:r>
    </w:p>
  </w:footnote>
  <w:footnote w:id="62">
    <w:p w14:paraId="5DE7462E" w14:textId="77777777" w:rsidR="00CF260E" w:rsidRDefault="00CF260E" w:rsidP="160710AA">
      <w:pPr>
        <w:pStyle w:val="FootnoteText"/>
        <w:rPr>
          <w:szCs w:val="24"/>
        </w:rPr>
      </w:pPr>
      <w:r>
        <w:rPr>
          <w:rStyle w:val="FootnoteReference"/>
        </w:rPr>
        <w:footnoteRef/>
      </w:r>
      <w:r>
        <w:tab/>
        <w:t>Sub-ceiling for external staff covered by operational appropriations (former ‘BA’ lines).</w:t>
      </w:r>
    </w:p>
  </w:footnote>
  <w:footnote w:id="63">
    <w:p w14:paraId="0C7C3E76" w14:textId="77777777" w:rsidR="00CF260E" w:rsidRDefault="00CF260E" w:rsidP="00D42205">
      <w:pPr>
        <w:pStyle w:val="FootnoteText"/>
      </w:pPr>
      <w:r>
        <w:rPr>
          <w:rStyle w:val="FootnoteReference"/>
        </w:rPr>
        <w:footnoteRef/>
      </w:r>
      <w:r>
        <w:tab/>
        <w:t xml:space="preserve">Mainly for the EU Cohesion Policy Funds, the European Agricultural Fund for Rural Development (EAFRD) and the European Maritime Fisheries and Aquaculture Fund (EMFAF).  </w:t>
      </w:r>
    </w:p>
    <w:p w14:paraId="1574EFFD" w14:textId="77777777" w:rsidR="00CF260E" w:rsidRPr="001D4F31" w:rsidRDefault="00CF260E" w:rsidP="00D42205">
      <w:pPr>
        <w:pStyle w:val="FootnoteText"/>
        <w:rPr>
          <w:szCs w:val="24"/>
          <w:lang w:val="en-IE"/>
        </w:rPr>
      </w:pPr>
    </w:p>
  </w:footnote>
  <w:footnote w:id="64">
    <w:p w14:paraId="7FDE22D0" w14:textId="77777777" w:rsidR="00CF260E" w:rsidRDefault="00CF260E" w:rsidP="160710AA">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6CBD" w14:textId="77777777" w:rsidR="00A618F2" w:rsidRPr="00A618F2" w:rsidRDefault="00A618F2" w:rsidP="00A618F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9422" w14:textId="77777777" w:rsidR="00A618F2" w:rsidRPr="00A618F2" w:rsidRDefault="00A618F2" w:rsidP="00A618F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C7F7" w14:textId="77777777" w:rsidR="007A1133" w:rsidRPr="007A1133" w:rsidRDefault="007A1133" w:rsidP="00A618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255D" w14:textId="77777777" w:rsidR="00A618F2" w:rsidRPr="00A618F2" w:rsidRDefault="00A618F2" w:rsidP="00A6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F88F7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EBA44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FCD0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514451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620B5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96D6C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3C7D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994FCA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16"/>
    <w:lvlOverride w:ilvl="0">
      <w:startOverride w:val="1"/>
    </w:lvlOverride>
  </w:num>
  <w:num w:numId="20">
    <w:abstractNumId w:val="30"/>
  </w:num>
  <w:num w:numId="21">
    <w:abstractNumId w:val="27"/>
  </w:num>
  <w:num w:numId="22">
    <w:abstractNumId w:val="22"/>
  </w:num>
  <w:num w:numId="23">
    <w:abstractNumId w:val="14"/>
  </w:num>
  <w:num w:numId="24">
    <w:abstractNumId w:val="8"/>
  </w:num>
  <w:num w:numId="25">
    <w:abstractNumId w:val="15"/>
  </w:num>
  <w:num w:numId="26">
    <w:abstractNumId w:val="9"/>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2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6"/>
  </w:num>
  <w:num w:numId="37">
    <w:abstractNumId w:val="29"/>
  </w:num>
  <w:num w:numId="38">
    <w:abstractNumId w:val="13"/>
  </w:num>
  <w:num w:numId="39">
    <w:abstractNumId w:val="17"/>
  </w:num>
  <w:num w:numId="40">
    <w:abstractNumId w:val="11"/>
  </w:num>
  <w:num w:numId="41">
    <w:abstractNumId w:val="28"/>
  </w:num>
  <w:num w:numId="42">
    <w:abstractNumId w:val="10"/>
  </w:num>
  <w:num w:numId="43">
    <w:abstractNumId w:val="19"/>
  </w:num>
  <w:num w:numId="44">
    <w:abstractNumId w:val="23"/>
  </w:num>
  <w:num w:numId="45">
    <w:abstractNumId w:val="24"/>
  </w:num>
  <w:num w:numId="46">
    <w:abstractNumId w:val="12"/>
  </w:num>
  <w:num w:numId="47">
    <w:abstractNumId w:val="21"/>
  </w:num>
  <w:num w:numId="48">
    <w:abstractNumId w:val="31"/>
  </w:num>
  <w:num w:numId="49">
    <w:abstractNumId w:val="28"/>
  </w:num>
  <w:num w:numId="50">
    <w:abstractNumId w:val="28"/>
  </w:num>
  <w:num w:numId="51">
    <w:abstractNumId w:val="28"/>
  </w:num>
  <w:num w:numId="52">
    <w:abstractNumId w:val="18"/>
  </w:num>
  <w:num w:numId="53">
    <w:abstractNumId w:val="11"/>
  </w:num>
  <w:num w:numId="54">
    <w:abstractNumId w:val="11"/>
  </w:num>
  <w:num w:numId="55">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26 13:57:1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D208259-9D1F-45E6-A2AC-632A14C5E682"/>
    <w:docVar w:name="LW_COVERPAGE_TYPE" w:val="1"/>
    <w:docVar w:name="LW_CROSSREFERENCE" w:val="{SWD(2021) 391 final}"/>
    <w:docVar w:name="LW_DocType" w:val="COM"/>
    <w:docVar w:name="LW_EMISSION" w:val="1.12.2021"/>
    <w:docVar w:name="LW_EMISSION_ISODATE" w:val="2021-12-0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93"/>
    <w:docVar w:name="LW_REF.II.NEW.CP_YEAR" w:val="2021"/>
    <w:docVar w:name="LW_REF.INST.NEW" w:val="COM"/>
    <w:docVar w:name="LW_REF.INST.NEW_ADOPTED" w:val="final"/>
    <w:docVar w:name="LW_REF.INST.NEW_TEXT" w:val="(2021)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8/1727 of the European Parliament and the Council and Council Decision 2005/671/JHA, as regards the digital information exchange in terrorism cases"/>
    <w:docVar w:name="LW_TYPE.DOC.CP" w:val="REGULATION OF THE EUROPEAN PARLIAMENT AND OF THE COUNCIL"/>
    <w:docVar w:name="LwApiVersions" w:val="LW4CoDe 1.23.2.0; LW 8.0, Build 20211117"/>
  </w:docVars>
  <w:rsids>
    <w:rsidRoot w:val="00EB0A3C"/>
    <w:rsid w:val="00000EE2"/>
    <w:rsid w:val="00001EF1"/>
    <w:rsid w:val="0000298A"/>
    <w:rsid w:val="00003299"/>
    <w:rsid w:val="00003559"/>
    <w:rsid w:val="00004792"/>
    <w:rsid w:val="00013007"/>
    <w:rsid w:val="00014070"/>
    <w:rsid w:val="0001418E"/>
    <w:rsid w:val="00014D6B"/>
    <w:rsid w:val="00014D79"/>
    <w:rsid w:val="00015835"/>
    <w:rsid w:val="000217AE"/>
    <w:rsid w:val="00033A53"/>
    <w:rsid w:val="00034149"/>
    <w:rsid w:val="0003748B"/>
    <w:rsid w:val="00040C7C"/>
    <w:rsid w:val="00041D98"/>
    <w:rsid w:val="00044802"/>
    <w:rsid w:val="000449CC"/>
    <w:rsid w:val="00045161"/>
    <w:rsid w:val="00047DFD"/>
    <w:rsid w:val="00050ADC"/>
    <w:rsid w:val="00054CE5"/>
    <w:rsid w:val="00055D75"/>
    <w:rsid w:val="000723BB"/>
    <w:rsid w:val="00077618"/>
    <w:rsid w:val="0008065C"/>
    <w:rsid w:val="0008085C"/>
    <w:rsid w:val="000835D7"/>
    <w:rsid w:val="00086D04"/>
    <w:rsid w:val="0009077D"/>
    <w:rsid w:val="00093010"/>
    <w:rsid w:val="00095608"/>
    <w:rsid w:val="00095AE6"/>
    <w:rsid w:val="000A0580"/>
    <w:rsid w:val="000A3523"/>
    <w:rsid w:val="000A52BB"/>
    <w:rsid w:val="000A7517"/>
    <w:rsid w:val="000B4B42"/>
    <w:rsid w:val="000C3EBC"/>
    <w:rsid w:val="000C5DA4"/>
    <w:rsid w:val="000C6AEC"/>
    <w:rsid w:val="000C70EF"/>
    <w:rsid w:val="000C7791"/>
    <w:rsid w:val="000D157B"/>
    <w:rsid w:val="000D1D15"/>
    <w:rsid w:val="000D2F65"/>
    <w:rsid w:val="000D68E2"/>
    <w:rsid w:val="000D757F"/>
    <w:rsid w:val="000E198E"/>
    <w:rsid w:val="000E71EF"/>
    <w:rsid w:val="000F03C5"/>
    <w:rsid w:val="000F0981"/>
    <w:rsid w:val="000F494A"/>
    <w:rsid w:val="000F4E6A"/>
    <w:rsid w:val="00100645"/>
    <w:rsid w:val="00101907"/>
    <w:rsid w:val="00101C36"/>
    <w:rsid w:val="00104ADF"/>
    <w:rsid w:val="0010640D"/>
    <w:rsid w:val="00106ED9"/>
    <w:rsid w:val="00111467"/>
    <w:rsid w:val="0011172B"/>
    <w:rsid w:val="0011642E"/>
    <w:rsid w:val="00121E2C"/>
    <w:rsid w:val="00121F28"/>
    <w:rsid w:val="00133963"/>
    <w:rsid w:val="00133AF4"/>
    <w:rsid w:val="001430C9"/>
    <w:rsid w:val="00143576"/>
    <w:rsid w:val="0014382F"/>
    <w:rsid w:val="00146009"/>
    <w:rsid w:val="00146939"/>
    <w:rsid w:val="00150D79"/>
    <w:rsid w:val="001526F4"/>
    <w:rsid w:val="001602B0"/>
    <w:rsid w:val="001674C8"/>
    <w:rsid w:val="00167E37"/>
    <w:rsid w:val="001719AE"/>
    <w:rsid w:val="001800CF"/>
    <w:rsid w:val="001831CE"/>
    <w:rsid w:val="00183611"/>
    <w:rsid w:val="0018409A"/>
    <w:rsid w:val="0018420F"/>
    <w:rsid w:val="00187E2E"/>
    <w:rsid w:val="00193F20"/>
    <w:rsid w:val="00195FE5"/>
    <w:rsid w:val="00196409"/>
    <w:rsid w:val="00196C2B"/>
    <w:rsid w:val="00197F34"/>
    <w:rsid w:val="001A2AF9"/>
    <w:rsid w:val="001A7678"/>
    <w:rsid w:val="001B1106"/>
    <w:rsid w:val="001B21B9"/>
    <w:rsid w:val="001B2863"/>
    <w:rsid w:val="001B37C1"/>
    <w:rsid w:val="001B5FC3"/>
    <w:rsid w:val="001B6792"/>
    <w:rsid w:val="001C25A7"/>
    <w:rsid w:val="001C2816"/>
    <w:rsid w:val="001D251A"/>
    <w:rsid w:val="001D2F0D"/>
    <w:rsid w:val="001E1475"/>
    <w:rsid w:val="001E2698"/>
    <w:rsid w:val="001E388E"/>
    <w:rsid w:val="001F14ED"/>
    <w:rsid w:val="001F1518"/>
    <w:rsid w:val="001F1E46"/>
    <w:rsid w:val="001F2B76"/>
    <w:rsid w:val="00200E65"/>
    <w:rsid w:val="0020584E"/>
    <w:rsid w:val="00221FF8"/>
    <w:rsid w:val="00223013"/>
    <w:rsid w:val="0022302F"/>
    <w:rsid w:val="0022315B"/>
    <w:rsid w:val="00223B55"/>
    <w:rsid w:val="00225796"/>
    <w:rsid w:val="00225898"/>
    <w:rsid w:val="00226A96"/>
    <w:rsid w:val="0022743C"/>
    <w:rsid w:val="00227AAA"/>
    <w:rsid w:val="00230731"/>
    <w:rsid w:val="00232E98"/>
    <w:rsid w:val="00240A7E"/>
    <w:rsid w:val="00242369"/>
    <w:rsid w:val="002436E4"/>
    <w:rsid w:val="002463D5"/>
    <w:rsid w:val="0025259D"/>
    <w:rsid w:val="00257BB6"/>
    <w:rsid w:val="00261455"/>
    <w:rsid w:val="00264943"/>
    <w:rsid w:val="002678BD"/>
    <w:rsid w:val="00267D0E"/>
    <w:rsid w:val="002710AC"/>
    <w:rsid w:val="00274581"/>
    <w:rsid w:val="002809FA"/>
    <w:rsid w:val="00281017"/>
    <w:rsid w:val="00282EF2"/>
    <w:rsid w:val="002A087B"/>
    <w:rsid w:val="002A4ABD"/>
    <w:rsid w:val="002A62EC"/>
    <w:rsid w:val="002B14C9"/>
    <w:rsid w:val="002B1990"/>
    <w:rsid w:val="002B3C40"/>
    <w:rsid w:val="002C5E26"/>
    <w:rsid w:val="002C63E1"/>
    <w:rsid w:val="002C7C73"/>
    <w:rsid w:val="002D7040"/>
    <w:rsid w:val="002D72A6"/>
    <w:rsid w:val="002E0D46"/>
    <w:rsid w:val="002E5326"/>
    <w:rsid w:val="002E7B42"/>
    <w:rsid w:val="002F0533"/>
    <w:rsid w:val="002F68FE"/>
    <w:rsid w:val="003046FD"/>
    <w:rsid w:val="003053B5"/>
    <w:rsid w:val="00306677"/>
    <w:rsid w:val="00307A53"/>
    <w:rsid w:val="00307EB2"/>
    <w:rsid w:val="0031219E"/>
    <w:rsid w:val="00315C0B"/>
    <w:rsid w:val="003223BD"/>
    <w:rsid w:val="00323D63"/>
    <w:rsid w:val="003324FA"/>
    <w:rsid w:val="003334EF"/>
    <w:rsid w:val="003335A9"/>
    <w:rsid w:val="00335DBD"/>
    <w:rsid w:val="003371F0"/>
    <w:rsid w:val="003401B6"/>
    <w:rsid w:val="00345DDD"/>
    <w:rsid w:val="00350ADD"/>
    <w:rsid w:val="003517C3"/>
    <w:rsid w:val="00351F9A"/>
    <w:rsid w:val="00360BA1"/>
    <w:rsid w:val="00372FD1"/>
    <w:rsid w:val="003737F8"/>
    <w:rsid w:val="003769C4"/>
    <w:rsid w:val="00377B3F"/>
    <w:rsid w:val="00381044"/>
    <w:rsid w:val="0038429E"/>
    <w:rsid w:val="003A2FEB"/>
    <w:rsid w:val="003B12ED"/>
    <w:rsid w:val="003B21D7"/>
    <w:rsid w:val="003B59FF"/>
    <w:rsid w:val="003C2FC0"/>
    <w:rsid w:val="003C7DDE"/>
    <w:rsid w:val="003D0074"/>
    <w:rsid w:val="003D1D2C"/>
    <w:rsid w:val="003D34A1"/>
    <w:rsid w:val="003D3A7C"/>
    <w:rsid w:val="003D3BE3"/>
    <w:rsid w:val="003E1664"/>
    <w:rsid w:val="003E3A27"/>
    <w:rsid w:val="003F209E"/>
    <w:rsid w:val="003F2A7C"/>
    <w:rsid w:val="00403874"/>
    <w:rsid w:val="004074FF"/>
    <w:rsid w:val="0041167C"/>
    <w:rsid w:val="00414F8C"/>
    <w:rsid w:val="00415053"/>
    <w:rsid w:val="0042005A"/>
    <w:rsid w:val="0042485A"/>
    <w:rsid w:val="00430B03"/>
    <w:rsid w:val="00432A95"/>
    <w:rsid w:val="00436363"/>
    <w:rsid w:val="0044405B"/>
    <w:rsid w:val="00450CE1"/>
    <w:rsid w:val="00451503"/>
    <w:rsid w:val="004568E6"/>
    <w:rsid w:val="00461608"/>
    <w:rsid w:val="00462F14"/>
    <w:rsid w:val="00463F84"/>
    <w:rsid w:val="00474438"/>
    <w:rsid w:val="00477399"/>
    <w:rsid w:val="00483345"/>
    <w:rsid w:val="00484A0E"/>
    <w:rsid w:val="0048528A"/>
    <w:rsid w:val="00490DC9"/>
    <w:rsid w:val="004974F9"/>
    <w:rsid w:val="004A2087"/>
    <w:rsid w:val="004A67F3"/>
    <w:rsid w:val="004B68C9"/>
    <w:rsid w:val="004C25EB"/>
    <w:rsid w:val="004C34D8"/>
    <w:rsid w:val="004C538D"/>
    <w:rsid w:val="004D181C"/>
    <w:rsid w:val="004D2520"/>
    <w:rsid w:val="004D3101"/>
    <w:rsid w:val="004D3DB7"/>
    <w:rsid w:val="004D54A1"/>
    <w:rsid w:val="004E0629"/>
    <w:rsid w:val="004E22B8"/>
    <w:rsid w:val="004E439A"/>
    <w:rsid w:val="004E682B"/>
    <w:rsid w:val="004E720C"/>
    <w:rsid w:val="004E7BC1"/>
    <w:rsid w:val="004F0B61"/>
    <w:rsid w:val="004F2975"/>
    <w:rsid w:val="004F6320"/>
    <w:rsid w:val="004F6517"/>
    <w:rsid w:val="004F66D4"/>
    <w:rsid w:val="0050030B"/>
    <w:rsid w:val="00500A6A"/>
    <w:rsid w:val="0051347E"/>
    <w:rsid w:val="005152E7"/>
    <w:rsid w:val="0051581E"/>
    <w:rsid w:val="00515BB0"/>
    <w:rsid w:val="00515CE1"/>
    <w:rsid w:val="005161C8"/>
    <w:rsid w:val="00522247"/>
    <w:rsid w:val="00526582"/>
    <w:rsid w:val="00534D23"/>
    <w:rsid w:val="00535666"/>
    <w:rsid w:val="00537298"/>
    <w:rsid w:val="00544459"/>
    <w:rsid w:val="005445BF"/>
    <w:rsid w:val="0055313A"/>
    <w:rsid w:val="00553E3B"/>
    <w:rsid w:val="00560246"/>
    <w:rsid w:val="00560FF6"/>
    <w:rsid w:val="00566FAA"/>
    <w:rsid w:val="00584C80"/>
    <w:rsid w:val="00585048"/>
    <w:rsid w:val="00594B9E"/>
    <w:rsid w:val="00595519"/>
    <w:rsid w:val="005959B5"/>
    <w:rsid w:val="00595FAC"/>
    <w:rsid w:val="005A045B"/>
    <w:rsid w:val="005A29AD"/>
    <w:rsid w:val="005B0479"/>
    <w:rsid w:val="005B0A19"/>
    <w:rsid w:val="005B1D3F"/>
    <w:rsid w:val="005B2C37"/>
    <w:rsid w:val="005B3969"/>
    <w:rsid w:val="005B63A2"/>
    <w:rsid w:val="005B7297"/>
    <w:rsid w:val="005D456F"/>
    <w:rsid w:val="005D636D"/>
    <w:rsid w:val="005E020D"/>
    <w:rsid w:val="005E432A"/>
    <w:rsid w:val="005E7CF8"/>
    <w:rsid w:val="005F3AA9"/>
    <w:rsid w:val="005F51FE"/>
    <w:rsid w:val="005F5760"/>
    <w:rsid w:val="005F6A7E"/>
    <w:rsid w:val="005F7943"/>
    <w:rsid w:val="00604E05"/>
    <w:rsid w:val="0060533C"/>
    <w:rsid w:val="006121D0"/>
    <w:rsid w:val="006136DC"/>
    <w:rsid w:val="00615067"/>
    <w:rsid w:val="00617252"/>
    <w:rsid w:val="00617977"/>
    <w:rsid w:val="00621474"/>
    <w:rsid w:val="00626C6A"/>
    <w:rsid w:val="00633ED0"/>
    <w:rsid w:val="006356F5"/>
    <w:rsid w:val="00643008"/>
    <w:rsid w:val="00670CD3"/>
    <w:rsid w:val="00674118"/>
    <w:rsid w:val="0067788A"/>
    <w:rsid w:val="00694595"/>
    <w:rsid w:val="006A0D14"/>
    <w:rsid w:val="006A27FE"/>
    <w:rsid w:val="006A50D1"/>
    <w:rsid w:val="006A5C31"/>
    <w:rsid w:val="006B0103"/>
    <w:rsid w:val="006C1CA7"/>
    <w:rsid w:val="006C72D3"/>
    <w:rsid w:val="006C78BE"/>
    <w:rsid w:val="006D070D"/>
    <w:rsid w:val="006D089C"/>
    <w:rsid w:val="006D0ACA"/>
    <w:rsid w:val="006D0C68"/>
    <w:rsid w:val="006D1312"/>
    <w:rsid w:val="006D3B69"/>
    <w:rsid w:val="006E1804"/>
    <w:rsid w:val="006E524A"/>
    <w:rsid w:val="006F178C"/>
    <w:rsid w:val="0070128F"/>
    <w:rsid w:val="007044A5"/>
    <w:rsid w:val="00704A1E"/>
    <w:rsid w:val="007074A5"/>
    <w:rsid w:val="0071208E"/>
    <w:rsid w:val="00712C86"/>
    <w:rsid w:val="00715ADE"/>
    <w:rsid w:val="00720167"/>
    <w:rsid w:val="00721E38"/>
    <w:rsid w:val="0072282A"/>
    <w:rsid w:val="00723976"/>
    <w:rsid w:val="007270A0"/>
    <w:rsid w:val="00727D15"/>
    <w:rsid w:val="00733850"/>
    <w:rsid w:val="007447EF"/>
    <w:rsid w:val="00753CE1"/>
    <w:rsid w:val="007609D6"/>
    <w:rsid w:val="007640EB"/>
    <w:rsid w:val="007A1133"/>
    <w:rsid w:val="007A17CE"/>
    <w:rsid w:val="007A613C"/>
    <w:rsid w:val="007A7A43"/>
    <w:rsid w:val="007A7F2F"/>
    <w:rsid w:val="007B0370"/>
    <w:rsid w:val="007B26CA"/>
    <w:rsid w:val="007B2D5A"/>
    <w:rsid w:val="007B5BE7"/>
    <w:rsid w:val="007B7D4A"/>
    <w:rsid w:val="007C06F6"/>
    <w:rsid w:val="007C4522"/>
    <w:rsid w:val="007C6575"/>
    <w:rsid w:val="007C6BF5"/>
    <w:rsid w:val="007D1494"/>
    <w:rsid w:val="007D2CDA"/>
    <w:rsid w:val="007D50BA"/>
    <w:rsid w:val="007D5116"/>
    <w:rsid w:val="007D7837"/>
    <w:rsid w:val="007E00F6"/>
    <w:rsid w:val="007E6658"/>
    <w:rsid w:val="007E7AD2"/>
    <w:rsid w:val="007F0695"/>
    <w:rsid w:val="007F463D"/>
    <w:rsid w:val="007F5CD0"/>
    <w:rsid w:val="00800CFF"/>
    <w:rsid w:val="00804BF1"/>
    <w:rsid w:val="00805B56"/>
    <w:rsid w:val="00807EE5"/>
    <w:rsid w:val="008101E0"/>
    <w:rsid w:val="008164F8"/>
    <w:rsid w:val="008167A3"/>
    <w:rsid w:val="008168A5"/>
    <w:rsid w:val="00816B3B"/>
    <w:rsid w:val="00825B7A"/>
    <w:rsid w:val="00825D60"/>
    <w:rsid w:val="00826C92"/>
    <w:rsid w:val="008271BC"/>
    <w:rsid w:val="00827757"/>
    <w:rsid w:val="00827B5B"/>
    <w:rsid w:val="00830938"/>
    <w:rsid w:val="0083191B"/>
    <w:rsid w:val="0083334D"/>
    <w:rsid w:val="00847239"/>
    <w:rsid w:val="00862834"/>
    <w:rsid w:val="00862E51"/>
    <w:rsid w:val="0086392E"/>
    <w:rsid w:val="00864CD8"/>
    <w:rsid w:val="008661D1"/>
    <w:rsid w:val="00874B54"/>
    <w:rsid w:val="0087726B"/>
    <w:rsid w:val="0088305B"/>
    <w:rsid w:val="00884B70"/>
    <w:rsid w:val="008911CF"/>
    <w:rsid w:val="008921B0"/>
    <w:rsid w:val="008C039C"/>
    <w:rsid w:val="008C482E"/>
    <w:rsid w:val="008D0D63"/>
    <w:rsid w:val="008D1A3D"/>
    <w:rsid w:val="008D5DAB"/>
    <w:rsid w:val="008E133B"/>
    <w:rsid w:val="008E168D"/>
    <w:rsid w:val="008E46D4"/>
    <w:rsid w:val="008E4B0E"/>
    <w:rsid w:val="008E5CBC"/>
    <w:rsid w:val="008F4A03"/>
    <w:rsid w:val="00900A33"/>
    <w:rsid w:val="009048AA"/>
    <w:rsid w:val="00906733"/>
    <w:rsid w:val="00906BEE"/>
    <w:rsid w:val="009104C3"/>
    <w:rsid w:val="00910A5C"/>
    <w:rsid w:val="0091271D"/>
    <w:rsid w:val="00917476"/>
    <w:rsid w:val="0091777E"/>
    <w:rsid w:val="00917943"/>
    <w:rsid w:val="00917AAD"/>
    <w:rsid w:val="0092153D"/>
    <w:rsid w:val="009253BB"/>
    <w:rsid w:val="00927099"/>
    <w:rsid w:val="00930C06"/>
    <w:rsid w:val="009364D8"/>
    <w:rsid w:val="00937679"/>
    <w:rsid w:val="009421DD"/>
    <w:rsid w:val="009422EB"/>
    <w:rsid w:val="00942508"/>
    <w:rsid w:val="00943F7F"/>
    <w:rsid w:val="009507AE"/>
    <w:rsid w:val="009562DA"/>
    <w:rsid w:val="00965753"/>
    <w:rsid w:val="0097506C"/>
    <w:rsid w:val="00986B33"/>
    <w:rsid w:val="00987AD5"/>
    <w:rsid w:val="00991849"/>
    <w:rsid w:val="009949F2"/>
    <w:rsid w:val="009A024F"/>
    <w:rsid w:val="009A3AD8"/>
    <w:rsid w:val="009A4346"/>
    <w:rsid w:val="009B12C6"/>
    <w:rsid w:val="009B1761"/>
    <w:rsid w:val="009B1D04"/>
    <w:rsid w:val="009B22E1"/>
    <w:rsid w:val="009B7138"/>
    <w:rsid w:val="009C7DC0"/>
    <w:rsid w:val="009D1D5B"/>
    <w:rsid w:val="009D6505"/>
    <w:rsid w:val="009D7C9E"/>
    <w:rsid w:val="009F1FBC"/>
    <w:rsid w:val="009F44C4"/>
    <w:rsid w:val="009F7B81"/>
    <w:rsid w:val="00A052E2"/>
    <w:rsid w:val="00A11308"/>
    <w:rsid w:val="00A14AEE"/>
    <w:rsid w:val="00A157BD"/>
    <w:rsid w:val="00A1799F"/>
    <w:rsid w:val="00A320C8"/>
    <w:rsid w:val="00A3340E"/>
    <w:rsid w:val="00A34DBC"/>
    <w:rsid w:val="00A40364"/>
    <w:rsid w:val="00A4095B"/>
    <w:rsid w:val="00A473D9"/>
    <w:rsid w:val="00A578F5"/>
    <w:rsid w:val="00A60383"/>
    <w:rsid w:val="00A618F2"/>
    <w:rsid w:val="00A630A8"/>
    <w:rsid w:val="00A67A79"/>
    <w:rsid w:val="00A72E78"/>
    <w:rsid w:val="00A75A07"/>
    <w:rsid w:val="00A76285"/>
    <w:rsid w:val="00A83782"/>
    <w:rsid w:val="00A838BB"/>
    <w:rsid w:val="00A848FA"/>
    <w:rsid w:val="00A84943"/>
    <w:rsid w:val="00A8552E"/>
    <w:rsid w:val="00A91C8F"/>
    <w:rsid w:val="00AA3CDE"/>
    <w:rsid w:val="00AA4F65"/>
    <w:rsid w:val="00AA7ACB"/>
    <w:rsid w:val="00AB0BF4"/>
    <w:rsid w:val="00AB5C86"/>
    <w:rsid w:val="00AB63ED"/>
    <w:rsid w:val="00AC116B"/>
    <w:rsid w:val="00AC2EC8"/>
    <w:rsid w:val="00AC4718"/>
    <w:rsid w:val="00AC6533"/>
    <w:rsid w:val="00AC79B9"/>
    <w:rsid w:val="00AD11EB"/>
    <w:rsid w:val="00AD6074"/>
    <w:rsid w:val="00AE2319"/>
    <w:rsid w:val="00AE27B4"/>
    <w:rsid w:val="00AF1E8A"/>
    <w:rsid w:val="00AF2230"/>
    <w:rsid w:val="00AF46FC"/>
    <w:rsid w:val="00AF6C45"/>
    <w:rsid w:val="00B0081F"/>
    <w:rsid w:val="00B05CD6"/>
    <w:rsid w:val="00B05D7B"/>
    <w:rsid w:val="00B10821"/>
    <w:rsid w:val="00B15031"/>
    <w:rsid w:val="00B2088F"/>
    <w:rsid w:val="00B23DF5"/>
    <w:rsid w:val="00B35B93"/>
    <w:rsid w:val="00B44ABF"/>
    <w:rsid w:val="00B44E65"/>
    <w:rsid w:val="00B457A7"/>
    <w:rsid w:val="00B50AC3"/>
    <w:rsid w:val="00B5109F"/>
    <w:rsid w:val="00B52D62"/>
    <w:rsid w:val="00B5420C"/>
    <w:rsid w:val="00B551A0"/>
    <w:rsid w:val="00B56DBE"/>
    <w:rsid w:val="00B61C1A"/>
    <w:rsid w:val="00B66F5A"/>
    <w:rsid w:val="00B747AD"/>
    <w:rsid w:val="00B75AEB"/>
    <w:rsid w:val="00B81A3D"/>
    <w:rsid w:val="00B83475"/>
    <w:rsid w:val="00B84B5F"/>
    <w:rsid w:val="00B8657E"/>
    <w:rsid w:val="00B91C45"/>
    <w:rsid w:val="00B922AF"/>
    <w:rsid w:val="00B952BF"/>
    <w:rsid w:val="00B9631D"/>
    <w:rsid w:val="00B97443"/>
    <w:rsid w:val="00BA2FA2"/>
    <w:rsid w:val="00BA3F09"/>
    <w:rsid w:val="00BA5A57"/>
    <w:rsid w:val="00BA5D81"/>
    <w:rsid w:val="00BB09A2"/>
    <w:rsid w:val="00BB67BE"/>
    <w:rsid w:val="00BB6CE0"/>
    <w:rsid w:val="00BB72D8"/>
    <w:rsid w:val="00BC0FA1"/>
    <w:rsid w:val="00BC46FA"/>
    <w:rsid w:val="00BD03A3"/>
    <w:rsid w:val="00BD4426"/>
    <w:rsid w:val="00BD513B"/>
    <w:rsid w:val="00BE080C"/>
    <w:rsid w:val="00BE246D"/>
    <w:rsid w:val="00BE5431"/>
    <w:rsid w:val="00BE5CEC"/>
    <w:rsid w:val="00BE7B12"/>
    <w:rsid w:val="00BE7C1D"/>
    <w:rsid w:val="00BF17AA"/>
    <w:rsid w:val="00BF2F78"/>
    <w:rsid w:val="00BF39A5"/>
    <w:rsid w:val="00BF4398"/>
    <w:rsid w:val="00BF6696"/>
    <w:rsid w:val="00BF6EBB"/>
    <w:rsid w:val="00C00C4F"/>
    <w:rsid w:val="00C06596"/>
    <w:rsid w:val="00C220DA"/>
    <w:rsid w:val="00C22F77"/>
    <w:rsid w:val="00C24556"/>
    <w:rsid w:val="00C26696"/>
    <w:rsid w:val="00C32262"/>
    <w:rsid w:val="00C32EE5"/>
    <w:rsid w:val="00C3510B"/>
    <w:rsid w:val="00C41482"/>
    <w:rsid w:val="00C4434E"/>
    <w:rsid w:val="00C71B01"/>
    <w:rsid w:val="00C73165"/>
    <w:rsid w:val="00C741DB"/>
    <w:rsid w:val="00C8150C"/>
    <w:rsid w:val="00C874AA"/>
    <w:rsid w:val="00C91E83"/>
    <w:rsid w:val="00C942A4"/>
    <w:rsid w:val="00C95A5A"/>
    <w:rsid w:val="00C96AC7"/>
    <w:rsid w:val="00CA33A5"/>
    <w:rsid w:val="00CA73C4"/>
    <w:rsid w:val="00CB134D"/>
    <w:rsid w:val="00CB1D88"/>
    <w:rsid w:val="00CB2C3E"/>
    <w:rsid w:val="00CB46BF"/>
    <w:rsid w:val="00CC58BE"/>
    <w:rsid w:val="00CC637D"/>
    <w:rsid w:val="00CD527F"/>
    <w:rsid w:val="00CD54BC"/>
    <w:rsid w:val="00CE169D"/>
    <w:rsid w:val="00CE4BC6"/>
    <w:rsid w:val="00CE7EB7"/>
    <w:rsid w:val="00CF1BA1"/>
    <w:rsid w:val="00CF1C80"/>
    <w:rsid w:val="00CF260E"/>
    <w:rsid w:val="00CF4B6A"/>
    <w:rsid w:val="00D00582"/>
    <w:rsid w:val="00D0072B"/>
    <w:rsid w:val="00D01D15"/>
    <w:rsid w:val="00D03B63"/>
    <w:rsid w:val="00D043CB"/>
    <w:rsid w:val="00D051F5"/>
    <w:rsid w:val="00D06679"/>
    <w:rsid w:val="00D078C5"/>
    <w:rsid w:val="00D147B6"/>
    <w:rsid w:val="00D22C3D"/>
    <w:rsid w:val="00D256EB"/>
    <w:rsid w:val="00D271D9"/>
    <w:rsid w:val="00D32A7A"/>
    <w:rsid w:val="00D4054E"/>
    <w:rsid w:val="00D42205"/>
    <w:rsid w:val="00D504F7"/>
    <w:rsid w:val="00D50E6D"/>
    <w:rsid w:val="00D529E3"/>
    <w:rsid w:val="00D55E92"/>
    <w:rsid w:val="00D57E6A"/>
    <w:rsid w:val="00D63715"/>
    <w:rsid w:val="00D71BEB"/>
    <w:rsid w:val="00D745EF"/>
    <w:rsid w:val="00D779DB"/>
    <w:rsid w:val="00D83A4D"/>
    <w:rsid w:val="00D86234"/>
    <w:rsid w:val="00D957C9"/>
    <w:rsid w:val="00D96747"/>
    <w:rsid w:val="00DB1B64"/>
    <w:rsid w:val="00DB5074"/>
    <w:rsid w:val="00DB590A"/>
    <w:rsid w:val="00DB5AD2"/>
    <w:rsid w:val="00DB6245"/>
    <w:rsid w:val="00DC2F19"/>
    <w:rsid w:val="00DD1087"/>
    <w:rsid w:val="00DD2809"/>
    <w:rsid w:val="00DD3D1F"/>
    <w:rsid w:val="00DE0BE9"/>
    <w:rsid w:val="00DF0C3D"/>
    <w:rsid w:val="00DF2E95"/>
    <w:rsid w:val="00DF34BD"/>
    <w:rsid w:val="00DF432B"/>
    <w:rsid w:val="00DF5901"/>
    <w:rsid w:val="00DF59E7"/>
    <w:rsid w:val="00E040DC"/>
    <w:rsid w:val="00E11514"/>
    <w:rsid w:val="00E134B7"/>
    <w:rsid w:val="00E150D3"/>
    <w:rsid w:val="00E21CAD"/>
    <w:rsid w:val="00E22046"/>
    <w:rsid w:val="00E2693B"/>
    <w:rsid w:val="00E32833"/>
    <w:rsid w:val="00E33B04"/>
    <w:rsid w:val="00E3497D"/>
    <w:rsid w:val="00E445DA"/>
    <w:rsid w:val="00E44789"/>
    <w:rsid w:val="00E4521C"/>
    <w:rsid w:val="00E462A7"/>
    <w:rsid w:val="00E47757"/>
    <w:rsid w:val="00E500C1"/>
    <w:rsid w:val="00E51504"/>
    <w:rsid w:val="00E529CF"/>
    <w:rsid w:val="00E5663B"/>
    <w:rsid w:val="00E56C74"/>
    <w:rsid w:val="00E601C0"/>
    <w:rsid w:val="00E63DDF"/>
    <w:rsid w:val="00E6804A"/>
    <w:rsid w:val="00E708B5"/>
    <w:rsid w:val="00E81631"/>
    <w:rsid w:val="00E8298E"/>
    <w:rsid w:val="00E845AC"/>
    <w:rsid w:val="00E84622"/>
    <w:rsid w:val="00E850E3"/>
    <w:rsid w:val="00E86398"/>
    <w:rsid w:val="00E91B9A"/>
    <w:rsid w:val="00EA59E5"/>
    <w:rsid w:val="00EB0A3C"/>
    <w:rsid w:val="00EB573B"/>
    <w:rsid w:val="00EB73F6"/>
    <w:rsid w:val="00EC27A1"/>
    <w:rsid w:val="00EC4419"/>
    <w:rsid w:val="00ED2926"/>
    <w:rsid w:val="00ED73EB"/>
    <w:rsid w:val="00EE3A1B"/>
    <w:rsid w:val="00EE507D"/>
    <w:rsid w:val="00EF1EB6"/>
    <w:rsid w:val="00EF32C4"/>
    <w:rsid w:val="00EF6FAD"/>
    <w:rsid w:val="00EF7254"/>
    <w:rsid w:val="00F0090D"/>
    <w:rsid w:val="00F00E13"/>
    <w:rsid w:val="00F01D0A"/>
    <w:rsid w:val="00F01D4C"/>
    <w:rsid w:val="00F029EC"/>
    <w:rsid w:val="00F04081"/>
    <w:rsid w:val="00F05F44"/>
    <w:rsid w:val="00F07446"/>
    <w:rsid w:val="00F100C3"/>
    <w:rsid w:val="00F1149B"/>
    <w:rsid w:val="00F12550"/>
    <w:rsid w:val="00F1286B"/>
    <w:rsid w:val="00F14AD2"/>
    <w:rsid w:val="00F20062"/>
    <w:rsid w:val="00F3355D"/>
    <w:rsid w:val="00F404BB"/>
    <w:rsid w:val="00F44933"/>
    <w:rsid w:val="00F44CB9"/>
    <w:rsid w:val="00F45686"/>
    <w:rsid w:val="00F53045"/>
    <w:rsid w:val="00F5367F"/>
    <w:rsid w:val="00F53CC5"/>
    <w:rsid w:val="00F56F4E"/>
    <w:rsid w:val="00F60BB4"/>
    <w:rsid w:val="00F63015"/>
    <w:rsid w:val="00F65166"/>
    <w:rsid w:val="00F666CE"/>
    <w:rsid w:val="00F67BC0"/>
    <w:rsid w:val="00F743B9"/>
    <w:rsid w:val="00F7560C"/>
    <w:rsid w:val="00F758DF"/>
    <w:rsid w:val="00F84649"/>
    <w:rsid w:val="00F84D35"/>
    <w:rsid w:val="00F86C7A"/>
    <w:rsid w:val="00F91252"/>
    <w:rsid w:val="00FA2E16"/>
    <w:rsid w:val="00FA65E7"/>
    <w:rsid w:val="00FA7367"/>
    <w:rsid w:val="00FB663C"/>
    <w:rsid w:val="00FC00B8"/>
    <w:rsid w:val="00FC504C"/>
    <w:rsid w:val="00FC6272"/>
    <w:rsid w:val="00FD3BFA"/>
    <w:rsid w:val="00FD753D"/>
    <w:rsid w:val="00FD7668"/>
    <w:rsid w:val="00FE0E83"/>
    <w:rsid w:val="00FE1D59"/>
    <w:rsid w:val="00FE1EEB"/>
    <w:rsid w:val="00FE2273"/>
    <w:rsid w:val="00FF6C66"/>
    <w:rsid w:val="00FF6DF9"/>
    <w:rsid w:val="0B4EA5F0"/>
    <w:rsid w:val="0B5BAFE5"/>
    <w:rsid w:val="160710AA"/>
    <w:rsid w:val="18146542"/>
    <w:rsid w:val="18C1C549"/>
    <w:rsid w:val="191FD9A1"/>
    <w:rsid w:val="1A21E471"/>
    <w:rsid w:val="1A265653"/>
    <w:rsid w:val="1FF0445A"/>
    <w:rsid w:val="2AA2F5D2"/>
    <w:rsid w:val="3C5B9FFD"/>
    <w:rsid w:val="418FC819"/>
    <w:rsid w:val="46D10965"/>
    <w:rsid w:val="5538A56D"/>
    <w:rsid w:val="58C9E2C4"/>
    <w:rsid w:val="6BC1807E"/>
    <w:rsid w:val="6CB21DE9"/>
    <w:rsid w:val="7CC3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C87F5F0"/>
  <w15:docId w15:val="{A9244CD9-5D57-491F-AA4D-AE6394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5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4D23"/>
    <w:pPr>
      <w:keepNext/>
      <w:numPr>
        <w:ilvl w:val="4"/>
        <w:numId w:val="51"/>
      </w:numPr>
      <w:outlineLvl w:val="4"/>
    </w:pPr>
    <w:rPr>
      <w:rFonts w:eastAsiaTheme="majorEastAsia"/>
    </w:rPr>
  </w:style>
  <w:style w:type="paragraph" w:styleId="Heading6">
    <w:name w:val="heading 6"/>
    <w:basedOn w:val="Normal"/>
    <w:next w:val="Text2"/>
    <w:link w:val="Heading6Char"/>
    <w:uiPriority w:val="9"/>
    <w:semiHidden/>
    <w:unhideWhenUsed/>
    <w:qFormat/>
    <w:rsid w:val="00534D23"/>
    <w:pPr>
      <w:keepNext/>
      <w:numPr>
        <w:ilvl w:val="5"/>
        <w:numId w:val="51"/>
      </w:numPr>
      <w:outlineLvl w:val="5"/>
    </w:pPr>
    <w:rPr>
      <w:rFonts w:eastAsiaTheme="majorEastAsia"/>
      <w:iCs/>
    </w:rPr>
  </w:style>
  <w:style w:type="paragraph" w:styleId="Heading7">
    <w:name w:val="heading 7"/>
    <w:basedOn w:val="Normal"/>
    <w:next w:val="Text2"/>
    <w:link w:val="Heading7Char"/>
    <w:uiPriority w:val="9"/>
    <w:semiHidden/>
    <w:unhideWhenUsed/>
    <w:qFormat/>
    <w:rsid w:val="00534D23"/>
    <w:pPr>
      <w:keepNext/>
      <w:numPr>
        <w:ilvl w:val="6"/>
        <w:numId w:val="5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649"/>
    <w:pPr>
      <w:spacing w:before="0" w:after="160" w:line="259" w:lineRule="auto"/>
      <w:ind w:left="720"/>
      <w:contextualSpacing/>
      <w:jc w:val="left"/>
    </w:pPr>
    <w:rPr>
      <w:rFonts w:asciiTheme="minorHAnsi" w:hAnsiTheme="minorHAnsi" w:cstheme="minorBidi"/>
      <w:sz w:val="22"/>
      <w:lang w:val="en-US"/>
    </w:rPr>
  </w:style>
  <w:style w:type="character" w:styleId="CommentReference">
    <w:name w:val="annotation reference"/>
    <w:basedOn w:val="DefaultParagraphFont"/>
    <w:unhideWhenUsed/>
    <w:rsid w:val="00E11514"/>
    <w:rPr>
      <w:sz w:val="16"/>
      <w:szCs w:val="16"/>
    </w:rPr>
  </w:style>
  <w:style w:type="paragraph" w:styleId="CommentText">
    <w:name w:val="annotation text"/>
    <w:basedOn w:val="Normal"/>
    <w:link w:val="CommentTextChar"/>
    <w:unhideWhenUsed/>
    <w:rsid w:val="00E11514"/>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rsid w:val="00E11514"/>
    <w:rPr>
      <w:sz w:val="20"/>
      <w:szCs w:val="20"/>
    </w:rPr>
  </w:style>
  <w:style w:type="paragraph" w:styleId="BalloonText">
    <w:name w:val="Balloon Text"/>
    <w:basedOn w:val="Normal"/>
    <w:link w:val="BalloonTextChar"/>
    <w:unhideWhenUsed/>
    <w:rsid w:val="00E11514"/>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E11514"/>
    <w:rPr>
      <w:rFonts w:ascii="Segoe UI" w:hAnsi="Segoe UI" w:cs="Segoe UI"/>
      <w:sz w:val="18"/>
      <w:szCs w:val="18"/>
      <w:lang w:val="en-GB"/>
    </w:rPr>
  </w:style>
  <w:style w:type="paragraph" w:styleId="ListBullet">
    <w:name w:val="List Bullet"/>
    <w:basedOn w:val="Normal"/>
    <w:unhideWhenUsed/>
    <w:rsid w:val="00451503"/>
    <w:pPr>
      <w:numPr>
        <w:numId w:val="1"/>
      </w:numPr>
      <w:contextualSpacing/>
    </w:pPr>
  </w:style>
  <w:style w:type="paragraph" w:styleId="ListBullet2">
    <w:name w:val="List Bullet 2"/>
    <w:basedOn w:val="Normal"/>
    <w:unhideWhenUsed/>
    <w:rsid w:val="00451503"/>
    <w:pPr>
      <w:numPr>
        <w:numId w:val="2"/>
      </w:numPr>
      <w:contextualSpacing/>
    </w:pPr>
  </w:style>
  <w:style w:type="paragraph" w:styleId="ListBullet3">
    <w:name w:val="List Bullet 3"/>
    <w:basedOn w:val="Normal"/>
    <w:unhideWhenUsed/>
    <w:rsid w:val="00451503"/>
    <w:pPr>
      <w:numPr>
        <w:numId w:val="3"/>
      </w:numPr>
      <w:contextualSpacing/>
    </w:pPr>
  </w:style>
  <w:style w:type="paragraph" w:styleId="ListBullet4">
    <w:name w:val="List Bullet 4"/>
    <w:basedOn w:val="Normal"/>
    <w:unhideWhenUsed/>
    <w:rsid w:val="00451503"/>
    <w:pPr>
      <w:numPr>
        <w:numId w:val="4"/>
      </w:numPr>
      <w:contextualSpacing/>
    </w:pPr>
  </w:style>
  <w:style w:type="paragraph" w:styleId="CommentSubject">
    <w:name w:val="annotation subject"/>
    <w:basedOn w:val="CommentText"/>
    <w:next w:val="CommentText"/>
    <w:link w:val="CommentSubjectChar"/>
    <w:unhideWhenUsed/>
    <w:rsid w:val="00451503"/>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sid w:val="00451503"/>
    <w:rPr>
      <w:rFonts w:ascii="Times New Roman" w:hAnsi="Times New Roman" w:cs="Times New Roman"/>
      <w:b/>
      <w:bCs/>
      <w:sz w:val="20"/>
      <w:szCs w:val="20"/>
      <w:lang w:val="en-GB"/>
    </w:rPr>
  </w:style>
  <w:style w:type="paragraph" w:styleId="Revision">
    <w:name w:val="Revision"/>
    <w:hidden/>
    <w:uiPriority w:val="99"/>
    <w:semiHidden/>
    <w:rsid w:val="00451503"/>
    <w:pPr>
      <w:spacing w:after="0" w:line="240" w:lineRule="auto"/>
    </w:pPr>
    <w:rPr>
      <w:rFonts w:ascii="Times New Roman" w:hAnsi="Times New Roman" w:cs="Times New Roman"/>
      <w:sz w:val="24"/>
      <w:lang w:val="en-GB"/>
    </w:rPr>
  </w:style>
  <w:style w:type="paragraph" w:styleId="Caption">
    <w:name w:val="caption"/>
    <w:basedOn w:val="Normal"/>
    <w:next w:val="Normal"/>
    <w:unhideWhenUsed/>
    <w:qFormat/>
    <w:rsid w:val="00626C6A"/>
    <w:pPr>
      <w:spacing w:before="0" w:after="200"/>
    </w:pPr>
    <w:rPr>
      <w:i/>
      <w:iCs/>
      <w:color w:val="1F497D" w:themeColor="text2"/>
      <w:sz w:val="18"/>
      <w:szCs w:val="18"/>
    </w:rPr>
  </w:style>
  <w:style w:type="paragraph" w:styleId="TableofFigures">
    <w:name w:val="table of figures"/>
    <w:basedOn w:val="Normal"/>
    <w:next w:val="Normal"/>
    <w:unhideWhenUsed/>
    <w:rsid w:val="00626C6A"/>
    <w:pPr>
      <w:spacing w:after="0"/>
    </w:pPr>
  </w:style>
  <w:style w:type="paragraph" w:styleId="ListNumber">
    <w:name w:val="List Number"/>
    <w:basedOn w:val="Normal"/>
    <w:unhideWhenUsed/>
    <w:rsid w:val="00626C6A"/>
    <w:pPr>
      <w:numPr>
        <w:numId w:val="12"/>
      </w:numPr>
      <w:contextualSpacing/>
    </w:pPr>
  </w:style>
  <w:style w:type="paragraph" w:styleId="ListNumber2">
    <w:name w:val="List Number 2"/>
    <w:basedOn w:val="Normal"/>
    <w:unhideWhenUsed/>
    <w:rsid w:val="00626C6A"/>
    <w:pPr>
      <w:numPr>
        <w:numId w:val="13"/>
      </w:numPr>
      <w:contextualSpacing/>
    </w:pPr>
  </w:style>
  <w:style w:type="paragraph" w:styleId="ListNumber3">
    <w:name w:val="List Number 3"/>
    <w:basedOn w:val="Normal"/>
    <w:unhideWhenUsed/>
    <w:rsid w:val="00626C6A"/>
    <w:pPr>
      <w:numPr>
        <w:numId w:val="14"/>
      </w:numPr>
      <w:contextualSpacing/>
    </w:pPr>
  </w:style>
  <w:style w:type="paragraph" w:styleId="ListNumber4">
    <w:name w:val="List Number 4"/>
    <w:basedOn w:val="Normal"/>
    <w:unhideWhenUsed/>
    <w:rsid w:val="00626C6A"/>
    <w:pPr>
      <w:numPr>
        <w:numId w:val="15"/>
      </w:numPr>
      <w:contextualSpacing/>
    </w:pPr>
  </w:style>
  <w:style w:type="character" w:styleId="Hyperlink">
    <w:name w:val="Hyperlink"/>
    <w:basedOn w:val="DefaultParagraphFont"/>
    <w:uiPriority w:val="99"/>
    <w:unhideWhenUsed/>
    <w:rsid w:val="00715ADE"/>
    <w:rPr>
      <w:color w:val="0000FF" w:themeColor="hyperlink"/>
      <w:u w:val="single"/>
    </w:rPr>
  </w:style>
  <w:style w:type="character" w:styleId="FollowedHyperlink">
    <w:name w:val="FollowedHyperlink"/>
    <w:unhideWhenUsed/>
    <w:rsid w:val="009F1FBC"/>
    <w:rPr>
      <w:color w:val="800080"/>
      <w:u w:val="single"/>
    </w:rPr>
  </w:style>
  <w:style w:type="paragraph" w:customStyle="1" w:styleId="msonormal0">
    <w:name w:val="msonormal"/>
    <w:basedOn w:val="Normal"/>
    <w:rsid w:val="009F1FBC"/>
    <w:pPr>
      <w:spacing w:before="100" w:beforeAutospacing="1" w:after="100" w:afterAutospacing="1"/>
      <w:jc w:val="left"/>
    </w:pPr>
    <w:rPr>
      <w:rFonts w:eastAsia="Times New Roman"/>
      <w:szCs w:val="24"/>
      <w:lang w:val="fr-BE" w:eastAsia="fr-BE"/>
    </w:rPr>
  </w:style>
  <w:style w:type="character" w:customStyle="1" w:styleId="TOCHeadingChar">
    <w:name w:val="TOC Heading Char"/>
    <w:basedOn w:val="DefaultParagraphFont"/>
    <w:uiPriority w:val="39"/>
    <w:locked/>
    <w:rsid w:val="009F1FBC"/>
    <w:rPr>
      <w:rFonts w:ascii="Times New Roman" w:hAnsi="Times New Roman" w:cs="Times New Roman"/>
      <w:b/>
      <w:sz w:val="28"/>
      <w:lang w:val="en-GB"/>
    </w:rPr>
  </w:style>
  <w:style w:type="paragraph" w:customStyle="1" w:styleId="ListBullet1">
    <w:name w:val="List Bullet 1"/>
    <w:basedOn w:val="Normal"/>
    <w:rsid w:val="009F1FBC"/>
    <w:pPr>
      <w:numPr>
        <w:numId w:val="20"/>
      </w:numPr>
    </w:pPr>
    <w:rPr>
      <w:lang w:eastAsia="en-GB"/>
    </w:rPr>
  </w:style>
  <w:style w:type="paragraph" w:customStyle="1" w:styleId="ListDash1">
    <w:name w:val="List Dash 1"/>
    <w:basedOn w:val="Normal"/>
    <w:rsid w:val="009F1FBC"/>
    <w:pPr>
      <w:numPr>
        <w:numId w:val="21"/>
      </w:numPr>
    </w:pPr>
    <w:rPr>
      <w:lang w:eastAsia="en-GB"/>
    </w:rPr>
  </w:style>
  <w:style w:type="paragraph" w:customStyle="1" w:styleId="ListDash2">
    <w:name w:val="List Dash 2"/>
    <w:basedOn w:val="Normal"/>
    <w:rsid w:val="009F1FBC"/>
    <w:pPr>
      <w:numPr>
        <w:numId w:val="22"/>
      </w:numPr>
    </w:pPr>
    <w:rPr>
      <w:lang w:eastAsia="en-GB"/>
    </w:rPr>
  </w:style>
  <w:style w:type="paragraph" w:customStyle="1" w:styleId="ListNumberLevel2">
    <w:name w:val="List Number (Level 2)"/>
    <w:basedOn w:val="Normal"/>
    <w:rsid w:val="009F1FBC"/>
    <w:pPr>
      <w:tabs>
        <w:tab w:val="num" w:pos="1417"/>
      </w:tabs>
      <w:ind w:left="1417" w:hanging="708"/>
    </w:pPr>
    <w:rPr>
      <w:lang w:eastAsia="en-GB"/>
    </w:rPr>
  </w:style>
  <w:style w:type="paragraph" w:customStyle="1" w:styleId="ListNumberLevel3">
    <w:name w:val="List Number (Level 3)"/>
    <w:basedOn w:val="Normal"/>
    <w:rsid w:val="009F1FBC"/>
    <w:pPr>
      <w:tabs>
        <w:tab w:val="num" w:pos="2126"/>
      </w:tabs>
      <w:ind w:left="2126" w:hanging="709"/>
    </w:pPr>
    <w:rPr>
      <w:lang w:eastAsia="en-GB"/>
    </w:rPr>
  </w:style>
  <w:style w:type="paragraph" w:customStyle="1" w:styleId="ListNumberLevel4">
    <w:name w:val="List Number (Level 4)"/>
    <w:basedOn w:val="Normal"/>
    <w:rsid w:val="009F1FBC"/>
    <w:pPr>
      <w:tabs>
        <w:tab w:val="num" w:pos="2835"/>
      </w:tabs>
      <w:ind w:left="2835" w:hanging="709"/>
    </w:pPr>
    <w:rPr>
      <w:lang w:eastAsia="en-GB"/>
    </w:rPr>
  </w:style>
  <w:style w:type="paragraph" w:customStyle="1" w:styleId="Fichefinancirestandardtitre">
    <w:name w:val="Fiche financière (standard) titre"/>
    <w:basedOn w:val="Normal"/>
    <w:next w:val="Normal"/>
    <w:rsid w:val="009F1FBC"/>
    <w:pPr>
      <w:jc w:val="center"/>
    </w:pPr>
    <w:rPr>
      <w:b/>
      <w:u w:val="single"/>
      <w:lang w:eastAsia="en-GB"/>
    </w:rPr>
  </w:style>
  <w:style w:type="paragraph" w:customStyle="1" w:styleId="Sous-titreobjet">
    <w:name w:val="Sous-titre objet"/>
    <w:basedOn w:val="Normal"/>
    <w:rsid w:val="009F1FBC"/>
    <w:pPr>
      <w:spacing w:before="0" w:after="0"/>
      <w:jc w:val="center"/>
    </w:pPr>
    <w:rPr>
      <w:b/>
      <w:lang w:eastAsia="en-GB"/>
    </w:rPr>
  </w:style>
  <w:style w:type="paragraph" w:customStyle="1" w:styleId="Sous-titreobjetPagedecouverture">
    <w:name w:val="Sous-titre objet (Page de couverture)"/>
    <w:basedOn w:val="Sous-titreobjet"/>
    <w:rsid w:val="009F1FBC"/>
  </w:style>
  <w:style w:type="character" w:customStyle="1" w:styleId="FooterCoverPageChar">
    <w:name w:val="Footer Cover Page Char"/>
    <w:basedOn w:val="TOCHeadingChar"/>
    <w:link w:val="FooterCoverPage"/>
    <w:locked/>
    <w:rsid w:val="009F1FBC"/>
    <w:rPr>
      <w:rFonts w:ascii="Times New Roman" w:hAnsi="Times New Roman" w:cs="Times New Roman"/>
      <w:b w:val="0"/>
      <w:sz w:val="24"/>
      <w:lang w:val="en-GB"/>
    </w:rPr>
  </w:style>
  <w:style w:type="paragraph" w:customStyle="1" w:styleId="FooterCoverPage">
    <w:name w:val="Footer Cover Page"/>
    <w:basedOn w:val="Normal"/>
    <w:link w:val="FooterCoverPageChar"/>
    <w:rsid w:val="009F1FBC"/>
    <w:pPr>
      <w:tabs>
        <w:tab w:val="center" w:pos="4535"/>
        <w:tab w:val="right" w:pos="9071"/>
        <w:tab w:val="right" w:pos="9921"/>
      </w:tabs>
      <w:spacing w:before="360" w:after="0"/>
      <w:ind w:left="-850" w:right="-850"/>
      <w:jc w:val="left"/>
    </w:pPr>
  </w:style>
  <w:style w:type="character" w:customStyle="1" w:styleId="HeaderCoverPageChar">
    <w:name w:val="Header Cover Page Char"/>
    <w:basedOn w:val="TOCHeadingChar"/>
    <w:link w:val="HeaderCoverPage"/>
    <w:locked/>
    <w:rsid w:val="009F1FBC"/>
    <w:rPr>
      <w:rFonts w:ascii="Times New Roman" w:hAnsi="Times New Roman" w:cs="Times New Roman"/>
      <w:b w:val="0"/>
      <w:sz w:val="24"/>
      <w:lang w:val="en-GB"/>
    </w:rPr>
  </w:style>
  <w:style w:type="paragraph" w:customStyle="1" w:styleId="HeaderCoverPage">
    <w:name w:val="Header Cover Page"/>
    <w:basedOn w:val="Normal"/>
    <w:link w:val="HeaderCoverPageChar"/>
    <w:rsid w:val="009F1FBC"/>
    <w:pPr>
      <w:tabs>
        <w:tab w:val="center" w:pos="4535"/>
        <w:tab w:val="right" w:pos="9071"/>
      </w:tabs>
      <w:spacing w:before="0"/>
    </w:pPr>
  </w:style>
  <w:style w:type="paragraph" w:customStyle="1" w:styleId="Default">
    <w:name w:val="Default"/>
    <w:rsid w:val="009F1FBC"/>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rsid w:val="009F1F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rsid w:val="00436363"/>
    <w:pPr>
      <w:numPr>
        <w:numId w:val="23"/>
      </w:numPr>
    </w:pPr>
    <w:rPr>
      <w:rFonts w:eastAsia="Times New Roman"/>
      <w:lang w:eastAsia="de-DE"/>
    </w:rPr>
  </w:style>
  <w:style w:type="paragraph" w:customStyle="1" w:styleId="ListDash3">
    <w:name w:val="List Dash 3"/>
    <w:basedOn w:val="Normal"/>
    <w:rsid w:val="00436363"/>
    <w:pPr>
      <w:numPr>
        <w:numId w:val="24"/>
      </w:numPr>
    </w:pPr>
    <w:rPr>
      <w:rFonts w:eastAsia="Times New Roman"/>
      <w:lang w:val="fr-FR" w:eastAsia="en-GB"/>
    </w:rPr>
  </w:style>
  <w:style w:type="paragraph" w:customStyle="1" w:styleId="ListDash4">
    <w:name w:val="List Dash 4"/>
    <w:basedOn w:val="Normal"/>
    <w:rsid w:val="00436363"/>
    <w:pPr>
      <w:numPr>
        <w:numId w:val="25"/>
      </w:numPr>
    </w:pPr>
    <w:rPr>
      <w:rFonts w:eastAsia="Times New Roman"/>
      <w:lang w:val="fr-FR" w:eastAsia="en-GB"/>
    </w:rPr>
  </w:style>
  <w:style w:type="paragraph" w:customStyle="1" w:styleId="ListNumber1">
    <w:name w:val="List Number 1"/>
    <w:basedOn w:val="Text1"/>
    <w:rsid w:val="00436363"/>
    <w:pPr>
      <w:numPr>
        <w:numId w:val="26"/>
      </w:numPr>
    </w:pPr>
    <w:rPr>
      <w:rFonts w:eastAsia="Times New Roman"/>
      <w:lang w:val="fr-FR" w:eastAsia="en-GB"/>
    </w:rPr>
  </w:style>
  <w:style w:type="paragraph" w:customStyle="1" w:styleId="ListNumber1Level2">
    <w:name w:val="List Number 1 (Level 2)"/>
    <w:basedOn w:val="Text1"/>
    <w:rsid w:val="00436363"/>
    <w:pPr>
      <w:numPr>
        <w:ilvl w:val="1"/>
        <w:numId w:val="26"/>
      </w:numPr>
    </w:pPr>
    <w:rPr>
      <w:rFonts w:eastAsia="Times New Roman"/>
      <w:lang w:val="fr-FR" w:eastAsia="en-GB"/>
    </w:rPr>
  </w:style>
  <w:style w:type="paragraph" w:customStyle="1" w:styleId="ListNumber2Level2">
    <w:name w:val="List Number 2 (Level 2)"/>
    <w:basedOn w:val="Text2"/>
    <w:rsid w:val="00436363"/>
    <w:pPr>
      <w:tabs>
        <w:tab w:val="num" w:pos="2268"/>
      </w:tabs>
      <w:ind w:left="2268" w:hanging="708"/>
    </w:pPr>
    <w:rPr>
      <w:rFonts w:eastAsia="Times New Roman"/>
      <w:lang w:val="fr-FR" w:eastAsia="en-GB"/>
    </w:rPr>
  </w:style>
  <w:style w:type="paragraph" w:customStyle="1" w:styleId="ListNumber3Level2">
    <w:name w:val="List Number 3 (Level 2)"/>
    <w:basedOn w:val="Text3"/>
    <w:rsid w:val="00436363"/>
    <w:pPr>
      <w:tabs>
        <w:tab w:val="num" w:pos="2268"/>
      </w:tabs>
      <w:ind w:left="2268" w:hanging="708"/>
    </w:pPr>
    <w:rPr>
      <w:rFonts w:eastAsia="Times New Roman"/>
      <w:lang w:val="fr-FR" w:eastAsia="en-GB"/>
    </w:rPr>
  </w:style>
  <w:style w:type="paragraph" w:customStyle="1" w:styleId="ListNumber4Level2">
    <w:name w:val="List Number 4 (Level 2)"/>
    <w:basedOn w:val="Text4"/>
    <w:rsid w:val="00436363"/>
    <w:pPr>
      <w:tabs>
        <w:tab w:val="num" w:pos="2268"/>
      </w:tabs>
      <w:ind w:left="2268" w:hanging="708"/>
    </w:pPr>
    <w:rPr>
      <w:rFonts w:eastAsia="Times New Roman"/>
      <w:lang w:val="fr-FR" w:eastAsia="en-GB"/>
    </w:rPr>
  </w:style>
  <w:style w:type="paragraph" w:customStyle="1" w:styleId="ListNumber1Level3">
    <w:name w:val="List Number 1 (Level 3)"/>
    <w:basedOn w:val="Text1"/>
    <w:rsid w:val="00436363"/>
    <w:pPr>
      <w:numPr>
        <w:ilvl w:val="2"/>
        <w:numId w:val="26"/>
      </w:numPr>
    </w:pPr>
    <w:rPr>
      <w:rFonts w:eastAsia="Times New Roman"/>
      <w:lang w:val="fr-FR" w:eastAsia="en-GB"/>
    </w:rPr>
  </w:style>
  <w:style w:type="paragraph" w:customStyle="1" w:styleId="ListNumber2Level3">
    <w:name w:val="List Number 2 (Level 3)"/>
    <w:basedOn w:val="Text2"/>
    <w:rsid w:val="00436363"/>
    <w:pPr>
      <w:tabs>
        <w:tab w:val="num" w:pos="2977"/>
      </w:tabs>
      <w:ind w:left="2977" w:hanging="709"/>
    </w:pPr>
    <w:rPr>
      <w:rFonts w:eastAsia="Times New Roman"/>
      <w:lang w:val="fr-FR" w:eastAsia="en-GB"/>
    </w:rPr>
  </w:style>
  <w:style w:type="paragraph" w:customStyle="1" w:styleId="ListNumber3Level3">
    <w:name w:val="List Number 3 (Level 3)"/>
    <w:basedOn w:val="Text3"/>
    <w:rsid w:val="00436363"/>
    <w:pPr>
      <w:tabs>
        <w:tab w:val="num" w:pos="2977"/>
      </w:tabs>
      <w:ind w:left="2977" w:hanging="709"/>
    </w:pPr>
    <w:rPr>
      <w:rFonts w:eastAsia="Times New Roman"/>
      <w:lang w:val="fr-FR" w:eastAsia="en-GB"/>
    </w:rPr>
  </w:style>
  <w:style w:type="paragraph" w:customStyle="1" w:styleId="ListNumber4Level3">
    <w:name w:val="List Number 4 (Level 3)"/>
    <w:basedOn w:val="Text4"/>
    <w:rsid w:val="00436363"/>
    <w:pPr>
      <w:tabs>
        <w:tab w:val="num" w:pos="2977"/>
      </w:tabs>
      <w:ind w:left="2977" w:hanging="709"/>
    </w:pPr>
    <w:rPr>
      <w:rFonts w:eastAsia="Times New Roman"/>
      <w:lang w:val="fr-FR" w:eastAsia="en-GB"/>
    </w:rPr>
  </w:style>
  <w:style w:type="paragraph" w:customStyle="1" w:styleId="ListNumber1Level4">
    <w:name w:val="List Number 1 (Level 4)"/>
    <w:basedOn w:val="Text1"/>
    <w:rsid w:val="00436363"/>
    <w:pPr>
      <w:numPr>
        <w:ilvl w:val="3"/>
        <w:numId w:val="26"/>
      </w:numPr>
    </w:pPr>
    <w:rPr>
      <w:rFonts w:eastAsia="Times New Roman"/>
      <w:lang w:val="fr-FR" w:eastAsia="en-GB"/>
    </w:rPr>
  </w:style>
  <w:style w:type="paragraph" w:customStyle="1" w:styleId="ListNumber2Level4">
    <w:name w:val="List Number 2 (Level 4)"/>
    <w:basedOn w:val="Text2"/>
    <w:rsid w:val="00436363"/>
    <w:pPr>
      <w:tabs>
        <w:tab w:val="num" w:pos="3686"/>
      </w:tabs>
      <w:ind w:left="3686" w:hanging="709"/>
    </w:pPr>
    <w:rPr>
      <w:rFonts w:eastAsia="Times New Roman"/>
      <w:lang w:val="fr-FR" w:eastAsia="en-GB"/>
    </w:rPr>
  </w:style>
  <w:style w:type="paragraph" w:customStyle="1" w:styleId="ListNumber3Level4">
    <w:name w:val="List Number 3 (Level 4)"/>
    <w:basedOn w:val="Text3"/>
    <w:rsid w:val="00436363"/>
    <w:pPr>
      <w:tabs>
        <w:tab w:val="num" w:pos="3686"/>
      </w:tabs>
      <w:ind w:left="3686" w:hanging="709"/>
    </w:pPr>
    <w:rPr>
      <w:rFonts w:eastAsia="Times New Roman"/>
      <w:lang w:val="fr-FR" w:eastAsia="en-GB"/>
    </w:rPr>
  </w:style>
  <w:style w:type="paragraph" w:customStyle="1" w:styleId="ListNumber4Level4">
    <w:name w:val="List Number 4 (Level 4)"/>
    <w:basedOn w:val="Text4"/>
    <w:rsid w:val="00436363"/>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436363"/>
    <w:pPr>
      <w:jc w:val="center"/>
    </w:pPr>
    <w:rPr>
      <w:rFonts w:eastAsia="Times New Roman"/>
      <w:b/>
      <w:u w:val="single"/>
      <w:lang w:val="fr-FR" w:eastAsia="en-GB"/>
    </w:rPr>
  </w:style>
  <w:style w:type="paragraph" w:customStyle="1" w:styleId="Annexetitreexposglobal">
    <w:name w:val="Annexe titre (exposé global)"/>
    <w:basedOn w:val="Normal"/>
    <w:next w:val="Normal"/>
    <w:rsid w:val="00436363"/>
    <w:pPr>
      <w:jc w:val="center"/>
    </w:pPr>
    <w:rPr>
      <w:rFonts w:eastAsia="Times New Roman"/>
      <w:b/>
      <w:u w:val="single"/>
      <w:lang w:val="fr-FR" w:eastAsia="en-GB"/>
    </w:rPr>
  </w:style>
  <w:style w:type="paragraph" w:customStyle="1" w:styleId="Annexetitrefichefinacte">
    <w:name w:val="Annexe titre (fiche fin. acte)"/>
    <w:basedOn w:val="Normal"/>
    <w:next w:val="Normal"/>
    <w:rsid w:val="00436363"/>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436363"/>
    <w:pPr>
      <w:jc w:val="center"/>
    </w:pPr>
    <w:rPr>
      <w:rFonts w:eastAsia="Times New Roman"/>
      <w:b/>
      <w:u w:val="single"/>
      <w:lang w:val="fr-FR" w:eastAsia="en-GB"/>
    </w:rPr>
  </w:style>
  <w:style w:type="paragraph" w:customStyle="1" w:styleId="Annexetitreglobale">
    <w:name w:val="Annexe titre (globale)"/>
    <w:basedOn w:val="Normal"/>
    <w:next w:val="Normal"/>
    <w:rsid w:val="00436363"/>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436363"/>
    <w:pPr>
      <w:jc w:val="center"/>
    </w:pPr>
    <w:rPr>
      <w:rFonts w:eastAsia="Times New Roman"/>
      <w:b/>
      <w:u w:val="single"/>
      <w:lang w:val="fr-FR" w:eastAsia="en-GB"/>
    </w:rPr>
  </w:style>
  <w:style w:type="paragraph" w:customStyle="1" w:styleId="Langueoriginale">
    <w:name w:val="Langue originale"/>
    <w:basedOn w:val="Normal"/>
    <w:rsid w:val="00436363"/>
    <w:pPr>
      <w:spacing w:before="360"/>
      <w:jc w:val="center"/>
    </w:pPr>
    <w:rPr>
      <w:rFonts w:eastAsia="Times New Roman"/>
      <w:caps/>
      <w:lang w:val="fr-FR" w:eastAsia="en-GB"/>
    </w:rPr>
  </w:style>
  <w:style w:type="paragraph" w:customStyle="1" w:styleId="Phrasefinale">
    <w:name w:val="Phrase finale"/>
    <w:basedOn w:val="Normal"/>
    <w:next w:val="Normal"/>
    <w:rsid w:val="00436363"/>
    <w:pPr>
      <w:spacing w:before="360" w:after="0"/>
      <w:jc w:val="center"/>
    </w:pPr>
    <w:rPr>
      <w:rFonts w:eastAsia="Times New Roman"/>
      <w:lang w:val="fr-FR" w:eastAsia="en-GB"/>
    </w:rPr>
  </w:style>
  <w:style w:type="paragraph" w:customStyle="1" w:styleId="Prliminairetitre">
    <w:name w:val="Préliminaire titre"/>
    <w:basedOn w:val="Normal"/>
    <w:next w:val="Normal"/>
    <w:rsid w:val="00436363"/>
    <w:pPr>
      <w:spacing w:before="360" w:after="360"/>
      <w:jc w:val="center"/>
    </w:pPr>
    <w:rPr>
      <w:rFonts w:eastAsia="Times New Roman"/>
      <w:b/>
      <w:lang w:val="fr-FR" w:eastAsia="en-GB"/>
    </w:rPr>
  </w:style>
  <w:style w:type="paragraph" w:customStyle="1" w:styleId="Prliminairetype">
    <w:name w:val="Préliminaire type"/>
    <w:basedOn w:val="Normal"/>
    <w:next w:val="Normal"/>
    <w:rsid w:val="00436363"/>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436363"/>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436363"/>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436363"/>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436363"/>
    <w:pPr>
      <w:spacing w:before="0" w:after="0"/>
      <w:jc w:val="center"/>
    </w:pPr>
    <w:rPr>
      <w:rFonts w:eastAsia="Times New Roman"/>
      <w:b/>
      <w:lang w:val="fr-FR" w:eastAsia="en-GB"/>
    </w:rPr>
  </w:style>
  <w:style w:type="paragraph" w:customStyle="1" w:styleId="Statutprliminaire">
    <w:name w:val="Statut (préliminaire)"/>
    <w:basedOn w:val="Normal"/>
    <w:next w:val="Normal"/>
    <w:rsid w:val="00436363"/>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436363"/>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436363"/>
    <w:pPr>
      <w:spacing w:before="360" w:after="0"/>
      <w:jc w:val="center"/>
    </w:pPr>
    <w:rPr>
      <w:rFonts w:eastAsia="Times New Roman"/>
      <w:b/>
      <w:lang w:val="fr-FR" w:eastAsia="en-GB"/>
    </w:rPr>
  </w:style>
  <w:style w:type="paragraph" w:customStyle="1" w:styleId="Fichefinancirestandardtitreacte">
    <w:name w:val="Fiche financière (standard) titre (acte)"/>
    <w:basedOn w:val="Normal"/>
    <w:next w:val="Normal"/>
    <w:rsid w:val="00436363"/>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436363"/>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436363"/>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436363"/>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436363"/>
    <w:pPr>
      <w:jc w:val="center"/>
    </w:pPr>
    <w:rPr>
      <w:rFonts w:eastAsia="Times New Roman"/>
      <w:b/>
      <w:u w:val="single"/>
      <w:lang w:val="fr-FR" w:eastAsia="en-GB"/>
    </w:rPr>
  </w:style>
  <w:style w:type="character" w:styleId="PageNumber">
    <w:name w:val="page number"/>
    <w:rsid w:val="00436363"/>
  </w:style>
  <w:style w:type="character" w:customStyle="1" w:styleId="tw4winMark">
    <w:name w:val="tw4winMark"/>
    <w:rsid w:val="00436363"/>
    <w:rPr>
      <w:vanish/>
      <w:color w:val="800080"/>
      <w:vertAlign w:val="subscript"/>
    </w:rPr>
  </w:style>
  <w:style w:type="paragraph" w:styleId="Header">
    <w:name w:val="header"/>
    <w:basedOn w:val="Normal"/>
    <w:link w:val="HeaderChar"/>
    <w:uiPriority w:val="99"/>
    <w:unhideWhenUsed/>
    <w:rsid w:val="00A618F2"/>
    <w:pPr>
      <w:tabs>
        <w:tab w:val="center" w:pos="4535"/>
        <w:tab w:val="right" w:pos="9071"/>
      </w:tabs>
      <w:spacing w:before="0"/>
    </w:pPr>
  </w:style>
  <w:style w:type="character" w:customStyle="1" w:styleId="HeaderChar">
    <w:name w:val="Header Char"/>
    <w:basedOn w:val="DefaultParagraphFont"/>
    <w:link w:val="Header"/>
    <w:uiPriority w:val="99"/>
    <w:rsid w:val="00A618F2"/>
    <w:rPr>
      <w:rFonts w:ascii="Times New Roman" w:hAnsi="Times New Roman" w:cs="Times New Roman"/>
      <w:sz w:val="24"/>
      <w:lang w:val="en-GB"/>
    </w:rPr>
  </w:style>
  <w:style w:type="paragraph" w:styleId="Footer">
    <w:name w:val="footer"/>
    <w:basedOn w:val="Normal"/>
    <w:link w:val="FooterChar"/>
    <w:uiPriority w:val="99"/>
    <w:unhideWhenUsed/>
    <w:rsid w:val="00A618F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618F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618F2"/>
    <w:pPr>
      <w:tabs>
        <w:tab w:val="center" w:pos="7285"/>
        <w:tab w:val="right" w:pos="14003"/>
      </w:tabs>
      <w:spacing w:before="0"/>
    </w:pPr>
  </w:style>
  <w:style w:type="paragraph" w:customStyle="1" w:styleId="FooterLandscape">
    <w:name w:val="FooterLandscape"/>
    <w:basedOn w:val="Normal"/>
    <w:rsid w:val="00A618F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618F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618F2"/>
    <w:pPr>
      <w:spacing w:before="0"/>
      <w:jc w:val="right"/>
    </w:pPr>
    <w:rPr>
      <w:sz w:val="28"/>
    </w:rPr>
  </w:style>
  <w:style w:type="paragraph" w:customStyle="1" w:styleId="FooterSensitivity">
    <w:name w:val="Footer Sensitivity"/>
    <w:basedOn w:val="Normal"/>
    <w:rsid w:val="00A618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5"/>
      </w:numPr>
    </w:pPr>
  </w:style>
  <w:style w:type="paragraph" w:customStyle="1" w:styleId="Tiret1">
    <w:name w:val="Tiret 1"/>
    <w:basedOn w:val="Point1"/>
    <w:rsid w:val="009B7138"/>
    <w:pPr>
      <w:numPr>
        <w:numId w:val="36"/>
      </w:numPr>
    </w:pPr>
  </w:style>
  <w:style w:type="paragraph" w:customStyle="1" w:styleId="Tiret2">
    <w:name w:val="Tiret 2"/>
    <w:basedOn w:val="Point2"/>
    <w:rsid w:val="009B7138"/>
    <w:pPr>
      <w:numPr>
        <w:numId w:val="37"/>
      </w:numPr>
    </w:pPr>
  </w:style>
  <w:style w:type="paragraph" w:customStyle="1" w:styleId="Tiret3">
    <w:name w:val="Tiret 3"/>
    <w:basedOn w:val="Point3"/>
    <w:rsid w:val="009B7138"/>
    <w:pPr>
      <w:numPr>
        <w:numId w:val="38"/>
      </w:numPr>
    </w:pPr>
  </w:style>
  <w:style w:type="paragraph" w:customStyle="1" w:styleId="Tiret4">
    <w:name w:val="Tiret 4"/>
    <w:basedOn w:val="Point4"/>
    <w:rsid w:val="009B7138"/>
    <w:pPr>
      <w:numPr>
        <w:numId w:val="39"/>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5"/>
      </w:numPr>
    </w:pPr>
  </w:style>
  <w:style w:type="paragraph" w:customStyle="1" w:styleId="NumPar2">
    <w:name w:val="NumPar 2"/>
    <w:basedOn w:val="Normal"/>
    <w:next w:val="Text1"/>
    <w:rsid w:val="009B7138"/>
    <w:pPr>
      <w:numPr>
        <w:ilvl w:val="1"/>
        <w:numId w:val="55"/>
      </w:numPr>
    </w:pPr>
  </w:style>
  <w:style w:type="paragraph" w:customStyle="1" w:styleId="NumPar3">
    <w:name w:val="NumPar 3"/>
    <w:basedOn w:val="Normal"/>
    <w:next w:val="Text1"/>
    <w:rsid w:val="009B7138"/>
    <w:pPr>
      <w:numPr>
        <w:ilvl w:val="2"/>
        <w:numId w:val="55"/>
      </w:numPr>
    </w:pPr>
  </w:style>
  <w:style w:type="paragraph" w:customStyle="1" w:styleId="NumPar4">
    <w:name w:val="NumPar 4"/>
    <w:basedOn w:val="Normal"/>
    <w:next w:val="Text1"/>
    <w:rsid w:val="009B7138"/>
    <w:pPr>
      <w:numPr>
        <w:ilvl w:val="3"/>
        <w:numId w:val="5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A4346"/>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2"/>
      </w:numPr>
    </w:pPr>
  </w:style>
  <w:style w:type="paragraph" w:customStyle="1" w:styleId="Point1number">
    <w:name w:val="Point 1 (number)"/>
    <w:basedOn w:val="Normal"/>
    <w:rsid w:val="009B7138"/>
    <w:pPr>
      <w:numPr>
        <w:ilvl w:val="2"/>
        <w:numId w:val="42"/>
      </w:numPr>
    </w:pPr>
  </w:style>
  <w:style w:type="paragraph" w:customStyle="1" w:styleId="Point2number">
    <w:name w:val="Point 2 (number)"/>
    <w:basedOn w:val="Normal"/>
    <w:rsid w:val="009B7138"/>
    <w:pPr>
      <w:numPr>
        <w:ilvl w:val="4"/>
        <w:numId w:val="42"/>
      </w:numPr>
    </w:pPr>
  </w:style>
  <w:style w:type="paragraph" w:customStyle="1" w:styleId="Point3number">
    <w:name w:val="Point 3 (number)"/>
    <w:basedOn w:val="Normal"/>
    <w:rsid w:val="009B7138"/>
    <w:pPr>
      <w:numPr>
        <w:ilvl w:val="6"/>
        <w:numId w:val="42"/>
      </w:numPr>
    </w:pPr>
  </w:style>
  <w:style w:type="paragraph" w:customStyle="1" w:styleId="Point0letter">
    <w:name w:val="Point 0 (letter)"/>
    <w:basedOn w:val="Normal"/>
    <w:rsid w:val="009B7138"/>
    <w:pPr>
      <w:numPr>
        <w:ilvl w:val="1"/>
        <w:numId w:val="42"/>
      </w:numPr>
    </w:pPr>
  </w:style>
  <w:style w:type="paragraph" w:customStyle="1" w:styleId="Point1letter">
    <w:name w:val="Point 1 (letter)"/>
    <w:basedOn w:val="Normal"/>
    <w:rsid w:val="009B7138"/>
    <w:pPr>
      <w:numPr>
        <w:ilvl w:val="3"/>
        <w:numId w:val="42"/>
      </w:numPr>
    </w:pPr>
  </w:style>
  <w:style w:type="paragraph" w:customStyle="1" w:styleId="Point2letter">
    <w:name w:val="Point 2 (letter)"/>
    <w:basedOn w:val="Normal"/>
    <w:rsid w:val="009B7138"/>
    <w:pPr>
      <w:numPr>
        <w:ilvl w:val="5"/>
        <w:numId w:val="42"/>
      </w:numPr>
    </w:pPr>
  </w:style>
  <w:style w:type="paragraph" w:customStyle="1" w:styleId="Point3letter">
    <w:name w:val="Point 3 (letter)"/>
    <w:basedOn w:val="Normal"/>
    <w:rsid w:val="009B7138"/>
    <w:pPr>
      <w:numPr>
        <w:ilvl w:val="7"/>
        <w:numId w:val="42"/>
      </w:numPr>
    </w:pPr>
  </w:style>
  <w:style w:type="paragraph" w:customStyle="1" w:styleId="Point4letter">
    <w:name w:val="Point 4 (letter)"/>
    <w:basedOn w:val="Normal"/>
    <w:rsid w:val="009B7138"/>
    <w:pPr>
      <w:numPr>
        <w:ilvl w:val="8"/>
        <w:numId w:val="42"/>
      </w:numPr>
    </w:pPr>
  </w:style>
  <w:style w:type="paragraph" w:customStyle="1" w:styleId="Bullet0">
    <w:name w:val="Bullet 0"/>
    <w:basedOn w:val="Normal"/>
    <w:rsid w:val="009B7138"/>
    <w:pPr>
      <w:numPr>
        <w:numId w:val="43"/>
      </w:numPr>
    </w:pPr>
  </w:style>
  <w:style w:type="paragraph" w:customStyle="1" w:styleId="Bullet1">
    <w:name w:val="Bullet 1"/>
    <w:basedOn w:val="Normal"/>
    <w:rsid w:val="009B7138"/>
    <w:pPr>
      <w:numPr>
        <w:numId w:val="44"/>
      </w:numPr>
    </w:pPr>
  </w:style>
  <w:style w:type="paragraph" w:customStyle="1" w:styleId="Bullet2">
    <w:name w:val="Bullet 2"/>
    <w:basedOn w:val="Normal"/>
    <w:rsid w:val="009B7138"/>
    <w:pPr>
      <w:numPr>
        <w:numId w:val="45"/>
      </w:numPr>
    </w:pPr>
  </w:style>
  <w:style w:type="paragraph" w:customStyle="1" w:styleId="Bullet3">
    <w:name w:val="Bullet 3"/>
    <w:basedOn w:val="Normal"/>
    <w:rsid w:val="009B7138"/>
    <w:pPr>
      <w:numPr>
        <w:numId w:val="46"/>
      </w:numPr>
    </w:pPr>
  </w:style>
  <w:style w:type="paragraph" w:customStyle="1" w:styleId="Bullet4">
    <w:name w:val="Bullet 4"/>
    <w:basedOn w:val="Normal"/>
    <w:rsid w:val="009B7138"/>
    <w:pPr>
      <w:numPr>
        <w:numId w:val="4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534D23"/>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4D23"/>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4D23"/>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534D23"/>
    <w:pPr>
      <w:keepNext/>
      <w:tabs>
        <w:tab w:val="left" w:pos="1417"/>
      </w:tabs>
      <w:ind w:left="1417" w:hanging="1417"/>
      <w:outlineLvl w:val="4"/>
    </w:pPr>
  </w:style>
  <w:style w:type="paragraph" w:customStyle="1" w:styleId="ManualHeading6">
    <w:name w:val="Manual Heading 6"/>
    <w:basedOn w:val="Normal"/>
    <w:next w:val="Text2"/>
    <w:rsid w:val="00534D23"/>
    <w:pPr>
      <w:keepNext/>
      <w:tabs>
        <w:tab w:val="left" w:pos="1417"/>
      </w:tabs>
      <w:ind w:left="1417" w:hanging="1417"/>
      <w:outlineLvl w:val="5"/>
    </w:pPr>
  </w:style>
  <w:style w:type="paragraph" w:customStyle="1" w:styleId="ManualHeading7">
    <w:name w:val="Manual Heading 7"/>
    <w:basedOn w:val="Normal"/>
    <w:next w:val="Text2"/>
    <w:rsid w:val="00534D23"/>
    <w:pPr>
      <w:keepNext/>
      <w:tabs>
        <w:tab w:val="left" w:pos="1417"/>
      </w:tabs>
      <w:ind w:left="1417" w:hanging="1417"/>
      <w:outlineLvl w:val="6"/>
    </w:pPr>
  </w:style>
  <w:style w:type="paragraph" w:customStyle="1" w:styleId="Text5">
    <w:name w:val="Text 5"/>
    <w:basedOn w:val="Normal"/>
    <w:rsid w:val="00534D23"/>
    <w:pPr>
      <w:ind w:left="3118"/>
    </w:pPr>
  </w:style>
  <w:style w:type="paragraph" w:customStyle="1" w:styleId="Text6">
    <w:name w:val="Text 6"/>
    <w:basedOn w:val="Normal"/>
    <w:rsid w:val="00534D23"/>
    <w:pPr>
      <w:ind w:left="3685"/>
    </w:pPr>
  </w:style>
  <w:style w:type="paragraph" w:customStyle="1" w:styleId="Point5">
    <w:name w:val="Point 5"/>
    <w:basedOn w:val="Normal"/>
    <w:rsid w:val="00534D23"/>
    <w:pPr>
      <w:ind w:left="3685" w:hanging="567"/>
    </w:pPr>
  </w:style>
  <w:style w:type="paragraph" w:customStyle="1" w:styleId="Tiret5">
    <w:name w:val="Tiret 5"/>
    <w:basedOn w:val="Point5"/>
    <w:rsid w:val="00534D23"/>
    <w:pPr>
      <w:numPr>
        <w:numId w:val="52"/>
      </w:numPr>
    </w:pPr>
  </w:style>
  <w:style w:type="paragraph" w:customStyle="1" w:styleId="NumPar5">
    <w:name w:val="NumPar 5"/>
    <w:basedOn w:val="Normal"/>
    <w:next w:val="Text2"/>
    <w:rsid w:val="00534D23"/>
    <w:pPr>
      <w:numPr>
        <w:ilvl w:val="4"/>
        <w:numId w:val="55"/>
      </w:numPr>
    </w:pPr>
  </w:style>
  <w:style w:type="paragraph" w:customStyle="1" w:styleId="NumPar6">
    <w:name w:val="NumPar 6"/>
    <w:basedOn w:val="Normal"/>
    <w:next w:val="Text2"/>
    <w:rsid w:val="00534D23"/>
    <w:pPr>
      <w:numPr>
        <w:ilvl w:val="5"/>
        <w:numId w:val="55"/>
      </w:numPr>
    </w:pPr>
  </w:style>
  <w:style w:type="paragraph" w:customStyle="1" w:styleId="NumPar7">
    <w:name w:val="NumPar 7"/>
    <w:basedOn w:val="Normal"/>
    <w:next w:val="Text2"/>
    <w:rsid w:val="00534D23"/>
    <w:pPr>
      <w:numPr>
        <w:ilvl w:val="6"/>
        <w:numId w:val="55"/>
      </w:numPr>
    </w:pPr>
  </w:style>
  <w:style w:type="paragraph" w:customStyle="1" w:styleId="ManualNumPar5">
    <w:name w:val="Manual NumPar 5"/>
    <w:basedOn w:val="Normal"/>
    <w:next w:val="Text2"/>
    <w:rsid w:val="00534D23"/>
    <w:pPr>
      <w:ind w:left="1417" w:hanging="1417"/>
    </w:pPr>
  </w:style>
  <w:style w:type="paragraph" w:customStyle="1" w:styleId="ManualNumPar6">
    <w:name w:val="Manual NumPar 6"/>
    <w:basedOn w:val="Normal"/>
    <w:next w:val="Text2"/>
    <w:rsid w:val="00534D23"/>
    <w:pPr>
      <w:ind w:left="1417" w:hanging="1417"/>
    </w:pPr>
  </w:style>
  <w:style w:type="paragraph" w:customStyle="1" w:styleId="ManualNumPar7">
    <w:name w:val="Manual NumPar 7"/>
    <w:basedOn w:val="Normal"/>
    <w:next w:val="Text2"/>
    <w:rsid w:val="00534D2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410">
      <w:bodyDiv w:val="1"/>
      <w:marLeft w:val="0"/>
      <w:marRight w:val="0"/>
      <w:marTop w:val="0"/>
      <w:marBottom w:val="0"/>
      <w:divBdr>
        <w:top w:val="none" w:sz="0" w:space="0" w:color="auto"/>
        <w:left w:val="none" w:sz="0" w:space="0" w:color="auto"/>
        <w:bottom w:val="none" w:sz="0" w:space="0" w:color="auto"/>
        <w:right w:val="none" w:sz="0" w:space="0" w:color="auto"/>
      </w:divBdr>
    </w:div>
    <w:div w:id="204606109">
      <w:bodyDiv w:val="1"/>
      <w:marLeft w:val="0"/>
      <w:marRight w:val="0"/>
      <w:marTop w:val="0"/>
      <w:marBottom w:val="0"/>
      <w:divBdr>
        <w:top w:val="none" w:sz="0" w:space="0" w:color="auto"/>
        <w:left w:val="none" w:sz="0" w:space="0" w:color="auto"/>
        <w:bottom w:val="none" w:sz="0" w:space="0" w:color="auto"/>
        <w:right w:val="none" w:sz="0" w:space="0" w:color="auto"/>
      </w:divBdr>
    </w:div>
    <w:div w:id="425347967">
      <w:bodyDiv w:val="1"/>
      <w:marLeft w:val="0"/>
      <w:marRight w:val="0"/>
      <w:marTop w:val="0"/>
      <w:marBottom w:val="0"/>
      <w:divBdr>
        <w:top w:val="none" w:sz="0" w:space="0" w:color="auto"/>
        <w:left w:val="none" w:sz="0" w:space="0" w:color="auto"/>
        <w:bottom w:val="none" w:sz="0" w:space="0" w:color="auto"/>
        <w:right w:val="none" w:sz="0" w:space="0" w:color="auto"/>
      </w:divBdr>
    </w:div>
    <w:div w:id="508561315">
      <w:bodyDiv w:val="1"/>
      <w:marLeft w:val="0"/>
      <w:marRight w:val="0"/>
      <w:marTop w:val="0"/>
      <w:marBottom w:val="0"/>
      <w:divBdr>
        <w:top w:val="none" w:sz="0" w:space="0" w:color="auto"/>
        <w:left w:val="none" w:sz="0" w:space="0" w:color="auto"/>
        <w:bottom w:val="none" w:sz="0" w:space="0" w:color="auto"/>
        <w:right w:val="none" w:sz="0" w:space="0" w:color="auto"/>
      </w:divBdr>
    </w:div>
    <w:div w:id="11172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e38795b5-f633-11ea-991b-01aa75ed71a1/language-en" TargetMode="External"/><Relationship Id="rId2" Type="http://schemas.openxmlformats.org/officeDocument/2006/relationships/hyperlink" Target="https://op.europa.eu/en/publication-detail/-/publication/e38795b5-f633-11ea-991b-01aa75ed71a1/language-en" TargetMode="External"/><Relationship Id="rId1" Type="http://schemas.openxmlformats.org/officeDocument/2006/relationships/hyperlink" Target="https://op.europa.eu/en/publication-detail/-/publication/e38795b5-f633-11ea-991b-01aa75ed71a1/language-en" TargetMode="External"/><Relationship Id="rId6" Type="http://schemas.openxmlformats.org/officeDocument/2006/relationships/hyperlink" Target="https://europa.eu/european-union/sites/default/files/docs/body/joint_statement_and_common_approach_2012_en.pdf"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op.europa.eu/en/publication-detail/-/publication/e38795b5-f633-11ea-991b-01aa75ed71a1/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DDE8471860CC499C4262F7E2D12FA6" ma:contentTypeVersion="0" ma:contentTypeDescription="Create a new document." ma:contentTypeScope="" ma:versionID="a4aa80db7d0e36c965ebd04240825006">
  <xsd:schema xmlns:xsd="http://www.w3.org/2001/XMLSchema" xmlns:xs="http://www.w3.org/2001/XMLSchema" xmlns:p="http://schemas.microsoft.com/office/2006/metadata/properties" targetNamespace="http://schemas.microsoft.com/office/2006/metadata/properties" ma:root="true" ma:fieldsID="f44c2bb0c61eb8781e81cb0c95ec76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D3DF-C275-4BF3-8251-8093F3BEDB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D8BE2B-EA81-4D14-955E-D58ACAABE8F5}">
  <ds:schemaRefs>
    <ds:schemaRef ds:uri="http://schemas.microsoft.com/sharepoint/v3/contenttype/forms"/>
  </ds:schemaRefs>
</ds:datastoreItem>
</file>

<file path=customXml/itemProps3.xml><?xml version="1.0" encoding="utf-8"?>
<ds:datastoreItem xmlns:ds="http://schemas.openxmlformats.org/officeDocument/2006/customXml" ds:itemID="{8FE5BFB5-63CB-4B16-96A8-C3DB9606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11F712-BCB2-40B9-A96A-6DF1B1C2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48</Pages>
  <Words>15296</Words>
  <Characters>86426</Characters>
  <Application>Microsoft Office Word</Application>
  <DocSecurity>0</DocSecurity>
  <Lines>2216</Lines>
  <Paragraphs>997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2021-11-17T14:22:00Z</cp:lastPrinted>
  <dcterms:created xsi:type="dcterms:W3CDTF">2021-11-26T13:35:00Z</dcterms:created>
  <dcterms:modified xsi:type="dcterms:W3CDTF">2021-11-30T11:59:00Z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0x0101005FDDE8471860CC499C4262F7E2D12FA6</vt:lpwstr>
  </property>
  <property fmtid="{D5CDD505-2E9C-101B-9397-08002B2CF9AE}" pid="11" name="IsMyDocuments">
    <vt:bool>true</vt:bool>
  </property>
  <property fmtid="{D5CDD505-2E9C-101B-9397-08002B2CF9AE}" pid="12" name="DQCStatus">
    <vt:lpwstr>Yellow (DQC version 03)</vt:lpwstr>
  </property>
</Properties>
</file>