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7FBB5" w14:textId="4D09F2FD" w:rsidR="00023765" w:rsidRPr="00150ABA" w:rsidRDefault="00E45D24" w:rsidP="00E45D24">
      <w:pPr>
        <w:pStyle w:val="Pagedecouverture"/>
        <w:rPr>
          <w:noProof/>
        </w:rPr>
      </w:pPr>
      <w:r>
        <w:rPr>
          <w:noProof/>
        </w:rPr>
        <w:pict w14:anchorId="419EA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94318F38-1956-4D44-BD76-4D040AF483C8" style="width:455.25pt;height:383.25pt">
            <v:imagedata r:id="rId11" o:title=""/>
          </v:shape>
        </w:pict>
      </w:r>
    </w:p>
    <w:p w14:paraId="33A0412C" w14:textId="77777777" w:rsidR="00023765" w:rsidRPr="00150ABA" w:rsidRDefault="00023765" w:rsidP="00023765">
      <w:pPr>
        <w:rPr>
          <w:noProof/>
        </w:rPr>
        <w:sectPr w:rsidR="00023765" w:rsidRPr="00150ABA" w:rsidSect="00E45D24">
          <w:footerReference w:type="default" r:id="rId12"/>
          <w:pgSz w:w="11907" w:h="16839"/>
          <w:pgMar w:top="1134" w:right="1417" w:bottom="1134" w:left="1417" w:header="709" w:footer="709" w:gutter="0"/>
          <w:pgNumType w:start="0"/>
          <w:cols w:space="720"/>
          <w:docGrid w:linePitch="360"/>
        </w:sectPr>
      </w:pPr>
    </w:p>
    <w:p w14:paraId="25F0F68C" w14:textId="77777777" w:rsidR="00023765" w:rsidRPr="00150ABA" w:rsidRDefault="00023765" w:rsidP="0062592F">
      <w:pPr>
        <w:pStyle w:val="Exposdesmotifstitre"/>
        <w:rPr>
          <w:noProof/>
        </w:rPr>
      </w:pPr>
      <w:bookmarkStart w:id="0" w:name="_GoBack"/>
      <w:bookmarkEnd w:id="0"/>
      <w:r w:rsidRPr="00150ABA">
        <w:rPr>
          <w:noProof/>
        </w:rPr>
        <w:lastRenderedPageBreak/>
        <w:t>EXPLANATORY MEMORANDUM</w:t>
      </w:r>
    </w:p>
    <w:p w14:paraId="5534008B" w14:textId="77777777" w:rsidR="00920E47" w:rsidRPr="00150ABA" w:rsidRDefault="00920E47" w:rsidP="0005122E">
      <w:pPr>
        <w:pStyle w:val="ManualHeading1"/>
        <w:rPr>
          <w:noProof/>
        </w:rPr>
      </w:pPr>
      <w:r w:rsidRPr="00150ABA">
        <w:rPr>
          <w:noProof/>
        </w:rPr>
        <w:t>1.</w:t>
      </w:r>
      <w:r w:rsidRPr="00150ABA">
        <w:rPr>
          <w:noProof/>
        </w:rPr>
        <w:tab/>
        <w:t>CONTEXT OF THE PROPOSAL</w:t>
      </w:r>
    </w:p>
    <w:p w14:paraId="4705B108" w14:textId="77777777" w:rsidR="00920E47" w:rsidRPr="00150ABA" w:rsidRDefault="00920E47" w:rsidP="002C7FD4">
      <w:pPr>
        <w:pStyle w:val="Bullet0"/>
        <w:numPr>
          <w:ilvl w:val="0"/>
          <w:numId w:val="21"/>
        </w:numPr>
        <w:tabs>
          <w:tab w:val="clear" w:pos="850"/>
          <w:tab w:val="num" w:pos="567"/>
        </w:tabs>
        <w:rPr>
          <w:noProof/>
        </w:rPr>
      </w:pPr>
      <w:r w:rsidRPr="00150ABA">
        <w:rPr>
          <w:b/>
          <w:noProof/>
        </w:rPr>
        <w:t>Reasons for and objectives of the proposal</w:t>
      </w:r>
    </w:p>
    <w:p w14:paraId="40656642" w14:textId="77777777" w:rsidR="00920E47" w:rsidRPr="00150ABA" w:rsidRDefault="00920E47" w:rsidP="0005122E">
      <w:pPr>
        <w:pBdr>
          <w:top w:val="nil"/>
          <w:left w:val="nil"/>
          <w:bottom w:val="nil"/>
          <w:right w:val="nil"/>
          <w:between w:val="nil"/>
          <w:bar w:val="nil"/>
        </w:pBdr>
        <w:spacing w:after="240"/>
        <w:rPr>
          <w:i/>
          <w:noProof/>
        </w:rPr>
      </w:pPr>
      <w:r w:rsidRPr="00150ABA">
        <w:rPr>
          <w:i/>
          <w:noProof/>
        </w:rPr>
        <w:t>Introduction</w:t>
      </w:r>
    </w:p>
    <w:p w14:paraId="0D10D077" w14:textId="0EA0AF39" w:rsidR="00920E47" w:rsidRPr="00150ABA" w:rsidRDefault="00920E47" w:rsidP="004B5A3A">
      <w:pPr>
        <w:rPr>
          <w:noProof/>
        </w:rPr>
      </w:pPr>
      <w:r w:rsidRPr="00150ABA">
        <w:rPr>
          <w:noProof/>
        </w:rPr>
        <w:t>Joint Investigation Teams (JITs) are teams set up for specific criminal investigations and for a limited period of time. They are set up by the competent authorities of two or more Member States</w:t>
      </w:r>
      <w:r w:rsidR="00E12601" w:rsidRPr="00150ABA">
        <w:rPr>
          <w:noProof/>
        </w:rPr>
        <w:t xml:space="preserve"> and possibly non-EU countries (third countries)</w:t>
      </w:r>
      <w:r w:rsidRPr="00150ABA">
        <w:rPr>
          <w:noProof/>
        </w:rPr>
        <w:t xml:space="preserve">, to carry out together criminal investigations that cross borders. A JIT can be set up, in particular, when a Member State's investigations into criminal offences require difficult and demanding investigations having links with other Member States or third </w:t>
      </w:r>
      <w:r w:rsidR="00E12601" w:rsidRPr="00150ABA">
        <w:rPr>
          <w:noProof/>
        </w:rPr>
        <w:t>countries</w:t>
      </w:r>
      <w:r w:rsidRPr="00150ABA">
        <w:rPr>
          <w:noProof/>
        </w:rPr>
        <w:t xml:space="preserve">. It can also be set up when a number of </w:t>
      </w:r>
      <w:r w:rsidR="00E12601" w:rsidRPr="00150ABA">
        <w:rPr>
          <w:noProof/>
        </w:rPr>
        <w:t xml:space="preserve">Member </w:t>
      </w:r>
      <w:r w:rsidRPr="00150ABA">
        <w:rPr>
          <w:noProof/>
        </w:rPr>
        <w:t xml:space="preserve">States are conducting investigations into criminal offences in which the circumstances of the case necessitate coordinated, concerted action in the </w:t>
      </w:r>
      <w:r w:rsidR="00E12601" w:rsidRPr="00150ABA">
        <w:rPr>
          <w:noProof/>
        </w:rPr>
        <w:t xml:space="preserve">Member </w:t>
      </w:r>
      <w:r w:rsidRPr="00150ABA">
        <w:rPr>
          <w:noProof/>
        </w:rPr>
        <w:t>States involved.</w:t>
      </w:r>
    </w:p>
    <w:p w14:paraId="591A1A94" w14:textId="2061552D" w:rsidR="00920E47" w:rsidRPr="00150ABA" w:rsidRDefault="00920E47" w:rsidP="004B5A3A">
      <w:pPr>
        <w:rPr>
          <w:noProof/>
        </w:rPr>
      </w:pPr>
      <w:r w:rsidRPr="00150ABA">
        <w:rPr>
          <w:noProof/>
        </w:rPr>
        <w:t>The legal basis for setting up a JIT are Article 13 of the European Union (EU) Convention on Mutual Assistance in Criminal Matters</w:t>
      </w:r>
      <w:r w:rsidRPr="00150ABA">
        <w:rPr>
          <w:rStyle w:val="FootnoteReference"/>
          <w:noProof/>
        </w:rPr>
        <w:footnoteReference w:id="2"/>
      </w:r>
      <w:r w:rsidRPr="00150ABA">
        <w:rPr>
          <w:noProof/>
        </w:rPr>
        <w:t xml:space="preserve"> and Council Framework Decision 2002/465/JHA of 13 June 2002 on joint investigation teams</w:t>
      </w:r>
      <w:r w:rsidRPr="00150ABA">
        <w:rPr>
          <w:rStyle w:val="FootnoteReference"/>
          <w:noProof/>
        </w:rPr>
        <w:footnoteReference w:id="3"/>
      </w:r>
      <w:r w:rsidRPr="00150ABA">
        <w:rPr>
          <w:noProof/>
        </w:rPr>
        <w:t xml:space="preserve">. Third </w:t>
      </w:r>
      <w:r w:rsidR="009628E7" w:rsidRPr="00150ABA">
        <w:rPr>
          <w:noProof/>
        </w:rPr>
        <w:t xml:space="preserve">countries </w:t>
      </w:r>
      <w:r w:rsidRPr="00150ABA">
        <w:rPr>
          <w:noProof/>
        </w:rPr>
        <w:t>can be parties in JITs if the legal basis allow for this. For example, Article 20 of the Second Additional Protocol of the 1959 Council of Europe Convention</w:t>
      </w:r>
      <w:r w:rsidRPr="00150ABA">
        <w:rPr>
          <w:rStyle w:val="FootnoteReference"/>
          <w:noProof/>
        </w:rPr>
        <w:footnoteReference w:id="4"/>
      </w:r>
      <w:r w:rsidRPr="00150ABA">
        <w:rPr>
          <w:noProof/>
        </w:rPr>
        <w:t xml:space="preserve"> and Article 5 of the Agreement on Mutual Legal Assistance between the European Union and the United States of America</w:t>
      </w:r>
      <w:r w:rsidRPr="00150ABA">
        <w:rPr>
          <w:rStyle w:val="FootnoteReference"/>
          <w:noProof/>
        </w:rPr>
        <w:footnoteReference w:id="5"/>
      </w:r>
      <w:r w:rsidRPr="00150ABA">
        <w:rPr>
          <w:noProof/>
        </w:rPr>
        <w:t>.</w:t>
      </w:r>
    </w:p>
    <w:p w14:paraId="597A8631" w14:textId="021B8E2B" w:rsidR="00920E47" w:rsidRPr="00150ABA" w:rsidRDefault="00920E47" w:rsidP="004B5A3A">
      <w:pPr>
        <w:pBdr>
          <w:top w:val="nil"/>
          <w:left w:val="nil"/>
          <w:bottom w:val="nil"/>
          <w:right w:val="nil"/>
          <w:between w:val="nil"/>
          <w:bar w:val="nil"/>
        </w:pBdr>
        <w:spacing w:before="0" w:after="240"/>
        <w:rPr>
          <w:noProof/>
        </w:rPr>
      </w:pPr>
      <w:r w:rsidRPr="00150ABA">
        <w:rPr>
          <w:noProof/>
        </w:rPr>
        <w:t>JITs are one of the most successful tools for cross-border investigations and prosecutions in the EU. They</w:t>
      </w:r>
      <w:r w:rsidRPr="00150ABA">
        <w:rPr>
          <w:noProof/>
          <w:szCs w:val="24"/>
        </w:rPr>
        <w:t xml:space="preserve"> enable direct cooperation and communication between judicial and law enforcement authorities of several States to organise their actions and investigations </w:t>
      </w:r>
      <w:r w:rsidRPr="00150ABA">
        <w:rPr>
          <w:noProof/>
        </w:rPr>
        <w:t>to efficiently investigate cross-border cases.</w:t>
      </w:r>
    </w:p>
    <w:p w14:paraId="4C7AEB41" w14:textId="77777777" w:rsidR="00920E47" w:rsidRPr="00150ABA" w:rsidRDefault="00920E47" w:rsidP="004B5A3A">
      <w:pPr>
        <w:pBdr>
          <w:top w:val="nil"/>
          <w:left w:val="nil"/>
          <w:bottom w:val="nil"/>
          <w:right w:val="nil"/>
          <w:between w:val="nil"/>
          <w:bar w:val="nil"/>
        </w:pBdr>
        <w:spacing w:after="240"/>
        <w:rPr>
          <w:noProof/>
        </w:rPr>
      </w:pPr>
      <w:r w:rsidRPr="00150ABA">
        <w:rPr>
          <w:rFonts w:eastAsia="Arial Unicode MS"/>
          <w:i/>
          <w:noProof/>
          <w:lang w:eastAsia="en-GB"/>
        </w:rPr>
        <w:t>Problems the proposal tackles</w:t>
      </w:r>
    </w:p>
    <w:p w14:paraId="229FF435" w14:textId="55698201" w:rsidR="00920E47" w:rsidRPr="00150ABA" w:rsidRDefault="00920E47" w:rsidP="0005122E">
      <w:pPr>
        <w:pBdr>
          <w:top w:val="nil"/>
          <w:left w:val="nil"/>
          <w:bottom w:val="nil"/>
          <w:right w:val="nil"/>
          <w:between w:val="nil"/>
          <w:bar w:val="nil"/>
        </w:pBdr>
        <w:spacing w:before="0" w:after="240"/>
        <w:rPr>
          <w:rFonts w:eastAsia="Arial Unicode MS"/>
          <w:noProof/>
          <w:lang w:eastAsia="en-GB"/>
        </w:rPr>
      </w:pPr>
      <w:r w:rsidRPr="00150ABA">
        <w:rPr>
          <w:rFonts w:eastAsia="Arial Unicode MS"/>
          <w:noProof/>
          <w:lang w:eastAsia="en-GB"/>
        </w:rPr>
        <w:t xml:space="preserve">However, </w:t>
      </w:r>
      <w:r w:rsidRPr="00150ABA">
        <w:rPr>
          <w:noProof/>
        </w:rPr>
        <w:t xml:space="preserve">practice shows that </w:t>
      </w:r>
      <w:r w:rsidR="009628E7" w:rsidRPr="00150ABA">
        <w:rPr>
          <w:noProof/>
        </w:rPr>
        <w:t xml:space="preserve">JITs </w:t>
      </w:r>
      <w:r w:rsidRPr="00150ABA">
        <w:rPr>
          <w:noProof/>
        </w:rPr>
        <w:t xml:space="preserve">have been facing several technical difficulties preventing them from being efficient in their daily work and </w:t>
      </w:r>
      <w:r w:rsidR="009628E7" w:rsidRPr="00150ABA">
        <w:rPr>
          <w:noProof/>
        </w:rPr>
        <w:t xml:space="preserve">from </w:t>
      </w:r>
      <w:r w:rsidRPr="00150ABA">
        <w:rPr>
          <w:noProof/>
        </w:rPr>
        <w:t xml:space="preserve">fostering their operations. The main difficulties concern secure electronic exchange of information and evidence (including large files), secure electronic communication with other JIT members and </w:t>
      </w:r>
      <w:r w:rsidR="00C66019" w:rsidRPr="00150ABA">
        <w:rPr>
          <w:noProof/>
        </w:rPr>
        <w:t xml:space="preserve">the </w:t>
      </w:r>
      <w:r w:rsidR="009628E7" w:rsidRPr="00150ABA">
        <w:rPr>
          <w:noProof/>
        </w:rPr>
        <w:t xml:space="preserve">competent Union bodies, offices and agencies such as </w:t>
      </w:r>
      <w:r w:rsidRPr="00150ABA">
        <w:rPr>
          <w:noProof/>
        </w:rPr>
        <w:t>Eurojust, Europol and the European Anti-Fraud Office (OLAF), as well as a joint daily management of a JIT.</w:t>
      </w:r>
    </w:p>
    <w:p w14:paraId="6D6855B1" w14:textId="0CC14CA0" w:rsidR="00920E47" w:rsidRPr="00150ABA" w:rsidRDefault="00920E47" w:rsidP="004B5A3A">
      <w:pPr>
        <w:rPr>
          <w:noProof/>
        </w:rPr>
      </w:pPr>
      <w:r w:rsidRPr="00150ABA">
        <w:rPr>
          <w:noProof/>
        </w:rPr>
        <w:t>The second evaluation report on JITs</w:t>
      </w:r>
      <w:r w:rsidRPr="00150ABA">
        <w:rPr>
          <w:rStyle w:val="FootnoteReference"/>
          <w:noProof/>
        </w:rPr>
        <w:footnoteReference w:id="6"/>
      </w:r>
      <w:r w:rsidRPr="00150ABA">
        <w:rPr>
          <w:noProof/>
        </w:rPr>
        <w:t>, prepared in 2018 by the Network of National Experts on Joint Investigation Teams (the JITs Network), a body established to support Member States and share best practices and experience in the area of JITs, already indicated that the JITs’ work could be improved and sped up if supported by a dedicated IT platform. The IT platform would enable its members to securely communicate among themselves, and share information and evidence. The Digital Criminal Justice study</w:t>
      </w:r>
      <w:r w:rsidRPr="00150ABA">
        <w:rPr>
          <w:rStyle w:val="FootnoteReference"/>
          <w:noProof/>
        </w:rPr>
        <w:footnoteReference w:id="7"/>
      </w:r>
      <w:r w:rsidRPr="00150ABA">
        <w:rPr>
          <w:noProof/>
        </w:rPr>
        <w:t xml:space="preserve"> confirmed the findings of that report and recommended creating an IT platform for JITs to ensure that JITs function more efficiently and more securely. </w:t>
      </w:r>
    </w:p>
    <w:p w14:paraId="56AC493B" w14:textId="093834DC" w:rsidR="00920E47" w:rsidRPr="00150ABA" w:rsidRDefault="00920E47" w:rsidP="004B5A3A">
      <w:pPr>
        <w:pBdr>
          <w:top w:val="nil"/>
          <w:left w:val="nil"/>
          <w:bottom w:val="nil"/>
          <w:right w:val="nil"/>
          <w:between w:val="nil"/>
          <w:bar w:val="nil"/>
        </w:pBdr>
        <w:spacing w:before="0" w:after="240"/>
        <w:rPr>
          <w:rFonts w:eastAsia="Arial Unicode MS"/>
          <w:noProof/>
          <w:lang w:eastAsia="en-GB"/>
        </w:rPr>
      </w:pPr>
      <w:r w:rsidRPr="00150ABA">
        <w:rPr>
          <w:noProof/>
        </w:rPr>
        <w:t>Following these findings, the Commission announced plans</w:t>
      </w:r>
      <w:r w:rsidR="006C5E83" w:rsidRPr="00150ABA">
        <w:rPr>
          <w:rStyle w:val="FootnoteReference"/>
          <w:noProof/>
        </w:rPr>
        <w:footnoteReference w:id="8"/>
      </w:r>
      <w:r w:rsidRPr="00150ABA">
        <w:rPr>
          <w:noProof/>
        </w:rPr>
        <w:t xml:space="preserve"> to propose legislation establishing a dedicated ‘collaboration platform to support the functioning of Joint Investigation Teams’ (the platform).</w:t>
      </w:r>
    </w:p>
    <w:p w14:paraId="2A8245DC" w14:textId="77777777" w:rsidR="00920E47" w:rsidRPr="00150ABA" w:rsidRDefault="00920E47" w:rsidP="0005122E">
      <w:pPr>
        <w:pBdr>
          <w:top w:val="nil"/>
          <w:left w:val="nil"/>
          <w:bottom w:val="nil"/>
          <w:right w:val="nil"/>
          <w:between w:val="nil"/>
          <w:bar w:val="nil"/>
        </w:pBdr>
        <w:spacing w:after="240"/>
        <w:rPr>
          <w:rFonts w:eastAsia="Arial Unicode MS"/>
          <w:i/>
          <w:noProof/>
          <w:lang w:eastAsia="en-GB"/>
        </w:rPr>
      </w:pPr>
      <w:r w:rsidRPr="00150ABA">
        <w:rPr>
          <w:rFonts w:eastAsia="Arial Unicode MS"/>
          <w:i/>
          <w:noProof/>
          <w:lang w:eastAsia="en-GB"/>
        </w:rPr>
        <w:t>Objectives of the proposal</w:t>
      </w:r>
    </w:p>
    <w:p w14:paraId="62BED233" w14:textId="4F6EE451" w:rsidR="00920E47" w:rsidRPr="00150ABA" w:rsidRDefault="00920E47" w:rsidP="0005122E">
      <w:pPr>
        <w:pBdr>
          <w:top w:val="nil"/>
          <w:left w:val="nil"/>
          <w:bottom w:val="nil"/>
          <w:right w:val="nil"/>
          <w:between w:val="nil"/>
          <w:bar w:val="nil"/>
        </w:pBdr>
        <w:spacing w:before="0" w:after="240"/>
        <w:rPr>
          <w:noProof/>
        </w:rPr>
      </w:pPr>
      <w:r w:rsidRPr="00150ABA">
        <w:rPr>
          <w:noProof/>
        </w:rPr>
        <w:t>The general objective of the proposal is to provide technological support to th</w:t>
      </w:r>
      <w:r w:rsidR="009628E7" w:rsidRPr="00150ABA">
        <w:rPr>
          <w:noProof/>
        </w:rPr>
        <w:t xml:space="preserve">ose involved in </w:t>
      </w:r>
      <w:r w:rsidRPr="00150ABA">
        <w:rPr>
          <w:noProof/>
        </w:rPr>
        <w:t xml:space="preserve">JITs to increase the efficiency and effectiveness of </w:t>
      </w:r>
      <w:r w:rsidR="009628E7" w:rsidRPr="00150ABA">
        <w:rPr>
          <w:noProof/>
        </w:rPr>
        <w:t xml:space="preserve">their </w:t>
      </w:r>
      <w:r w:rsidRPr="00150ABA">
        <w:rPr>
          <w:noProof/>
        </w:rPr>
        <w:t>cross-border investigations and prosecutions.</w:t>
      </w:r>
    </w:p>
    <w:p w14:paraId="4D92E118" w14:textId="77777777" w:rsidR="00920E47" w:rsidRPr="00150ABA" w:rsidRDefault="00920E47" w:rsidP="0005122E">
      <w:pPr>
        <w:pBdr>
          <w:top w:val="nil"/>
          <w:left w:val="nil"/>
          <w:bottom w:val="nil"/>
          <w:right w:val="nil"/>
          <w:between w:val="nil"/>
          <w:bar w:val="nil"/>
        </w:pBdr>
        <w:spacing w:before="0" w:after="240"/>
        <w:rPr>
          <w:rFonts w:eastAsia="Arial Unicode MS"/>
          <w:noProof/>
          <w:lang w:eastAsia="en-GB"/>
        </w:rPr>
      </w:pPr>
      <w:r w:rsidRPr="00150ABA">
        <w:rPr>
          <w:rFonts w:eastAsia="Arial Unicode MS"/>
          <w:noProof/>
          <w:lang w:eastAsia="en-GB"/>
        </w:rPr>
        <w:t>The specific objectives of the proposal are to:</w:t>
      </w:r>
    </w:p>
    <w:p w14:paraId="16D22525" w14:textId="275BE05D" w:rsidR="00920E47" w:rsidRPr="00150ABA" w:rsidRDefault="00D76D82" w:rsidP="00D76D82">
      <w:pPr>
        <w:pStyle w:val="Point0"/>
        <w:rPr>
          <w:noProof/>
        </w:rPr>
      </w:pPr>
      <w:r w:rsidRPr="00D76D82">
        <w:t>(1)</w:t>
      </w:r>
      <w:r w:rsidRPr="00D76D82">
        <w:tab/>
      </w:r>
      <w:r w:rsidR="00920E47" w:rsidRPr="00150ABA">
        <w:rPr>
          <w:noProof/>
        </w:rPr>
        <w:t xml:space="preserve">Ensure that the members </w:t>
      </w:r>
      <w:r w:rsidR="009628E7" w:rsidRPr="00150ABA">
        <w:rPr>
          <w:noProof/>
        </w:rPr>
        <w:t xml:space="preserve">and participants </w:t>
      </w:r>
      <w:r w:rsidR="00920E47" w:rsidRPr="00150ABA">
        <w:rPr>
          <w:noProof/>
        </w:rPr>
        <w:t>of JITs can more easily share information and evidence collected in the course of the JIT activities.</w:t>
      </w:r>
    </w:p>
    <w:p w14:paraId="0E1A49CB" w14:textId="23023945" w:rsidR="001E3418" w:rsidRPr="00150ABA" w:rsidRDefault="00D76D82" w:rsidP="00D76D82">
      <w:pPr>
        <w:pStyle w:val="Point0"/>
        <w:rPr>
          <w:noProof/>
        </w:rPr>
      </w:pPr>
      <w:r w:rsidRPr="00D76D82">
        <w:t>(2)</w:t>
      </w:r>
      <w:r w:rsidRPr="00D76D82">
        <w:tab/>
      </w:r>
      <w:r w:rsidR="00920E47" w:rsidRPr="00150ABA">
        <w:rPr>
          <w:noProof/>
        </w:rPr>
        <w:t xml:space="preserve">Ensure that the members </w:t>
      </w:r>
      <w:r w:rsidR="009628E7" w:rsidRPr="00150ABA">
        <w:rPr>
          <w:noProof/>
        </w:rPr>
        <w:t xml:space="preserve">and participants </w:t>
      </w:r>
      <w:r w:rsidR="00920E47" w:rsidRPr="00150ABA">
        <w:rPr>
          <w:noProof/>
        </w:rPr>
        <w:t>of JITs can more easily and more safely communicate with each other in the context of the JIT activities.</w:t>
      </w:r>
    </w:p>
    <w:p w14:paraId="7D05552A" w14:textId="49A03AF2" w:rsidR="00C66019" w:rsidRPr="00150ABA" w:rsidRDefault="00D76D82" w:rsidP="00D76D82">
      <w:pPr>
        <w:pStyle w:val="Point0"/>
        <w:rPr>
          <w:noProof/>
        </w:rPr>
      </w:pPr>
      <w:r w:rsidRPr="00D76D82">
        <w:t>(3)</w:t>
      </w:r>
      <w:r w:rsidRPr="00D76D82">
        <w:tab/>
      </w:r>
      <w:r w:rsidR="00920E47" w:rsidRPr="00150ABA">
        <w:rPr>
          <w:noProof/>
        </w:rPr>
        <w:t xml:space="preserve">Facilitate the joint daily management of a JIT, including planning and coordination of parallel activities, enhanced traceability of shared evidence and coordination with third </w:t>
      </w:r>
      <w:r w:rsidR="009628E7" w:rsidRPr="00150ABA">
        <w:rPr>
          <w:noProof/>
        </w:rPr>
        <w:t>countries</w:t>
      </w:r>
      <w:r w:rsidR="00920E47" w:rsidRPr="00150ABA">
        <w:rPr>
          <w:noProof/>
        </w:rPr>
        <w:t>, especially where physical meetings are too expansive or time consuming.</w:t>
      </w:r>
    </w:p>
    <w:p w14:paraId="2B8AAC66" w14:textId="77777777" w:rsidR="00920E47" w:rsidRPr="00150ABA" w:rsidRDefault="00920E47" w:rsidP="0005122E">
      <w:pPr>
        <w:pBdr>
          <w:top w:val="nil"/>
          <w:left w:val="nil"/>
          <w:bottom w:val="nil"/>
          <w:right w:val="nil"/>
          <w:between w:val="nil"/>
          <w:bar w:val="nil"/>
        </w:pBdr>
        <w:spacing w:after="240"/>
        <w:rPr>
          <w:rFonts w:eastAsia="Arial Unicode MS"/>
          <w:i/>
          <w:noProof/>
          <w:lang w:eastAsia="en-GB"/>
        </w:rPr>
      </w:pPr>
      <w:r w:rsidRPr="00150ABA">
        <w:rPr>
          <w:i/>
          <w:noProof/>
          <w:lang w:eastAsia="en-GB"/>
        </w:rPr>
        <w:t>The p</w:t>
      </w:r>
      <w:r w:rsidRPr="00150ABA">
        <w:rPr>
          <w:rFonts w:eastAsia="Arial Unicode MS"/>
          <w:i/>
          <w:noProof/>
          <w:lang w:eastAsia="en-GB"/>
        </w:rPr>
        <w:t>roposed solution</w:t>
      </w:r>
    </w:p>
    <w:p w14:paraId="020487BF" w14:textId="0FA40E4F" w:rsidR="00920E47" w:rsidRPr="00150ABA" w:rsidRDefault="00920E47" w:rsidP="00E2148B">
      <w:pPr>
        <w:rPr>
          <w:noProof/>
        </w:rPr>
      </w:pPr>
      <w:r w:rsidRPr="00150ABA">
        <w:rPr>
          <w:rFonts w:eastAsia="Arial Unicode MS"/>
          <w:noProof/>
          <w:lang w:eastAsia="en-GB"/>
        </w:rPr>
        <w:t xml:space="preserve">To meet those objectives and to tackle the underlying problems, </w:t>
      </w:r>
      <w:r w:rsidRPr="00150ABA">
        <w:rPr>
          <w:noProof/>
        </w:rPr>
        <w:t xml:space="preserve">a dedicated IT platform consisting of both centralised and decentralised components – the JITs collaboration platform </w:t>
      </w:r>
      <w:r w:rsidR="00C66019" w:rsidRPr="00150ABA">
        <w:rPr>
          <w:noProof/>
        </w:rPr>
        <w:t>–</w:t>
      </w:r>
      <w:r w:rsidRPr="00150ABA">
        <w:rPr>
          <w:noProof/>
        </w:rPr>
        <w:t xml:space="preserve"> is proposed. The platform would be accessible to all actors involved in JIT proceedings, i.e. Member States’ representatives  fulfilling the role of members of a given JIT, representatives of third </w:t>
      </w:r>
      <w:r w:rsidR="002457C2" w:rsidRPr="00150ABA">
        <w:rPr>
          <w:noProof/>
        </w:rPr>
        <w:t xml:space="preserve">countries </w:t>
      </w:r>
      <w:r w:rsidRPr="00150ABA">
        <w:rPr>
          <w:noProof/>
        </w:rPr>
        <w:t xml:space="preserve">invited to cooperate in the context of a given JIT, and </w:t>
      </w:r>
      <w:r w:rsidR="00C66019" w:rsidRPr="00150ABA">
        <w:rPr>
          <w:noProof/>
        </w:rPr>
        <w:t xml:space="preserve">the </w:t>
      </w:r>
      <w:r w:rsidR="00E70CE7" w:rsidRPr="00150ABA">
        <w:rPr>
          <w:noProof/>
        </w:rPr>
        <w:t xml:space="preserve">competent Union bodies, offices and agencies such as </w:t>
      </w:r>
      <w:r w:rsidRPr="00150ABA">
        <w:rPr>
          <w:noProof/>
        </w:rPr>
        <w:t>Eurojust, Europol</w:t>
      </w:r>
      <w:r w:rsidR="00E70CE7" w:rsidRPr="00150ABA">
        <w:rPr>
          <w:noProof/>
        </w:rPr>
        <w:t xml:space="preserve">, the European Public Prosecutor’s Office </w:t>
      </w:r>
      <w:r w:rsidRPr="00150ABA">
        <w:rPr>
          <w:noProof/>
        </w:rPr>
        <w:t>and OLAF.</w:t>
      </w:r>
    </w:p>
    <w:p w14:paraId="02D850D4" w14:textId="008B9995" w:rsidR="00920E47" w:rsidRPr="00150ABA" w:rsidRDefault="00920E47" w:rsidP="00E2148B">
      <w:pPr>
        <w:rPr>
          <w:noProof/>
        </w:rPr>
      </w:pPr>
      <w:r w:rsidRPr="00150ABA">
        <w:rPr>
          <w:noProof/>
        </w:rPr>
        <w:t xml:space="preserve">The key functions, described in detail below, will ease electronic communication, allow information and evidence to be shared, including large amounts of data, </w:t>
      </w:r>
      <w:r w:rsidR="00E70CE7" w:rsidRPr="00150ABA">
        <w:rPr>
          <w:noProof/>
        </w:rPr>
        <w:t xml:space="preserve">ensure </w:t>
      </w:r>
      <w:r w:rsidRPr="00150ABA">
        <w:rPr>
          <w:noProof/>
        </w:rPr>
        <w:t>traceability of evidence as well as planning and coordination of JIT operations.</w:t>
      </w:r>
    </w:p>
    <w:p w14:paraId="3FA18F76" w14:textId="48AA90CF" w:rsidR="00920E47" w:rsidRPr="00150ABA" w:rsidRDefault="00920E47" w:rsidP="00E2148B">
      <w:pPr>
        <w:rPr>
          <w:noProof/>
        </w:rPr>
      </w:pPr>
      <w:r w:rsidRPr="00150ABA">
        <w:rPr>
          <w:noProof/>
        </w:rPr>
        <w:t xml:space="preserve">The </w:t>
      </w:r>
      <w:r w:rsidR="00562648" w:rsidRPr="00150ABA">
        <w:rPr>
          <w:noProof/>
        </w:rPr>
        <w:t>design, development</w:t>
      </w:r>
      <w:r w:rsidRPr="00150ABA">
        <w:rPr>
          <w:noProof/>
        </w:rPr>
        <w:t>, technical management and maintenance of the platform would be entrusted to the European Union Agency for the Operational Management of Large-Scale IT Systems in the Area of Freedom, Security and Justice (eu-LISA)</w:t>
      </w:r>
      <w:r w:rsidR="00E70CE7" w:rsidRPr="00150ABA">
        <w:rPr>
          <w:noProof/>
        </w:rPr>
        <w:t>,</w:t>
      </w:r>
      <w:r w:rsidRPr="00150ABA">
        <w:rPr>
          <w:noProof/>
        </w:rPr>
        <w:t xml:space="preserve"> which is the U</w:t>
      </w:r>
      <w:r w:rsidR="00E70CE7" w:rsidRPr="00150ABA">
        <w:rPr>
          <w:noProof/>
        </w:rPr>
        <w:t>nion</w:t>
      </w:r>
      <w:r w:rsidRPr="00150ABA">
        <w:rPr>
          <w:noProof/>
        </w:rPr>
        <w:t xml:space="preserve"> agency in charge of large-scale IT systems in the </w:t>
      </w:r>
      <w:r w:rsidR="00562648" w:rsidRPr="00150ABA">
        <w:rPr>
          <w:noProof/>
          <w:szCs w:val="24"/>
          <w:shd w:val="clear" w:color="auto" w:fill="FFFFFF"/>
        </w:rPr>
        <w:t>in the Area of Freedom, Security and Justice</w:t>
      </w:r>
      <w:r w:rsidR="00562648" w:rsidRPr="00150ABA">
        <w:rPr>
          <w:noProof/>
        </w:rPr>
        <w:t>.</w:t>
      </w:r>
      <w:r w:rsidRPr="00150ABA">
        <w:rPr>
          <w:noProof/>
        </w:rPr>
        <w:t xml:space="preserve"> </w:t>
      </w:r>
    </w:p>
    <w:p w14:paraId="3409866B" w14:textId="4545B59E" w:rsidR="00920E47" w:rsidRPr="00150ABA" w:rsidRDefault="00920E47" w:rsidP="00E2148B">
      <w:pPr>
        <w:rPr>
          <w:noProof/>
        </w:rPr>
      </w:pPr>
      <w:r w:rsidRPr="00150ABA">
        <w:rPr>
          <w:noProof/>
        </w:rPr>
        <w:t xml:space="preserve">The platform would be </w:t>
      </w:r>
      <w:r w:rsidR="0079536D" w:rsidRPr="00150ABA">
        <w:rPr>
          <w:noProof/>
        </w:rPr>
        <w:t>o</w:t>
      </w:r>
      <w:r w:rsidRPr="00150ABA">
        <w:rPr>
          <w:noProof/>
        </w:rPr>
        <w:t>f a voluntary nature, so the authorities involved in JITs would have full discretion in deciding whether they want to use the platform for a specific JIT. In addition, the JIT members and participants would be free to use other tools while making use of the platform. For instance, if they decide to pass on evidence in person at a working meeting or through the Secure Information Exchange Network Application</w:t>
      </w:r>
      <w:r w:rsidR="00923F69" w:rsidRPr="00150ABA">
        <w:rPr>
          <w:noProof/>
        </w:rPr>
        <w:t xml:space="preserve"> (SIENA)</w:t>
      </w:r>
      <w:r w:rsidRPr="00150ABA">
        <w:rPr>
          <w:noProof/>
        </w:rPr>
        <w:t xml:space="preserve">, managed by Europol. </w:t>
      </w:r>
    </w:p>
    <w:p w14:paraId="6C767FEC" w14:textId="00E2FAD2" w:rsidR="00920E47" w:rsidRPr="00150ABA" w:rsidRDefault="00920E47" w:rsidP="00E2148B">
      <w:pPr>
        <w:rPr>
          <w:noProof/>
        </w:rPr>
      </w:pPr>
      <w:r w:rsidRPr="00150ABA">
        <w:rPr>
          <w:noProof/>
        </w:rPr>
        <w:t>The platform’s architecture would enable the creation of (non-interoperable) sessions in silo, the ‘JIT collaboration spaces,’ specific to each JIT and open only for the duration of the JIT. There would be no cross-cutting functions or any interactions between different JITs hosted by the platform.</w:t>
      </w:r>
    </w:p>
    <w:p w14:paraId="191684C3" w14:textId="50B42824" w:rsidR="00920E47" w:rsidRPr="00150ABA" w:rsidRDefault="00920E47" w:rsidP="00E2148B">
      <w:pPr>
        <w:rPr>
          <w:noProof/>
        </w:rPr>
      </w:pPr>
      <w:r w:rsidRPr="00150ABA">
        <w:rPr>
          <w:noProof/>
        </w:rPr>
        <w:t xml:space="preserve">The platform would support the functioning of JITs throughout their operational and post-operational phases. In practical terms, an individual JIT collaboration space could be created on the platform as soon as all establishing parties sign the JIT agreement. The space would be closed following the end of the evaluation process. </w:t>
      </w:r>
    </w:p>
    <w:p w14:paraId="0FEFE26B" w14:textId="7BB85409" w:rsidR="00920E47" w:rsidRPr="00150ABA" w:rsidRDefault="00920E47" w:rsidP="00E2148B">
      <w:pPr>
        <w:rPr>
          <w:noProof/>
        </w:rPr>
      </w:pPr>
      <w:r w:rsidRPr="00150ABA">
        <w:rPr>
          <w:noProof/>
        </w:rPr>
        <w:t>Access to the platform would be granted through regular computers (desktops, laptops, etc.) as well as through mobile devices. Its interface would be made available in all EU languages.</w:t>
      </w:r>
    </w:p>
    <w:p w14:paraId="00CDD17B" w14:textId="677D0AB5" w:rsidR="00920E47" w:rsidRPr="00150ABA" w:rsidRDefault="00920E47" w:rsidP="00E2148B">
      <w:pPr>
        <w:rPr>
          <w:noProof/>
        </w:rPr>
      </w:pPr>
      <w:r w:rsidRPr="00150ABA">
        <w:rPr>
          <w:noProof/>
        </w:rPr>
        <w:t>From a technical perspective, the platform would be composed of two distinctive elements, (i) a centralised information system, which would allow for a temporary central storage of data, and (ii) a communication software, a mobile application, which would enable communication and local communication data storage.</w:t>
      </w:r>
    </w:p>
    <w:p w14:paraId="31894513" w14:textId="77777777" w:rsidR="00BD1F32" w:rsidRPr="00150ABA" w:rsidRDefault="00920E47" w:rsidP="00BD1F32">
      <w:pPr>
        <w:pBdr>
          <w:top w:val="nil"/>
          <w:left w:val="nil"/>
          <w:bottom w:val="nil"/>
          <w:right w:val="nil"/>
          <w:between w:val="nil"/>
          <w:bar w:val="nil"/>
        </w:pBdr>
        <w:spacing w:before="0" w:after="240"/>
        <w:rPr>
          <w:noProof/>
        </w:rPr>
      </w:pPr>
      <w:r w:rsidRPr="00150ABA">
        <w:rPr>
          <w:noProof/>
        </w:rPr>
        <w:t>From a security perspective, while the platform will operate over the internet to offer flexible means of accessing it, the focus will be to guarantee confidentiality by design. This will be achieved by using robust end-to-end encryption algorithms to encrypt data in transit or at rest (i.e. stored on a physical storage). This feature is crucial for gaining the trust of JITs practitioners who deal with sensitive data and must be reassured regarding any risk of uncontrolled disclosure. In addition, appropriate multi-step identification and authentication mechanisms will be put in place to ensure that only authorised JIT members and participants have access to the platform.</w:t>
      </w:r>
    </w:p>
    <w:p w14:paraId="7CE88B85" w14:textId="3ACFD33C" w:rsidR="00E7216E" w:rsidRPr="00150ABA" w:rsidRDefault="00BD1F32" w:rsidP="00BD1F32">
      <w:pPr>
        <w:pBdr>
          <w:top w:val="nil"/>
          <w:left w:val="nil"/>
          <w:bottom w:val="nil"/>
          <w:right w:val="nil"/>
          <w:between w:val="nil"/>
          <w:bar w:val="nil"/>
        </w:pBdr>
        <w:spacing w:before="0" w:after="240"/>
        <w:rPr>
          <w:noProof/>
        </w:rPr>
      </w:pPr>
      <w:r w:rsidRPr="00150ABA">
        <w:rPr>
          <w:noProof/>
        </w:rPr>
        <w:t>W</w:t>
      </w:r>
      <w:r w:rsidR="00E7216E" w:rsidRPr="00150ABA">
        <w:rPr>
          <w:noProof/>
        </w:rPr>
        <w:t xml:space="preserve">hen designing the JITs collaboration platform, eu-LISA should </w:t>
      </w:r>
      <w:r w:rsidR="009643BD">
        <w:rPr>
          <w:noProof/>
        </w:rPr>
        <w:t xml:space="preserve">ensure </w:t>
      </w:r>
      <w:r w:rsidR="00E7216E" w:rsidRPr="00150ABA">
        <w:rPr>
          <w:noProof/>
        </w:rPr>
        <w:t>technical interoperability with SIENA.</w:t>
      </w:r>
    </w:p>
    <w:p w14:paraId="1837AADD" w14:textId="22572583" w:rsidR="00920E47" w:rsidRPr="00150ABA" w:rsidRDefault="00920E47" w:rsidP="0005122E">
      <w:pPr>
        <w:pBdr>
          <w:top w:val="nil"/>
          <w:left w:val="nil"/>
          <w:bottom w:val="nil"/>
          <w:right w:val="nil"/>
          <w:between w:val="nil"/>
          <w:bar w:val="nil"/>
        </w:pBdr>
        <w:spacing w:after="240"/>
        <w:rPr>
          <w:rFonts w:eastAsia="Arial Unicode MS"/>
          <w:i/>
          <w:noProof/>
          <w:lang w:eastAsia="en-GB"/>
        </w:rPr>
      </w:pPr>
      <w:r w:rsidRPr="00150ABA">
        <w:rPr>
          <w:i/>
          <w:noProof/>
          <w:lang w:eastAsia="en-GB"/>
        </w:rPr>
        <w:t>Key</w:t>
      </w:r>
      <w:r w:rsidRPr="00150ABA">
        <w:rPr>
          <w:rFonts w:eastAsia="Arial Unicode MS"/>
          <w:i/>
          <w:noProof/>
          <w:lang w:eastAsia="en-GB"/>
        </w:rPr>
        <w:t xml:space="preserve"> functions</w:t>
      </w:r>
    </w:p>
    <w:p w14:paraId="2AA2A1B3" w14:textId="6E632A2C" w:rsidR="00920E47" w:rsidRPr="00150ABA" w:rsidRDefault="00920E47" w:rsidP="0005122E">
      <w:pPr>
        <w:pBdr>
          <w:top w:val="nil"/>
          <w:left w:val="nil"/>
          <w:bottom w:val="nil"/>
          <w:right w:val="nil"/>
          <w:between w:val="nil"/>
          <w:bar w:val="nil"/>
        </w:pBdr>
        <w:spacing w:before="0" w:after="240"/>
        <w:rPr>
          <w:rFonts w:eastAsia="Arial Unicode MS"/>
          <w:noProof/>
          <w:lang w:eastAsia="en-GB"/>
        </w:rPr>
      </w:pPr>
      <w:r w:rsidRPr="00150ABA">
        <w:rPr>
          <w:rFonts w:eastAsia="Arial Unicode MS"/>
          <w:noProof/>
          <w:lang w:eastAsia="en-GB"/>
        </w:rPr>
        <w:t>The platform will offer the following key functions:</w:t>
      </w:r>
    </w:p>
    <w:p w14:paraId="3C221975" w14:textId="0E32DC48" w:rsidR="00920E47" w:rsidRPr="00150ABA" w:rsidRDefault="00920E47" w:rsidP="009D79B9">
      <w:pPr>
        <w:pStyle w:val="Bullet0"/>
        <w:tabs>
          <w:tab w:val="clear" w:pos="850"/>
          <w:tab w:val="num" w:pos="567"/>
        </w:tabs>
        <w:ind w:left="567" w:hanging="567"/>
        <w:rPr>
          <w:noProof/>
        </w:rPr>
      </w:pPr>
      <w:r w:rsidRPr="00150ABA">
        <w:rPr>
          <w:noProof/>
        </w:rPr>
        <w:t>secure, untraceable communication stored locally at the devices of the users, including a communication tool offering an instant messaging system, a chat feature, audio/video-conferencing and a function replacing standard emails;</w:t>
      </w:r>
    </w:p>
    <w:p w14:paraId="033777A6" w14:textId="443E2B18" w:rsidR="00920E47" w:rsidRPr="00150ABA" w:rsidRDefault="00920E47" w:rsidP="009D79B9">
      <w:pPr>
        <w:pStyle w:val="Bullet0"/>
        <w:tabs>
          <w:tab w:val="clear" w:pos="850"/>
          <w:tab w:val="num" w:pos="567"/>
        </w:tabs>
        <w:ind w:left="567" w:hanging="567"/>
        <w:rPr>
          <w:noProof/>
        </w:rPr>
      </w:pPr>
      <w:r w:rsidRPr="00150ABA">
        <w:rPr>
          <w:noProof/>
        </w:rPr>
        <w:t xml:space="preserve">exchange of information and evidence, including large files, through an upload/download system designed to store the data centrally only for the limited time needed to </w:t>
      </w:r>
      <w:r w:rsidR="00E70CE7" w:rsidRPr="00150ABA">
        <w:rPr>
          <w:noProof/>
        </w:rPr>
        <w:t xml:space="preserve">technically </w:t>
      </w:r>
      <w:r w:rsidRPr="00150ABA">
        <w:rPr>
          <w:noProof/>
        </w:rPr>
        <w:t>transfer the data. As soon as the data are downloaded by all addresses, it would be automatically deleted from the platform;</w:t>
      </w:r>
    </w:p>
    <w:p w14:paraId="01F5BC21" w14:textId="72501087" w:rsidR="00920E47" w:rsidRPr="00150ABA" w:rsidRDefault="00920E47" w:rsidP="009D79B9">
      <w:pPr>
        <w:pStyle w:val="Bullet0"/>
        <w:tabs>
          <w:tab w:val="clear" w:pos="850"/>
          <w:tab w:val="num" w:pos="567"/>
        </w:tabs>
        <w:ind w:left="567" w:hanging="567"/>
        <w:rPr>
          <w:noProof/>
        </w:rPr>
      </w:pPr>
      <w:r w:rsidRPr="00150ABA">
        <w:rPr>
          <w:noProof/>
        </w:rPr>
        <w:t>evidence traceability – an advanced logging mechanism logging a trail of who did what and when regarding all evidence shared through the platform, and supporting the need to ensure admissibility of evidence before a court.</w:t>
      </w:r>
    </w:p>
    <w:p w14:paraId="4B3EE088" w14:textId="7E660557" w:rsidR="00920E47" w:rsidRPr="00150ABA" w:rsidRDefault="00920E47" w:rsidP="0005122E">
      <w:pPr>
        <w:pBdr>
          <w:top w:val="nil"/>
          <w:left w:val="nil"/>
          <w:bottom w:val="nil"/>
          <w:right w:val="nil"/>
          <w:between w:val="nil"/>
          <w:bar w:val="nil"/>
        </w:pBdr>
        <w:spacing w:before="0" w:after="240"/>
        <w:rPr>
          <w:rFonts w:eastAsia="Arial Unicode MS"/>
          <w:i/>
          <w:noProof/>
          <w:lang w:eastAsia="en-GB"/>
        </w:rPr>
      </w:pPr>
      <w:r w:rsidRPr="00150ABA">
        <w:rPr>
          <w:rFonts w:eastAsia="Arial Unicode MS"/>
          <w:i/>
          <w:noProof/>
          <w:lang w:eastAsia="en-GB"/>
        </w:rPr>
        <w:t>Other functions</w:t>
      </w:r>
    </w:p>
    <w:p w14:paraId="4638A821" w14:textId="26597B0C" w:rsidR="00920E47" w:rsidRPr="00150ABA" w:rsidRDefault="00920E47" w:rsidP="0005122E">
      <w:pPr>
        <w:pBdr>
          <w:top w:val="nil"/>
          <w:left w:val="nil"/>
          <w:bottom w:val="nil"/>
          <w:right w:val="nil"/>
          <w:between w:val="nil"/>
          <w:bar w:val="nil"/>
        </w:pBdr>
        <w:spacing w:before="0" w:after="240"/>
        <w:rPr>
          <w:rFonts w:eastAsia="Arial Unicode MS"/>
          <w:noProof/>
          <w:lang w:eastAsia="en-GB"/>
        </w:rPr>
      </w:pPr>
      <w:r w:rsidRPr="00150ABA">
        <w:rPr>
          <w:rFonts w:eastAsia="Arial Unicode MS"/>
          <w:noProof/>
          <w:lang w:eastAsia="en-GB"/>
        </w:rPr>
        <w:t>Apart from these key functions, the platform will also offer the following:</w:t>
      </w:r>
    </w:p>
    <w:p w14:paraId="0696CD50" w14:textId="591DF41E" w:rsidR="00920E47" w:rsidRPr="00150ABA" w:rsidRDefault="00920E47" w:rsidP="009D79B9">
      <w:pPr>
        <w:pStyle w:val="Bullet0"/>
        <w:tabs>
          <w:tab w:val="clear" w:pos="850"/>
          <w:tab w:val="num" w:pos="567"/>
        </w:tabs>
        <w:ind w:left="567" w:hanging="567"/>
        <w:rPr>
          <w:noProof/>
        </w:rPr>
      </w:pPr>
      <w:r w:rsidRPr="00150ABA">
        <w:rPr>
          <w:noProof/>
        </w:rPr>
        <w:t>functions related to daily management of the JIT during its operational and post-operational (evaluation) phase;</w:t>
      </w:r>
    </w:p>
    <w:p w14:paraId="624F28F0" w14:textId="3AB13610" w:rsidR="00920E47" w:rsidRPr="00150ABA" w:rsidRDefault="00920E47" w:rsidP="009D79B9">
      <w:pPr>
        <w:pStyle w:val="Bullet0"/>
        <w:tabs>
          <w:tab w:val="clear" w:pos="850"/>
          <w:tab w:val="num" w:pos="567"/>
        </w:tabs>
        <w:ind w:left="567" w:hanging="567"/>
        <w:rPr>
          <w:noProof/>
        </w:rPr>
      </w:pPr>
      <w:r w:rsidRPr="00150ABA">
        <w:rPr>
          <w:noProof/>
        </w:rPr>
        <w:t>support for the administrative and financial processes;</w:t>
      </w:r>
    </w:p>
    <w:p w14:paraId="11E265D8" w14:textId="2507E0D0" w:rsidR="00920E47" w:rsidRPr="00150ABA" w:rsidRDefault="00920E47" w:rsidP="009D79B9">
      <w:pPr>
        <w:pStyle w:val="Bullet0"/>
        <w:tabs>
          <w:tab w:val="clear" w:pos="850"/>
          <w:tab w:val="num" w:pos="567"/>
        </w:tabs>
        <w:ind w:left="567" w:hanging="567"/>
        <w:rPr>
          <w:noProof/>
          <w:lang w:eastAsia="en-GB"/>
        </w:rPr>
      </w:pPr>
      <w:r w:rsidRPr="00150ABA">
        <w:rPr>
          <w:noProof/>
        </w:rPr>
        <w:t xml:space="preserve">various technical capabilities supporting operational and administrative processes, including the integration with the JITs-related electronic services already </w:t>
      </w:r>
      <w:r w:rsidR="00E70CE7" w:rsidRPr="00150ABA">
        <w:rPr>
          <w:noProof/>
        </w:rPr>
        <w:t xml:space="preserve">hosted at Eurojust and </w:t>
      </w:r>
      <w:r w:rsidRPr="00150ABA">
        <w:rPr>
          <w:noProof/>
        </w:rPr>
        <w:t xml:space="preserve">managed by </w:t>
      </w:r>
      <w:r w:rsidR="00E70CE7" w:rsidRPr="00150ABA">
        <w:rPr>
          <w:noProof/>
        </w:rPr>
        <w:t>the JIT Secretariat</w:t>
      </w:r>
      <w:r w:rsidRPr="00150ABA">
        <w:rPr>
          <w:noProof/>
          <w:lang w:eastAsia="en-GB"/>
        </w:rPr>
        <w:t xml:space="preserve">, i.e. JITs Funding, JITs Evaluation and JITs Restricted Area, allowing relevant information and documents to be obtained without needing to connect separately to the platform and the services offered by </w:t>
      </w:r>
      <w:r w:rsidR="00462FE9" w:rsidRPr="00150ABA">
        <w:rPr>
          <w:noProof/>
          <w:lang w:eastAsia="en-GB"/>
        </w:rPr>
        <w:t>the JIT Secretariat</w:t>
      </w:r>
      <w:r w:rsidRPr="00150ABA">
        <w:rPr>
          <w:noProof/>
          <w:lang w:eastAsia="en-GB"/>
        </w:rPr>
        <w:t>.</w:t>
      </w:r>
    </w:p>
    <w:p w14:paraId="3569BD1A" w14:textId="77777777" w:rsidR="00920E47" w:rsidRPr="00150ABA" w:rsidRDefault="00920E47" w:rsidP="0005122E">
      <w:pPr>
        <w:pBdr>
          <w:top w:val="nil"/>
          <w:left w:val="nil"/>
          <w:bottom w:val="nil"/>
          <w:right w:val="nil"/>
          <w:between w:val="nil"/>
          <w:bar w:val="nil"/>
        </w:pBdr>
        <w:spacing w:before="0" w:after="240"/>
        <w:rPr>
          <w:rFonts w:eastAsia="Arial Unicode MS"/>
          <w:i/>
          <w:noProof/>
          <w:lang w:eastAsia="en-GB"/>
        </w:rPr>
      </w:pPr>
      <w:r w:rsidRPr="00150ABA">
        <w:rPr>
          <w:rFonts w:eastAsia="Arial Unicode MS"/>
          <w:i/>
          <w:noProof/>
          <w:lang w:eastAsia="en-GB"/>
        </w:rPr>
        <w:t>Access rights</w:t>
      </w:r>
    </w:p>
    <w:p w14:paraId="348859AD" w14:textId="60852DB4" w:rsidR="00920E47" w:rsidRPr="00150ABA" w:rsidRDefault="00920E47" w:rsidP="00E2148B">
      <w:pPr>
        <w:rPr>
          <w:noProof/>
        </w:rPr>
      </w:pPr>
      <w:r w:rsidRPr="00150ABA">
        <w:rPr>
          <w:noProof/>
        </w:rPr>
        <w:t>Particular attention will be given to the platform’s</w:t>
      </w:r>
      <w:r w:rsidRPr="00150ABA" w:rsidDel="00D30DC6">
        <w:rPr>
          <w:noProof/>
        </w:rPr>
        <w:t xml:space="preserve"> </w:t>
      </w:r>
      <w:r w:rsidRPr="00150ABA">
        <w:rPr>
          <w:noProof/>
        </w:rPr>
        <w:t xml:space="preserve">access rights. The platform’s starting principle will be that the management of access rights rests with the JIT space administrator(s) from the JITs participating Member States. They will be in charge of granting access, during the operational and post-operational phases of the JIT, to: </w:t>
      </w:r>
    </w:p>
    <w:p w14:paraId="6DE50368" w14:textId="02F5BE31" w:rsidR="00920E47" w:rsidRPr="00150ABA" w:rsidRDefault="00BF1DE1" w:rsidP="00923F69">
      <w:pPr>
        <w:pStyle w:val="Bullet0"/>
        <w:tabs>
          <w:tab w:val="clear" w:pos="850"/>
          <w:tab w:val="num" w:pos="567"/>
        </w:tabs>
        <w:ind w:left="567" w:hanging="567"/>
        <w:rPr>
          <w:noProof/>
        </w:rPr>
      </w:pPr>
      <w:r w:rsidRPr="00150ABA">
        <w:rPr>
          <w:noProof/>
        </w:rPr>
        <w:t xml:space="preserve">representatives of </w:t>
      </w:r>
      <w:r w:rsidR="00920E47" w:rsidRPr="00150ABA">
        <w:rPr>
          <w:noProof/>
        </w:rPr>
        <w:t>the other Member States participating in the JIT;</w:t>
      </w:r>
    </w:p>
    <w:p w14:paraId="07D56A7C" w14:textId="77777777" w:rsidR="00923F69" w:rsidRPr="00150ABA" w:rsidRDefault="00920E47" w:rsidP="00923F69">
      <w:pPr>
        <w:pStyle w:val="Bullet0"/>
        <w:tabs>
          <w:tab w:val="clear" w:pos="850"/>
          <w:tab w:val="num" w:pos="567"/>
        </w:tabs>
        <w:ind w:left="567" w:hanging="567"/>
        <w:rPr>
          <w:noProof/>
        </w:rPr>
      </w:pPr>
      <w:r w:rsidRPr="00150ABA">
        <w:rPr>
          <w:noProof/>
        </w:rPr>
        <w:t xml:space="preserve">representatives of third </w:t>
      </w:r>
      <w:r w:rsidR="002457C2" w:rsidRPr="00150ABA">
        <w:rPr>
          <w:noProof/>
        </w:rPr>
        <w:t xml:space="preserve">countries </w:t>
      </w:r>
      <w:r w:rsidRPr="00150ABA">
        <w:rPr>
          <w:noProof/>
        </w:rPr>
        <w:t>which are also members of a given JIT;</w:t>
      </w:r>
    </w:p>
    <w:p w14:paraId="4B5A35A3" w14:textId="0F50AB34" w:rsidR="00920E47" w:rsidRPr="00150ABA" w:rsidRDefault="00BF1DE1" w:rsidP="00923F69">
      <w:pPr>
        <w:pStyle w:val="Bullet0"/>
        <w:tabs>
          <w:tab w:val="clear" w:pos="850"/>
          <w:tab w:val="num" w:pos="567"/>
        </w:tabs>
        <w:ind w:left="567" w:hanging="567"/>
        <w:rPr>
          <w:noProof/>
        </w:rPr>
      </w:pPr>
      <w:r w:rsidRPr="00150ABA">
        <w:rPr>
          <w:noProof/>
        </w:rPr>
        <w:t xml:space="preserve">representatives of </w:t>
      </w:r>
      <w:r w:rsidR="00920E47" w:rsidRPr="00150ABA">
        <w:rPr>
          <w:noProof/>
        </w:rPr>
        <w:t>Eurojust, Europol</w:t>
      </w:r>
      <w:r w:rsidRPr="00150ABA">
        <w:rPr>
          <w:noProof/>
        </w:rPr>
        <w:t>,</w:t>
      </w:r>
      <w:r w:rsidR="00920E47" w:rsidRPr="00150ABA">
        <w:rPr>
          <w:noProof/>
        </w:rPr>
        <w:t xml:space="preserve"> </w:t>
      </w:r>
      <w:r w:rsidRPr="00150ABA">
        <w:rPr>
          <w:noProof/>
        </w:rPr>
        <w:t xml:space="preserve">the European Public Prosecutor’s Office, OLAF </w:t>
      </w:r>
      <w:r w:rsidR="00923F69" w:rsidRPr="00150ABA">
        <w:rPr>
          <w:noProof/>
        </w:rPr>
        <w:t xml:space="preserve">and </w:t>
      </w:r>
      <w:r w:rsidRPr="00150ABA">
        <w:rPr>
          <w:noProof/>
        </w:rPr>
        <w:t>other competent Union bodies, offices and agencies</w:t>
      </w:r>
      <w:r w:rsidR="00920E47" w:rsidRPr="00150ABA">
        <w:rPr>
          <w:noProof/>
        </w:rPr>
        <w:t>; and</w:t>
      </w:r>
    </w:p>
    <w:p w14:paraId="5EC88415" w14:textId="77777777" w:rsidR="00920E47" w:rsidRPr="00150ABA" w:rsidRDefault="00920E47" w:rsidP="00923F69">
      <w:pPr>
        <w:pStyle w:val="Bullet0"/>
        <w:tabs>
          <w:tab w:val="clear" w:pos="850"/>
          <w:tab w:val="num" w:pos="567"/>
        </w:tabs>
        <w:ind w:left="567" w:hanging="567"/>
        <w:rPr>
          <w:noProof/>
        </w:rPr>
      </w:pPr>
      <w:r w:rsidRPr="00150ABA">
        <w:rPr>
          <w:noProof/>
        </w:rPr>
        <w:t>representatives of the JIT Secretariat.</w:t>
      </w:r>
    </w:p>
    <w:p w14:paraId="4D7FF99D" w14:textId="68D7DB09" w:rsidR="00920E47" w:rsidRPr="00150ABA" w:rsidRDefault="00920E47" w:rsidP="00E2148B">
      <w:pPr>
        <w:rPr>
          <w:noProof/>
        </w:rPr>
      </w:pPr>
      <w:r w:rsidRPr="00150ABA">
        <w:rPr>
          <w:noProof/>
        </w:rPr>
        <w:t>In addition, the JIT space administrator(s) will have the option to limit access to parts of information and evidence only to those who are concerned by it, including case-by-case granular access permissions. This restriction would concern all users of the JIT</w:t>
      </w:r>
      <w:r w:rsidR="00160ED8" w:rsidRPr="00150ABA">
        <w:rPr>
          <w:noProof/>
        </w:rPr>
        <w:t>s</w:t>
      </w:r>
      <w:r w:rsidRPr="00150ABA">
        <w:rPr>
          <w:noProof/>
        </w:rPr>
        <w:t xml:space="preserve"> collaboration platform, be it the Member States, third </w:t>
      </w:r>
      <w:r w:rsidR="002457C2" w:rsidRPr="00150ABA">
        <w:rPr>
          <w:noProof/>
        </w:rPr>
        <w:t>countries</w:t>
      </w:r>
      <w:r w:rsidRPr="00150ABA">
        <w:rPr>
          <w:noProof/>
        </w:rPr>
        <w:t xml:space="preserve">, </w:t>
      </w:r>
      <w:r w:rsidR="00C66019" w:rsidRPr="00150ABA">
        <w:rPr>
          <w:noProof/>
        </w:rPr>
        <w:t xml:space="preserve">the </w:t>
      </w:r>
      <w:r w:rsidR="00160ED8" w:rsidRPr="00150ABA">
        <w:rPr>
          <w:noProof/>
        </w:rPr>
        <w:t>competent Union bodies, offices and agencies</w:t>
      </w:r>
      <w:r w:rsidRPr="00150ABA">
        <w:rPr>
          <w:noProof/>
        </w:rPr>
        <w:t xml:space="preserve"> or the JIT Secretariat.</w:t>
      </w:r>
    </w:p>
    <w:p w14:paraId="4197C9A9" w14:textId="1AF1E41C" w:rsidR="00920E47" w:rsidRPr="00150ABA" w:rsidRDefault="00920E47" w:rsidP="00E2148B">
      <w:pPr>
        <w:rPr>
          <w:noProof/>
        </w:rPr>
      </w:pPr>
      <w:r w:rsidRPr="00150ABA">
        <w:rPr>
          <w:noProof/>
        </w:rPr>
        <w:t xml:space="preserve">It must be underlined that eu-LISA, as the hosting provider, will not have access to the data stored or exchanged through the platform. It will also not be involved in the access rights management, except for the initial process of granting access rights to JIT space administrator(s) based on the signed JIT agreement. The platform’s architecture must offer sufficient guarantees for this to happen. </w:t>
      </w:r>
    </w:p>
    <w:p w14:paraId="77203920" w14:textId="02E18BC5" w:rsidR="00920E47" w:rsidRPr="00150ABA" w:rsidRDefault="00920E47" w:rsidP="00E2148B">
      <w:pPr>
        <w:rPr>
          <w:noProof/>
        </w:rPr>
      </w:pPr>
      <w:r w:rsidRPr="00150ABA">
        <w:rPr>
          <w:noProof/>
        </w:rPr>
        <w:t xml:space="preserve">The access rights of </w:t>
      </w:r>
      <w:r w:rsidR="00C66019" w:rsidRPr="00150ABA">
        <w:rPr>
          <w:noProof/>
        </w:rPr>
        <w:t xml:space="preserve">the </w:t>
      </w:r>
      <w:r w:rsidR="00160ED8" w:rsidRPr="00150ABA">
        <w:rPr>
          <w:noProof/>
        </w:rPr>
        <w:t xml:space="preserve">competent Union bodies, offices and agencies </w:t>
      </w:r>
      <w:r w:rsidRPr="00150ABA">
        <w:rPr>
          <w:noProof/>
        </w:rPr>
        <w:t xml:space="preserve">should be defined in view of the operational support they provide to JITs, covering all steps of the proceedings, from the moment of the signed JIT agreement until the end of the evaluation phase. On the latter, the platform must provide for access rights for the JIT Secretariat, which plays an important role in that process. The JIT Secretariat could also be in charge of the platform’s </w:t>
      </w:r>
      <w:r w:rsidRPr="00150ABA">
        <w:rPr>
          <w:noProof/>
          <w:szCs w:val="24"/>
          <w:lang w:eastAsia="en-GB"/>
        </w:rPr>
        <w:t xml:space="preserve">administrative support, including access rights management, as long as the JIT </w:t>
      </w:r>
      <w:r w:rsidRPr="00150ABA">
        <w:rPr>
          <w:noProof/>
        </w:rPr>
        <w:t>space administrator</w:t>
      </w:r>
      <w:r w:rsidRPr="00150ABA">
        <w:rPr>
          <w:noProof/>
          <w:szCs w:val="24"/>
          <w:lang w:eastAsia="en-GB"/>
        </w:rPr>
        <w:t>(s) of each individual JIT envisage such a role.</w:t>
      </w:r>
    </w:p>
    <w:p w14:paraId="37F3A92B" w14:textId="615E466C" w:rsidR="00920E47" w:rsidRPr="00150ABA" w:rsidRDefault="00920E47" w:rsidP="00E2148B">
      <w:pPr>
        <w:rPr>
          <w:noProof/>
        </w:rPr>
      </w:pPr>
      <w:r w:rsidRPr="00150ABA">
        <w:rPr>
          <w:noProof/>
        </w:rPr>
        <w:t xml:space="preserve">Keeping in mind the increasing role of third </w:t>
      </w:r>
      <w:r w:rsidR="002457C2" w:rsidRPr="00150ABA">
        <w:rPr>
          <w:noProof/>
        </w:rPr>
        <w:t xml:space="preserve">countries </w:t>
      </w:r>
      <w:r w:rsidRPr="00150ABA">
        <w:rPr>
          <w:noProof/>
        </w:rPr>
        <w:t>in the successful prosecution of serious organised crime and terrorism, the platform will also be available to them, if they are part of a JIT agreement. However, specific access rights will depend on their role in a given JIT and should be set out by the JIT space administrator(s) for each respective JIT. To guarantee the respect for fundamental rights, including data protection, and in line with the currently applicable procedures, before granting access to a specific third country, the JIT space administrator(s) will need to thoroughly assess the data protection aspects against the applicable rules, notably Directive 2016/680</w:t>
      </w:r>
      <w:r w:rsidRPr="00150ABA">
        <w:rPr>
          <w:rStyle w:val="FootnoteReference"/>
          <w:noProof/>
        </w:rPr>
        <w:footnoteReference w:id="9"/>
      </w:r>
      <w:r w:rsidRPr="00150ABA">
        <w:rPr>
          <w:noProof/>
        </w:rPr>
        <w:t>.</w:t>
      </w:r>
    </w:p>
    <w:p w14:paraId="3734F218" w14:textId="77777777" w:rsidR="00920E47" w:rsidRPr="00150ABA" w:rsidRDefault="00920E47" w:rsidP="009D79B9">
      <w:pPr>
        <w:pStyle w:val="Bullet0"/>
        <w:tabs>
          <w:tab w:val="clear" w:pos="850"/>
          <w:tab w:val="num" w:pos="567"/>
        </w:tabs>
        <w:rPr>
          <w:b/>
          <w:noProof/>
        </w:rPr>
      </w:pPr>
      <w:r w:rsidRPr="00150ABA">
        <w:rPr>
          <w:b/>
          <w:noProof/>
        </w:rPr>
        <w:t>Consistency with existing policy provisions in the policy area</w:t>
      </w:r>
    </w:p>
    <w:p w14:paraId="053840D7" w14:textId="73902187" w:rsidR="00920E47" w:rsidRPr="00150ABA" w:rsidRDefault="00920E47" w:rsidP="0005122E">
      <w:pPr>
        <w:pBdr>
          <w:top w:val="nil"/>
          <w:left w:val="nil"/>
          <w:bottom w:val="nil"/>
          <w:right w:val="nil"/>
          <w:between w:val="nil"/>
          <w:bar w:val="nil"/>
        </w:pBdr>
        <w:spacing w:after="240"/>
        <w:rPr>
          <w:noProof/>
        </w:rPr>
      </w:pPr>
      <w:r w:rsidRPr="00150ABA">
        <w:rPr>
          <w:noProof/>
        </w:rPr>
        <w:t xml:space="preserve">Strengthening cross-border criminal investigations and prosecutions carried out by JITs is a crucial part of creating an area of freedom, security and justice. </w:t>
      </w:r>
    </w:p>
    <w:p w14:paraId="5A1C1B78" w14:textId="76B29F0C" w:rsidR="00920E47" w:rsidRDefault="00920E47" w:rsidP="0005122E">
      <w:pPr>
        <w:pBdr>
          <w:top w:val="nil"/>
          <w:left w:val="nil"/>
          <w:bottom w:val="nil"/>
          <w:right w:val="nil"/>
          <w:between w:val="nil"/>
          <w:bar w:val="nil"/>
        </w:pBdr>
        <w:spacing w:before="0" w:after="240"/>
        <w:rPr>
          <w:rFonts w:eastAsia="Arial Unicode MS"/>
          <w:noProof/>
        </w:rPr>
      </w:pPr>
      <w:r w:rsidRPr="00150ABA">
        <w:rPr>
          <w:rFonts w:eastAsia="Arial Unicode MS"/>
          <w:noProof/>
        </w:rPr>
        <w:t>This proposal has been announced in the Commission’s Communication on the digitalisation of justice in the EU</w:t>
      </w:r>
      <w:r w:rsidRPr="00150ABA">
        <w:rPr>
          <w:rStyle w:val="FootnoteReference"/>
          <w:noProof/>
        </w:rPr>
        <w:footnoteReference w:id="10"/>
      </w:r>
      <w:r w:rsidRPr="00150ABA">
        <w:rPr>
          <w:rFonts w:eastAsia="Arial Unicode MS"/>
          <w:noProof/>
        </w:rPr>
        <w:t>, as part of a broader initiative to enable the secure electronic communication and exchange of information and documents between courts, national authorities, and justice and home affairs agencies. It also constitutes part of the digitalisation of justice package contained in the Commission’s work programme for 2021 under the heading ‘A New Push for European Democracy’</w:t>
      </w:r>
      <w:r w:rsidR="006C5E83" w:rsidRPr="00150ABA">
        <w:rPr>
          <w:rStyle w:val="FootnoteReference"/>
          <w:noProof/>
        </w:rPr>
        <w:footnoteReference w:id="11"/>
      </w:r>
      <w:r w:rsidR="00923F69" w:rsidRPr="00150ABA">
        <w:rPr>
          <w:rFonts w:eastAsia="Arial Unicode MS"/>
          <w:noProof/>
        </w:rPr>
        <w:t>.</w:t>
      </w:r>
    </w:p>
    <w:p w14:paraId="0356C09C" w14:textId="77777777" w:rsidR="00920E47" w:rsidRPr="00150ABA" w:rsidRDefault="00920E47" w:rsidP="009D79B9">
      <w:pPr>
        <w:pStyle w:val="Bullet0"/>
        <w:tabs>
          <w:tab w:val="clear" w:pos="850"/>
          <w:tab w:val="num" w:pos="567"/>
        </w:tabs>
        <w:rPr>
          <w:b/>
          <w:noProof/>
        </w:rPr>
      </w:pPr>
      <w:r w:rsidRPr="00150ABA">
        <w:rPr>
          <w:b/>
          <w:noProof/>
        </w:rPr>
        <w:t>Consistency with other Union policies</w:t>
      </w:r>
    </w:p>
    <w:p w14:paraId="0413B83B" w14:textId="77777777" w:rsidR="009643BD" w:rsidRDefault="00920E47" w:rsidP="0005122E">
      <w:pPr>
        <w:pBdr>
          <w:top w:val="nil"/>
          <w:left w:val="nil"/>
          <w:bottom w:val="nil"/>
          <w:right w:val="nil"/>
          <w:between w:val="nil"/>
          <w:bar w:val="nil"/>
        </w:pBdr>
        <w:spacing w:before="0" w:after="240"/>
        <w:rPr>
          <w:noProof/>
        </w:rPr>
      </w:pPr>
      <w:r w:rsidRPr="00150ABA">
        <w:rPr>
          <w:noProof/>
        </w:rPr>
        <w:t>The proposal is in line with the EU Security Union strategy</w:t>
      </w:r>
      <w:r w:rsidR="006C5E83" w:rsidRPr="00150ABA">
        <w:rPr>
          <w:rStyle w:val="FootnoteReference"/>
          <w:rFonts w:eastAsia="Arial Unicode MS"/>
          <w:noProof/>
        </w:rPr>
        <w:footnoteReference w:id="12"/>
      </w:r>
      <w:r w:rsidRPr="00150ABA">
        <w:rPr>
          <w:noProof/>
        </w:rPr>
        <w:t>, the counter-terrorism agenda for the EU</w:t>
      </w:r>
      <w:r w:rsidR="006C5E83" w:rsidRPr="00150ABA">
        <w:rPr>
          <w:rStyle w:val="FootnoteReference"/>
          <w:rFonts w:eastAsia="Arial Unicode MS"/>
          <w:noProof/>
        </w:rPr>
        <w:footnoteReference w:id="13"/>
      </w:r>
      <w:r w:rsidRPr="00150ABA">
        <w:rPr>
          <w:noProof/>
        </w:rPr>
        <w:t xml:space="preserve"> and the EU strategy to tackle organised crime</w:t>
      </w:r>
      <w:r w:rsidR="006C5E83" w:rsidRPr="00150ABA">
        <w:rPr>
          <w:rStyle w:val="FootnoteReference"/>
          <w:rFonts w:eastAsia="Arial Unicode MS"/>
          <w:noProof/>
        </w:rPr>
        <w:footnoteReference w:id="14"/>
      </w:r>
      <w:r w:rsidRPr="00150ABA">
        <w:rPr>
          <w:noProof/>
        </w:rPr>
        <w:t>.</w:t>
      </w:r>
    </w:p>
    <w:p w14:paraId="3227D75F" w14:textId="520A165B" w:rsidR="00920E47" w:rsidRPr="00150ABA" w:rsidRDefault="009643BD" w:rsidP="0005122E">
      <w:pPr>
        <w:pBdr>
          <w:top w:val="nil"/>
          <w:left w:val="nil"/>
          <w:bottom w:val="nil"/>
          <w:right w:val="nil"/>
          <w:between w:val="nil"/>
          <w:bar w:val="nil"/>
        </w:pBdr>
        <w:spacing w:before="0" w:after="240"/>
        <w:rPr>
          <w:noProof/>
        </w:rPr>
      </w:pPr>
      <w:r w:rsidRPr="00323D6F">
        <w:rPr>
          <w:rFonts w:eastAsia="Arial Unicode MS"/>
          <w:iCs/>
          <w:noProof/>
        </w:rPr>
        <w:t>Given the highly sensitive nature of the information exchanged, it is essential that the implementation of the toolbox approach on the digitalisation of justice, including through this proposal, takes place in a way that guarantees strong cybersecurity standards. This is consistent with the approach outlined in the EU's Cybersecurity Strategy and the Commission’s proposal for a Directive on measures for a high common level of cybersecurity across the Union (NIS2), aiming to improve further the cybersecurity capacities of public and private entities, competent authorities and the Union as a whole in the field of cybersecurity and critical infrastructure protection</w:t>
      </w:r>
      <w:r w:rsidRPr="00323D6F">
        <w:rPr>
          <w:rFonts w:eastAsia="Arial Unicode MS"/>
          <w:noProof/>
        </w:rPr>
        <w:t>.</w:t>
      </w:r>
      <w:r w:rsidR="00F54DD9">
        <w:rPr>
          <w:rFonts w:eastAsia="Arial Unicode MS"/>
          <w:noProof/>
        </w:rPr>
        <w:t xml:space="preserve"> </w:t>
      </w:r>
      <w:r w:rsidR="00F54DD9" w:rsidRPr="00F54DD9">
        <w:rPr>
          <w:rFonts w:eastAsia="Arial Unicode MS"/>
          <w:noProof/>
        </w:rPr>
        <w:t>While judiciary in Member States is not in the scope of NIS2 proposal it is of essence that Member States will put in place national measures that would ensure a comparable level of cybersecurity.</w:t>
      </w:r>
    </w:p>
    <w:p w14:paraId="3D7E21EA" w14:textId="740DA56B" w:rsidR="00920E47" w:rsidRPr="00150ABA" w:rsidRDefault="00920E47" w:rsidP="0005122E">
      <w:pPr>
        <w:pStyle w:val="ManualHeading1"/>
        <w:rPr>
          <w:noProof/>
        </w:rPr>
      </w:pPr>
      <w:r w:rsidRPr="00150ABA">
        <w:rPr>
          <w:noProof/>
        </w:rPr>
        <w:t>2.</w:t>
      </w:r>
      <w:r w:rsidRPr="00150ABA">
        <w:rPr>
          <w:noProof/>
        </w:rPr>
        <w:tab/>
        <w:t>LEGAL BASIS, SUBSIDIARITY AND PROPORTIONALITY</w:t>
      </w:r>
    </w:p>
    <w:p w14:paraId="2AE7F603" w14:textId="77777777" w:rsidR="00920E47" w:rsidRPr="00150ABA" w:rsidRDefault="00920E47" w:rsidP="009D79B9">
      <w:pPr>
        <w:pStyle w:val="Bullet0"/>
        <w:tabs>
          <w:tab w:val="clear" w:pos="850"/>
          <w:tab w:val="num" w:pos="567"/>
        </w:tabs>
        <w:rPr>
          <w:b/>
          <w:noProof/>
        </w:rPr>
      </w:pPr>
      <w:r w:rsidRPr="00150ABA">
        <w:rPr>
          <w:b/>
          <w:noProof/>
        </w:rPr>
        <w:t>Legal basis</w:t>
      </w:r>
    </w:p>
    <w:p w14:paraId="1FD58910" w14:textId="7C3BFC6A" w:rsidR="00920E47" w:rsidRPr="00150ABA" w:rsidRDefault="00920E47" w:rsidP="0005122E">
      <w:pPr>
        <w:pBdr>
          <w:top w:val="nil"/>
          <w:left w:val="nil"/>
          <w:bottom w:val="nil"/>
          <w:right w:val="nil"/>
          <w:between w:val="nil"/>
          <w:bar w:val="nil"/>
        </w:pBdr>
        <w:spacing w:before="0" w:after="240"/>
        <w:rPr>
          <w:rFonts w:eastAsia="Arial Unicode MS"/>
          <w:noProof/>
          <w:color w:val="000000" w:themeColor="text1"/>
        </w:rPr>
      </w:pPr>
      <w:r w:rsidRPr="00150ABA">
        <w:rPr>
          <w:rFonts w:eastAsia="Arial Unicode MS"/>
          <w:noProof/>
        </w:rPr>
        <w:t>The legal basis for the proposal is Article 82(1)(d) of the Treaty on the Functioning of the European Union (TFEU). In line with that Article, the EU has the power to adopt measures to ease cooperation between judicial or equivalent authorities of the Member States in relation to proceedings in criminal matters.</w:t>
      </w:r>
      <w:r w:rsidRPr="00150ABA">
        <w:rPr>
          <w:rFonts w:eastAsia="Arial Unicode MS"/>
          <w:noProof/>
          <w:color w:val="000000" w:themeColor="text1"/>
        </w:rPr>
        <w:t xml:space="preserve"> </w:t>
      </w:r>
    </w:p>
    <w:p w14:paraId="5DF7F896" w14:textId="5D0D42B6" w:rsidR="00920E47" w:rsidRPr="00150ABA" w:rsidRDefault="00920E47" w:rsidP="0005122E">
      <w:pPr>
        <w:pBdr>
          <w:top w:val="nil"/>
          <w:left w:val="nil"/>
          <w:bottom w:val="nil"/>
          <w:right w:val="nil"/>
          <w:between w:val="nil"/>
          <w:bar w:val="nil"/>
        </w:pBdr>
        <w:spacing w:before="0" w:after="240"/>
        <w:rPr>
          <w:rFonts w:eastAsia="Arial Unicode MS"/>
          <w:noProof/>
        </w:rPr>
      </w:pPr>
      <w:r w:rsidRPr="00150ABA">
        <w:rPr>
          <w:rFonts w:eastAsia="Arial Unicode MS"/>
          <w:noProof/>
        </w:rPr>
        <w:t xml:space="preserve">In line with Articles 1 and 2 of Protocol No 22 on the position of Denmark, annexed to the Treaty of the European Union (TEU) and to the TFEU, Denmark is not taking part in the adoption of this Regulation and is not bound by it or subject to its application. </w:t>
      </w:r>
    </w:p>
    <w:p w14:paraId="0D08812A" w14:textId="2E41CB7B" w:rsidR="00920E47" w:rsidRPr="00150ABA" w:rsidRDefault="00920E47" w:rsidP="0005122E">
      <w:pPr>
        <w:pBdr>
          <w:top w:val="nil"/>
          <w:left w:val="nil"/>
          <w:bottom w:val="nil"/>
          <w:right w:val="nil"/>
          <w:between w:val="nil"/>
          <w:bar w:val="nil"/>
        </w:pBdr>
        <w:spacing w:before="0" w:after="240"/>
        <w:rPr>
          <w:rFonts w:eastAsia="Arial Unicode MS"/>
          <w:noProof/>
        </w:rPr>
      </w:pPr>
      <w:r w:rsidRPr="00150ABA">
        <w:rPr>
          <w:rFonts w:eastAsia="Arial Unicode MS"/>
          <w:noProof/>
        </w:rPr>
        <w:t>In line with Articles 1 to 3 of Protocol No 21 on the position of Ireland, annexed to the TEU and to the TFEU,</w:t>
      </w:r>
      <w:r w:rsidRPr="00150ABA">
        <w:rPr>
          <w:noProof/>
        </w:rPr>
        <w:t xml:space="preserve"> I</w:t>
      </w:r>
      <w:r w:rsidRPr="00150ABA">
        <w:rPr>
          <w:rFonts w:eastAsia="Arial Unicode MS"/>
          <w:noProof/>
        </w:rPr>
        <w:t>reland may notify the President of the Council in writing that it wishes to take part in the adoption and application of any such proposed measure, where it will be entitled to do so. The notice must be within three months after a proposal or initiative has been presented to the Council under Title V of Part Three of the Treaty on the Functioning of the European Union.</w:t>
      </w:r>
    </w:p>
    <w:p w14:paraId="1A4FE69A" w14:textId="77777777" w:rsidR="00920E47" w:rsidRPr="00150ABA" w:rsidRDefault="00920E47" w:rsidP="009D79B9">
      <w:pPr>
        <w:pStyle w:val="Bullet0"/>
        <w:tabs>
          <w:tab w:val="clear" w:pos="850"/>
          <w:tab w:val="num" w:pos="567"/>
        </w:tabs>
        <w:rPr>
          <w:b/>
          <w:noProof/>
        </w:rPr>
      </w:pPr>
      <w:r w:rsidRPr="00150ABA">
        <w:rPr>
          <w:b/>
          <w:noProof/>
        </w:rPr>
        <w:t>Subsidiarity (for non-exclusive competence)</w:t>
      </w:r>
    </w:p>
    <w:p w14:paraId="064E5A38" w14:textId="77777777" w:rsidR="00920E47" w:rsidRPr="00150ABA" w:rsidRDefault="00920E47" w:rsidP="0005122E">
      <w:pPr>
        <w:pBdr>
          <w:top w:val="nil"/>
          <w:left w:val="nil"/>
          <w:bottom w:val="nil"/>
          <w:right w:val="nil"/>
          <w:between w:val="nil"/>
          <w:bar w:val="nil"/>
        </w:pBdr>
        <w:spacing w:before="0" w:after="240"/>
        <w:rPr>
          <w:rFonts w:eastAsia="Arial Unicode MS"/>
          <w:noProof/>
        </w:rPr>
      </w:pPr>
      <w:r w:rsidRPr="00150ABA">
        <w:rPr>
          <w:rFonts w:eastAsia="Arial Unicode MS"/>
          <w:noProof/>
        </w:rPr>
        <w:t>According to the principle of subsidiarity laid down in Article 5(3) of the TEU, action at EU level should be taken only when the aims envisaged cannot be achieved sufficiently by Member States alone and can therefore, by reason of the scale or effects of the proposed action, be better achieved by the EU. Furthermore, there is a need to match the nature and intensity of a given measure to the identified problem.</w:t>
      </w:r>
    </w:p>
    <w:p w14:paraId="06E7D9A2" w14:textId="3248172A" w:rsidR="00920E47" w:rsidRPr="00150ABA" w:rsidRDefault="00920E47" w:rsidP="0005122E">
      <w:pPr>
        <w:pBdr>
          <w:top w:val="nil"/>
          <w:left w:val="nil"/>
          <w:bottom w:val="nil"/>
          <w:right w:val="nil"/>
          <w:between w:val="nil"/>
          <w:bar w:val="nil"/>
        </w:pBdr>
        <w:spacing w:before="0" w:after="240"/>
        <w:rPr>
          <w:rFonts w:eastAsia="Arial Unicode MS"/>
          <w:noProof/>
        </w:rPr>
      </w:pPr>
      <w:r w:rsidRPr="00150ABA">
        <w:rPr>
          <w:rFonts w:eastAsia="Arial Unicode MS"/>
          <w:noProof/>
        </w:rPr>
        <w:t>The creation of a common Union</w:t>
      </w:r>
      <w:r w:rsidR="00160ED8" w:rsidRPr="00150ABA">
        <w:rPr>
          <w:rFonts w:eastAsia="Arial Unicode MS"/>
          <w:noProof/>
        </w:rPr>
        <w:t xml:space="preserve"> </w:t>
      </w:r>
      <w:r w:rsidRPr="00150ABA">
        <w:rPr>
          <w:rFonts w:eastAsia="Arial Unicode MS"/>
          <w:noProof/>
        </w:rPr>
        <w:t>wide IT platform to support JITs, allowing the Member States to make use of a technology solution that does not depend on the national IT infrastructure, can neither be achieved unilaterally at Member State level nor bilaterally between the Member States. It is by its nature a task to be undertaken at EU level. Therefore, it is also for the Union to establish a legally binding instrument to create such a system and to lay down the conditions under which that system will function.</w:t>
      </w:r>
    </w:p>
    <w:p w14:paraId="0794D3AD" w14:textId="77777777" w:rsidR="00920E47" w:rsidRPr="00150ABA" w:rsidRDefault="00920E47" w:rsidP="009D79B9">
      <w:pPr>
        <w:pStyle w:val="Bullet0"/>
        <w:tabs>
          <w:tab w:val="clear" w:pos="850"/>
          <w:tab w:val="num" w:pos="567"/>
        </w:tabs>
        <w:rPr>
          <w:b/>
          <w:noProof/>
        </w:rPr>
      </w:pPr>
      <w:r w:rsidRPr="00150ABA">
        <w:rPr>
          <w:b/>
          <w:noProof/>
        </w:rPr>
        <w:t>Proportionality</w:t>
      </w:r>
    </w:p>
    <w:p w14:paraId="738953AF" w14:textId="77777777" w:rsidR="00920E47" w:rsidRPr="00150ABA" w:rsidRDefault="00920E47" w:rsidP="0005122E">
      <w:pPr>
        <w:rPr>
          <w:noProof/>
        </w:rPr>
      </w:pPr>
      <w:r w:rsidRPr="00150ABA">
        <w:rPr>
          <w:noProof/>
        </w:rPr>
        <w:t xml:space="preserve">According to the principle of proportionality laid down in Article 5(4) of the TEU, there is a need to match the nature and intensity of a given measure to the identified problem. </w:t>
      </w:r>
    </w:p>
    <w:p w14:paraId="765C577C" w14:textId="0D4D0510" w:rsidR="00920E47" w:rsidRPr="00150ABA" w:rsidRDefault="00920E47" w:rsidP="0005122E">
      <w:pPr>
        <w:rPr>
          <w:noProof/>
        </w:rPr>
      </w:pPr>
      <w:r w:rsidRPr="00150ABA">
        <w:rPr>
          <w:noProof/>
        </w:rPr>
        <w:t>All problems described in this document require EU-level support to tackle them effectively. Addressing the problems individually, for instance by creating separate tools tackling the communication issue, the lack of data exchange mechanism, etc. would be much more costly and would create an administrative burden for the JITs. The Union wide IT platform is the only way to provide JITs with a common modern technical solution that will allow them to carry out their cross-border investigations more efficiently.</w:t>
      </w:r>
    </w:p>
    <w:p w14:paraId="4F951413" w14:textId="6BB5554F" w:rsidR="00920E47" w:rsidRPr="00150ABA" w:rsidRDefault="00920E47" w:rsidP="0005122E">
      <w:pPr>
        <w:pBdr>
          <w:top w:val="nil"/>
          <w:left w:val="nil"/>
          <w:bottom w:val="nil"/>
          <w:right w:val="nil"/>
          <w:between w:val="nil"/>
          <w:bar w:val="nil"/>
        </w:pBdr>
        <w:spacing w:before="0" w:after="240"/>
        <w:rPr>
          <w:noProof/>
        </w:rPr>
      </w:pPr>
      <w:r w:rsidRPr="00150ABA">
        <w:rPr>
          <w:noProof/>
        </w:rPr>
        <w:t xml:space="preserve">Therefore, it can be concluded that the action at </w:t>
      </w:r>
      <w:r w:rsidR="00133B4C" w:rsidRPr="00150ABA">
        <w:rPr>
          <w:noProof/>
        </w:rPr>
        <w:t>EU</w:t>
      </w:r>
      <w:r w:rsidRPr="00150ABA">
        <w:rPr>
          <w:noProof/>
        </w:rPr>
        <w:t xml:space="preserve"> level to establish the platform to support functioning of JITs is proportionate to the identified problems that JITs encounter in their daily work.</w:t>
      </w:r>
    </w:p>
    <w:p w14:paraId="253009A0" w14:textId="77777777" w:rsidR="00920E47" w:rsidRPr="00150ABA" w:rsidRDefault="00920E47" w:rsidP="009D79B9">
      <w:pPr>
        <w:pStyle w:val="Bullet0"/>
        <w:tabs>
          <w:tab w:val="clear" w:pos="850"/>
          <w:tab w:val="num" w:pos="567"/>
        </w:tabs>
        <w:rPr>
          <w:b/>
          <w:noProof/>
        </w:rPr>
      </w:pPr>
      <w:r w:rsidRPr="00150ABA">
        <w:rPr>
          <w:b/>
          <w:noProof/>
        </w:rPr>
        <w:t>Choice of the instrument</w:t>
      </w:r>
    </w:p>
    <w:p w14:paraId="3EEE081B" w14:textId="09F50B0A" w:rsidR="00920E47" w:rsidRPr="00150ABA" w:rsidRDefault="00920E47" w:rsidP="0005122E">
      <w:pPr>
        <w:pBdr>
          <w:top w:val="nil"/>
          <w:left w:val="nil"/>
          <w:bottom w:val="nil"/>
          <w:right w:val="nil"/>
          <w:between w:val="nil"/>
          <w:bar w:val="nil"/>
        </w:pBdr>
        <w:spacing w:before="0" w:after="240"/>
        <w:rPr>
          <w:rFonts w:eastAsia="Arial Unicode MS"/>
          <w:noProof/>
        </w:rPr>
      </w:pPr>
      <w:r w:rsidRPr="00150ABA">
        <w:rPr>
          <w:rFonts w:eastAsia="Arial Unicode MS"/>
          <w:noProof/>
        </w:rPr>
        <w:t>The Commission is putting forward a proposal for a Regulation as the proposed legal instrument establishes a central system at EU level managed by the European agency eu-LISA. The proposal also amends Regulation (EU) No 2018/1726. A Regulation is directly applicable in all Member States and binding in its entirety. It therefore guarantees a common application of the rules across the Union and their entry into force at the same time. It ensures legal certainty by avoiding different interpretations in the Member States, thus preventing legal fragmentation.</w:t>
      </w:r>
    </w:p>
    <w:p w14:paraId="4CB9CA80" w14:textId="77777777" w:rsidR="00920E47" w:rsidRPr="00150ABA" w:rsidRDefault="00920E47" w:rsidP="0005122E">
      <w:pPr>
        <w:pStyle w:val="ManualHeading1"/>
        <w:rPr>
          <w:noProof/>
        </w:rPr>
      </w:pPr>
      <w:r w:rsidRPr="00150ABA" w:rsidDel="00CA4FEC">
        <w:rPr>
          <w:rFonts w:eastAsia="Arial Unicode MS"/>
          <w:noProof/>
          <w:color w:val="008000"/>
        </w:rPr>
        <w:t xml:space="preserve"> </w:t>
      </w:r>
      <w:r w:rsidRPr="00150ABA">
        <w:rPr>
          <w:noProof/>
        </w:rPr>
        <w:t>3.</w:t>
      </w:r>
      <w:r w:rsidRPr="00150ABA">
        <w:rPr>
          <w:noProof/>
        </w:rPr>
        <w:tab/>
        <w:t>RESULTS OF EX-POST EVALUATIONS, STAKEHOLDER CONSULTATIONS AND IMPACT ASSESSMENTS</w:t>
      </w:r>
    </w:p>
    <w:p w14:paraId="0E9A7069" w14:textId="77777777" w:rsidR="00920E47" w:rsidRPr="00150ABA" w:rsidRDefault="00920E47" w:rsidP="009D79B9">
      <w:pPr>
        <w:pStyle w:val="Bullet0"/>
        <w:tabs>
          <w:tab w:val="clear" w:pos="850"/>
          <w:tab w:val="num" w:pos="567"/>
        </w:tabs>
        <w:rPr>
          <w:b/>
          <w:noProof/>
        </w:rPr>
      </w:pPr>
      <w:r w:rsidRPr="00150ABA">
        <w:rPr>
          <w:b/>
          <w:noProof/>
        </w:rPr>
        <w:t>Stakeholder consultations</w:t>
      </w:r>
    </w:p>
    <w:p w14:paraId="55D732CD" w14:textId="77561C9A" w:rsidR="00920E47" w:rsidRPr="00150ABA" w:rsidRDefault="00920E47" w:rsidP="00E2148B">
      <w:pPr>
        <w:spacing w:line="280" w:lineRule="atLeast"/>
        <w:rPr>
          <w:noProof/>
          <w:szCs w:val="24"/>
        </w:rPr>
      </w:pPr>
      <w:r w:rsidRPr="00150ABA">
        <w:rPr>
          <w:noProof/>
        </w:rPr>
        <w:t xml:space="preserve">Whereas no public consultations were conducted due to a specific character of the proposal, the Commission has carried out an extensive targeted consultation campaign to ensure that all stakeholders concerned have an opportunity to express their views. The campaign </w:t>
      </w:r>
      <w:r w:rsidRPr="00150ABA">
        <w:rPr>
          <w:noProof/>
          <w:szCs w:val="24"/>
        </w:rPr>
        <w:t>has involved:</w:t>
      </w:r>
    </w:p>
    <w:p w14:paraId="3BC4C754" w14:textId="71A77C6D" w:rsidR="00920E47" w:rsidRPr="00150ABA" w:rsidRDefault="00920E47" w:rsidP="00923F69">
      <w:pPr>
        <w:pStyle w:val="Bullet0"/>
        <w:tabs>
          <w:tab w:val="clear" w:pos="850"/>
          <w:tab w:val="num" w:pos="567"/>
        </w:tabs>
        <w:ind w:left="567" w:hanging="567"/>
        <w:rPr>
          <w:noProof/>
        </w:rPr>
      </w:pPr>
      <w:r w:rsidRPr="00150ABA">
        <w:rPr>
          <w:noProof/>
        </w:rPr>
        <w:t>prosecutors, judges and law enforcement representatives from the Member States;</w:t>
      </w:r>
    </w:p>
    <w:p w14:paraId="071FA7BA" w14:textId="6E28D937" w:rsidR="00920E47" w:rsidRPr="00150ABA" w:rsidRDefault="00920E47" w:rsidP="00923F69">
      <w:pPr>
        <w:pStyle w:val="Bullet0"/>
        <w:tabs>
          <w:tab w:val="clear" w:pos="850"/>
          <w:tab w:val="num" w:pos="567"/>
        </w:tabs>
        <w:ind w:left="567" w:hanging="567"/>
        <w:rPr>
          <w:noProof/>
        </w:rPr>
      </w:pPr>
      <w:r w:rsidRPr="00150ABA">
        <w:rPr>
          <w:noProof/>
        </w:rPr>
        <w:t>Member States’ national authorities;</w:t>
      </w:r>
    </w:p>
    <w:p w14:paraId="6472459D" w14:textId="6617B817" w:rsidR="00920E47" w:rsidRPr="00150ABA" w:rsidRDefault="00920E47" w:rsidP="00923F69">
      <w:pPr>
        <w:pStyle w:val="Bullet0"/>
        <w:tabs>
          <w:tab w:val="clear" w:pos="850"/>
          <w:tab w:val="num" w:pos="567"/>
        </w:tabs>
        <w:ind w:left="567" w:hanging="567"/>
        <w:rPr>
          <w:noProof/>
        </w:rPr>
      </w:pPr>
      <w:r w:rsidRPr="00150ABA">
        <w:rPr>
          <w:noProof/>
        </w:rPr>
        <w:t>experts from the JITs network;</w:t>
      </w:r>
    </w:p>
    <w:p w14:paraId="0EE576F9" w14:textId="510F3195" w:rsidR="00920E47" w:rsidRPr="00150ABA" w:rsidRDefault="00920E47" w:rsidP="00923F69">
      <w:pPr>
        <w:pStyle w:val="Bullet0"/>
        <w:tabs>
          <w:tab w:val="clear" w:pos="850"/>
          <w:tab w:val="num" w:pos="567"/>
        </w:tabs>
        <w:ind w:left="567" w:hanging="567"/>
        <w:rPr>
          <w:noProof/>
          <w:color w:val="000000"/>
        </w:rPr>
      </w:pPr>
      <w:r w:rsidRPr="00150ABA">
        <w:rPr>
          <w:noProof/>
        </w:rPr>
        <w:t>academics and practitioners in EU criminal law;</w:t>
      </w:r>
    </w:p>
    <w:p w14:paraId="1411E741" w14:textId="0C0612FA" w:rsidR="00920E47" w:rsidRPr="00150ABA" w:rsidRDefault="00920E47" w:rsidP="00923F69">
      <w:pPr>
        <w:pStyle w:val="Bullet0"/>
        <w:tabs>
          <w:tab w:val="clear" w:pos="850"/>
          <w:tab w:val="num" w:pos="567"/>
        </w:tabs>
        <w:ind w:left="567" w:hanging="567"/>
        <w:rPr>
          <w:noProof/>
          <w:color w:val="000000"/>
        </w:rPr>
      </w:pPr>
      <w:r w:rsidRPr="00150ABA">
        <w:rPr>
          <w:noProof/>
        </w:rPr>
        <w:t>data protection experts;</w:t>
      </w:r>
    </w:p>
    <w:p w14:paraId="0DE17651" w14:textId="381CA40C" w:rsidR="00920E47" w:rsidRPr="00150ABA" w:rsidRDefault="00920E47" w:rsidP="00923F69">
      <w:pPr>
        <w:pStyle w:val="Bullet0"/>
        <w:tabs>
          <w:tab w:val="clear" w:pos="850"/>
          <w:tab w:val="num" w:pos="567"/>
        </w:tabs>
        <w:ind w:left="567" w:hanging="567"/>
        <w:rPr>
          <w:noProof/>
        </w:rPr>
      </w:pPr>
      <w:r w:rsidRPr="00150ABA">
        <w:rPr>
          <w:noProof/>
        </w:rPr>
        <w:t>representatives of Eurojust, Europol and OLAF.</w:t>
      </w:r>
    </w:p>
    <w:p w14:paraId="1D84C2C4" w14:textId="16FCB0AB" w:rsidR="00920E47" w:rsidRPr="00150ABA" w:rsidRDefault="00920E47" w:rsidP="00E2148B">
      <w:pPr>
        <w:spacing w:line="280" w:lineRule="atLeast"/>
        <w:rPr>
          <w:noProof/>
          <w:color w:val="000000"/>
          <w:szCs w:val="24"/>
        </w:rPr>
      </w:pPr>
      <w:r w:rsidRPr="00150ABA">
        <w:rPr>
          <w:noProof/>
          <w:color w:val="000000"/>
          <w:szCs w:val="24"/>
        </w:rPr>
        <w:t xml:space="preserve">Stakeholders have had an opportunity to voice their opinion through bilateral contacts, </w:t>
      </w:r>
      <w:r w:rsidRPr="00150ABA">
        <w:rPr>
          <w:noProof/>
        </w:rPr>
        <w:t>expert meetings,</w:t>
      </w:r>
      <w:r w:rsidRPr="00150ABA">
        <w:rPr>
          <w:noProof/>
          <w:color w:val="000000"/>
          <w:szCs w:val="24"/>
        </w:rPr>
        <w:t xml:space="preserve"> online surveys and written contributions.</w:t>
      </w:r>
    </w:p>
    <w:p w14:paraId="09309BAB" w14:textId="570165D4" w:rsidR="00920E47" w:rsidRPr="00150ABA" w:rsidRDefault="00920E47" w:rsidP="00E2148B">
      <w:pPr>
        <w:spacing w:line="280" w:lineRule="atLeast"/>
        <w:rPr>
          <w:noProof/>
          <w:color w:val="000000"/>
          <w:szCs w:val="24"/>
        </w:rPr>
      </w:pPr>
      <w:r w:rsidRPr="00150ABA">
        <w:rPr>
          <w:noProof/>
          <w:color w:val="000000"/>
          <w:szCs w:val="24"/>
        </w:rPr>
        <w:t xml:space="preserve">The targeted consultations </w:t>
      </w:r>
      <w:r w:rsidR="006C5E83" w:rsidRPr="00150ABA">
        <w:rPr>
          <w:noProof/>
          <w:color w:val="000000"/>
          <w:szCs w:val="24"/>
        </w:rPr>
        <w:t>organised between March and July 2021</w:t>
      </w:r>
      <w:r w:rsidR="00923F69" w:rsidRPr="00150ABA">
        <w:rPr>
          <w:noProof/>
          <w:color w:val="000000"/>
          <w:szCs w:val="24"/>
        </w:rPr>
        <w:t>,</w:t>
      </w:r>
      <w:r w:rsidR="006C5E83" w:rsidRPr="00150ABA">
        <w:rPr>
          <w:noProof/>
          <w:color w:val="000000"/>
          <w:szCs w:val="24"/>
        </w:rPr>
        <w:t xml:space="preserve"> </w:t>
      </w:r>
      <w:r w:rsidRPr="00150ABA">
        <w:rPr>
          <w:noProof/>
          <w:color w:val="000000"/>
          <w:szCs w:val="24"/>
        </w:rPr>
        <w:t>gathered views on the platform related elements of the Digital Criminal Justice study, functions that are to be covered by the future platform, as well as the applicable data protection regime(s).</w:t>
      </w:r>
    </w:p>
    <w:p w14:paraId="28D0A705" w14:textId="0B3B7CD5" w:rsidR="00920E47" w:rsidRPr="00150ABA" w:rsidRDefault="00920E47" w:rsidP="00E2148B">
      <w:pPr>
        <w:spacing w:line="280" w:lineRule="atLeast"/>
        <w:rPr>
          <w:noProof/>
          <w:color w:val="000000" w:themeColor="text1"/>
          <w:szCs w:val="24"/>
        </w:rPr>
      </w:pPr>
      <w:r w:rsidRPr="00150ABA">
        <w:rPr>
          <w:noProof/>
        </w:rPr>
        <w:t xml:space="preserve">First and foremost, all stakeholders welcomed the initiative and provided a positive opinion about establishment of a platform </w:t>
      </w:r>
      <w:r w:rsidRPr="00150ABA">
        <w:rPr>
          <w:noProof/>
          <w:color w:val="000000" w:themeColor="text1"/>
          <w:szCs w:val="24"/>
        </w:rPr>
        <w:t>as a much-needed step towards the digitalisation of JITs cooperation.</w:t>
      </w:r>
    </w:p>
    <w:p w14:paraId="67A4319F" w14:textId="20090F96" w:rsidR="00920E47" w:rsidRPr="00150ABA" w:rsidRDefault="00920E47" w:rsidP="00E2148B">
      <w:pPr>
        <w:spacing w:line="280" w:lineRule="atLeast"/>
        <w:rPr>
          <w:noProof/>
          <w:color w:val="000000" w:themeColor="text1"/>
          <w:szCs w:val="24"/>
        </w:rPr>
      </w:pPr>
      <w:r w:rsidRPr="00150ABA">
        <w:rPr>
          <w:noProof/>
          <w:color w:val="000000" w:themeColor="text1"/>
          <w:szCs w:val="24"/>
        </w:rPr>
        <w:t>As far as cross-cutting issues are concerned, most stakeholders focused on:</w:t>
      </w:r>
    </w:p>
    <w:p w14:paraId="09631FAE" w14:textId="77777777" w:rsidR="00923F69" w:rsidRPr="00150ABA" w:rsidRDefault="00920E47" w:rsidP="00E40458">
      <w:pPr>
        <w:pStyle w:val="Bullet0"/>
        <w:tabs>
          <w:tab w:val="clear" w:pos="850"/>
          <w:tab w:val="num" w:pos="567"/>
        </w:tabs>
        <w:ind w:left="567" w:hanging="567"/>
        <w:rPr>
          <w:noProof/>
        </w:rPr>
      </w:pPr>
      <w:r w:rsidRPr="00150ABA">
        <w:rPr>
          <w:noProof/>
          <w:color w:val="000000" w:themeColor="text1"/>
        </w:rPr>
        <w:t xml:space="preserve">the simplicity of the platform </w:t>
      </w:r>
      <w:r w:rsidRPr="00150ABA">
        <w:rPr>
          <w:noProof/>
        </w:rPr>
        <w:t>so that it can be used by all practitioners concerned – a too cumbersome tool with complex workflows could create problems for the users and would be a main reason for not using it;</w:t>
      </w:r>
    </w:p>
    <w:p w14:paraId="3A8F7541" w14:textId="77777777" w:rsidR="00923F69" w:rsidRPr="00150ABA" w:rsidRDefault="00920E47" w:rsidP="00E40458">
      <w:pPr>
        <w:pStyle w:val="Bullet0"/>
        <w:tabs>
          <w:tab w:val="clear" w:pos="850"/>
          <w:tab w:val="num" w:pos="567"/>
        </w:tabs>
        <w:ind w:left="567" w:hanging="567"/>
        <w:rPr>
          <w:noProof/>
          <w:color w:val="000000" w:themeColor="text1"/>
        </w:rPr>
      </w:pPr>
      <w:r w:rsidRPr="00150ABA">
        <w:rPr>
          <w:noProof/>
          <w:color w:val="000000" w:themeColor="text1"/>
        </w:rPr>
        <w:t xml:space="preserve">the prevention of an impact on the </w:t>
      </w:r>
      <w:r w:rsidRPr="00150ABA">
        <w:rPr>
          <w:noProof/>
        </w:rPr>
        <w:t>substantial or legal requirements of investigators’ work, so the proper functioning of a JIT is not jeopardised by the platform;</w:t>
      </w:r>
    </w:p>
    <w:p w14:paraId="6F94824C" w14:textId="5D0F99E3" w:rsidR="00920E47" w:rsidRPr="00150ABA" w:rsidRDefault="00920E47" w:rsidP="00E40458">
      <w:pPr>
        <w:pStyle w:val="Bullet0"/>
        <w:tabs>
          <w:tab w:val="clear" w:pos="850"/>
          <w:tab w:val="num" w:pos="567"/>
        </w:tabs>
        <w:ind w:left="567" w:hanging="567"/>
        <w:rPr>
          <w:noProof/>
          <w:color w:val="000000" w:themeColor="text1"/>
        </w:rPr>
      </w:pPr>
      <w:r w:rsidRPr="00150ABA">
        <w:rPr>
          <w:noProof/>
        </w:rPr>
        <w:t xml:space="preserve">the security of the platform </w:t>
      </w:r>
      <w:r w:rsidR="00C66019" w:rsidRPr="00150ABA">
        <w:rPr>
          <w:noProof/>
        </w:rPr>
        <w:t>–</w:t>
      </w:r>
      <w:r w:rsidRPr="00150ABA">
        <w:rPr>
          <w:noProof/>
        </w:rPr>
        <w:t xml:space="preserve"> the level of protection is of crucial importance so practitioners can be confident that outcomes of their national investigations that are shared through the platform would not be disclosed in an uncontrolled way.</w:t>
      </w:r>
    </w:p>
    <w:p w14:paraId="4E0C14CB" w14:textId="3DF882C8" w:rsidR="00920E47" w:rsidRPr="00150ABA" w:rsidRDefault="00920E47" w:rsidP="00E2148B">
      <w:pPr>
        <w:spacing w:line="280" w:lineRule="atLeast"/>
        <w:rPr>
          <w:noProof/>
          <w:color w:val="000000" w:themeColor="text1"/>
          <w:szCs w:val="24"/>
        </w:rPr>
      </w:pPr>
      <w:r w:rsidRPr="00150ABA">
        <w:rPr>
          <w:noProof/>
          <w:color w:val="000000" w:themeColor="text1"/>
          <w:szCs w:val="24"/>
        </w:rPr>
        <w:t>Some discussions have also taken place on the entity in charge of the platform’s future development and management. The following scenarios were considered:</w:t>
      </w:r>
    </w:p>
    <w:p w14:paraId="28F101D7" w14:textId="77777777" w:rsidR="00923F69" w:rsidRPr="00150ABA" w:rsidRDefault="00920E47" w:rsidP="00E40458">
      <w:pPr>
        <w:pStyle w:val="Bullet0"/>
        <w:tabs>
          <w:tab w:val="clear" w:pos="850"/>
          <w:tab w:val="num" w:pos="567"/>
        </w:tabs>
        <w:ind w:left="567" w:hanging="567"/>
        <w:rPr>
          <w:noProof/>
        </w:rPr>
      </w:pPr>
      <w:r w:rsidRPr="00150ABA">
        <w:rPr>
          <w:noProof/>
        </w:rPr>
        <w:t>creation of the platform by the Commission and making it available to the Member States to implement when needed within their own infrastructure;</w:t>
      </w:r>
    </w:p>
    <w:p w14:paraId="1CE55AFA" w14:textId="77777777" w:rsidR="00923F69" w:rsidRPr="00150ABA" w:rsidRDefault="00920E47" w:rsidP="00E40458">
      <w:pPr>
        <w:pStyle w:val="Bullet0"/>
        <w:tabs>
          <w:tab w:val="clear" w:pos="850"/>
          <w:tab w:val="num" w:pos="567"/>
        </w:tabs>
        <w:ind w:left="567" w:hanging="567"/>
        <w:rPr>
          <w:noProof/>
        </w:rPr>
      </w:pPr>
      <w:r w:rsidRPr="00150ABA">
        <w:rPr>
          <w:noProof/>
        </w:rPr>
        <w:t>creation of the platform and its establishment at the Commission;</w:t>
      </w:r>
    </w:p>
    <w:p w14:paraId="74E65CE9" w14:textId="77777777" w:rsidR="00923F69" w:rsidRPr="00150ABA" w:rsidRDefault="00920E47" w:rsidP="00E40458">
      <w:pPr>
        <w:pStyle w:val="Bullet0"/>
        <w:tabs>
          <w:tab w:val="clear" w:pos="850"/>
          <w:tab w:val="num" w:pos="567"/>
        </w:tabs>
        <w:ind w:left="567" w:hanging="567"/>
        <w:rPr>
          <w:noProof/>
        </w:rPr>
      </w:pPr>
      <w:r w:rsidRPr="00150ABA">
        <w:rPr>
          <w:noProof/>
        </w:rPr>
        <w:t>creation of the platform and its establishment at one of the JHA agencies directly involved in supporting the Member State’s authorities in combating crime (e.g. Eurojust);</w:t>
      </w:r>
    </w:p>
    <w:p w14:paraId="510D678B" w14:textId="37CAA9F1" w:rsidR="00920E47" w:rsidRPr="00150ABA" w:rsidRDefault="00920E47" w:rsidP="00E40458">
      <w:pPr>
        <w:pStyle w:val="Bullet0"/>
        <w:tabs>
          <w:tab w:val="clear" w:pos="850"/>
          <w:tab w:val="num" w:pos="567"/>
        </w:tabs>
        <w:ind w:left="567" w:hanging="567"/>
        <w:rPr>
          <w:noProof/>
        </w:rPr>
      </w:pPr>
      <w:r w:rsidRPr="00150ABA">
        <w:rPr>
          <w:noProof/>
        </w:rPr>
        <w:t>creation of the platform and its establishment at eu-LISA.</w:t>
      </w:r>
    </w:p>
    <w:p w14:paraId="59DCF157" w14:textId="4AAD9A46" w:rsidR="00920E47" w:rsidRPr="00150ABA" w:rsidRDefault="00920E47" w:rsidP="00E2148B">
      <w:pPr>
        <w:spacing w:line="280" w:lineRule="atLeast"/>
        <w:rPr>
          <w:noProof/>
          <w:color w:val="000000" w:themeColor="text1"/>
          <w:szCs w:val="24"/>
        </w:rPr>
      </w:pPr>
      <w:r w:rsidRPr="00150ABA">
        <w:rPr>
          <w:noProof/>
          <w:color w:val="000000" w:themeColor="text1"/>
          <w:szCs w:val="24"/>
        </w:rPr>
        <w:t xml:space="preserve">All stakeholders consulted, including Eurojust and Europol, supported the </w:t>
      </w:r>
      <w:r w:rsidR="004570B2" w:rsidRPr="00150ABA">
        <w:rPr>
          <w:noProof/>
          <w:color w:val="000000" w:themeColor="text1"/>
          <w:szCs w:val="24"/>
        </w:rPr>
        <w:t xml:space="preserve">option </w:t>
      </w:r>
      <w:r w:rsidRPr="00150ABA">
        <w:rPr>
          <w:noProof/>
          <w:color w:val="000000" w:themeColor="text1"/>
          <w:szCs w:val="24"/>
        </w:rPr>
        <w:t xml:space="preserve">to entrust the platform’s development and maintenance to eu-LISA. They all recognised eu-LISA’s expertise in the area as well as its experience with large-scale IT systems meeting state-of-the-art security standards. Also, this </w:t>
      </w:r>
      <w:r w:rsidR="004570B2" w:rsidRPr="00150ABA">
        <w:rPr>
          <w:noProof/>
          <w:color w:val="000000" w:themeColor="text1"/>
          <w:szCs w:val="24"/>
        </w:rPr>
        <w:t xml:space="preserve">option </w:t>
      </w:r>
      <w:r w:rsidRPr="00150ABA">
        <w:rPr>
          <w:noProof/>
          <w:color w:val="000000" w:themeColor="text1"/>
          <w:szCs w:val="24"/>
        </w:rPr>
        <w:t>takes into account, that JITs can be conducted without the financial support or operational involvement of either Eurojust or Europol.</w:t>
      </w:r>
    </w:p>
    <w:p w14:paraId="0C2386A0" w14:textId="0C817962" w:rsidR="00920E47" w:rsidRPr="00150ABA" w:rsidRDefault="00920E47" w:rsidP="00E2148B">
      <w:pPr>
        <w:pBdr>
          <w:top w:val="nil"/>
          <w:left w:val="nil"/>
          <w:bottom w:val="nil"/>
          <w:right w:val="nil"/>
          <w:between w:val="nil"/>
          <w:bar w:val="nil"/>
        </w:pBdr>
        <w:spacing w:before="0" w:after="240"/>
        <w:rPr>
          <w:noProof/>
          <w:color w:val="000000" w:themeColor="text1"/>
          <w:szCs w:val="24"/>
        </w:rPr>
      </w:pPr>
      <w:r w:rsidRPr="00150ABA">
        <w:rPr>
          <w:noProof/>
          <w:color w:val="000000" w:themeColor="text1"/>
          <w:szCs w:val="24"/>
        </w:rPr>
        <w:t>Undoubtedly, the two key functions of the platform debated the most during the targeted consultations were a possible coverage by the platform of a JIT set-up process and the central storage.</w:t>
      </w:r>
    </w:p>
    <w:p w14:paraId="49F070CE" w14:textId="77777777" w:rsidR="00920E47" w:rsidRPr="00150ABA" w:rsidRDefault="00920E47" w:rsidP="0005122E">
      <w:pPr>
        <w:spacing w:before="0" w:after="240" w:line="280" w:lineRule="atLeast"/>
        <w:rPr>
          <w:rFonts w:eastAsia="Times New Roman"/>
          <w:i/>
          <w:noProof/>
          <w:color w:val="000000"/>
          <w:szCs w:val="24"/>
        </w:rPr>
      </w:pPr>
      <w:r w:rsidRPr="00150ABA">
        <w:rPr>
          <w:rFonts w:eastAsia="Times New Roman"/>
          <w:i/>
          <w:noProof/>
          <w:color w:val="000000"/>
          <w:szCs w:val="24"/>
        </w:rPr>
        <w:t>Administrative process to set-up a JIT</w:t>
      </w:r>
    </w:p>
    <w:p w14:paraId="28247005" w14:textId="0DC94EC8" w:rsidR="00920E47" w:rsidRPr="00150ABA" w:rsidRDefault="00920E47" w:rsidP="00E2148B">
      <w:pPr>
        <w:rPr>
          <w:noProof/>
          <w:szCs w:val="24"/>
        </w:rPr>
      </w:pPr>
      <w:r w:rsidRPr="00150ABA">
        <w:rPr>
          <w:noProof/>
        </w:rPr>
        <w:t xml:space="preserve">The starting point for this discussion was the final report of the Digital Criminal Justice study, which recommends that the JITs collaboration platform covers also the pre-operational phase of JITs, i.e. the administrative process to set up a JIT. There are many advantages of </w:t>
      </w:r>
      <w:r w:rsidRPr="00150ABA">
        <w:rPr>
          <w:noProof/>
          <w:szCs w:val="24"/>
        </w:rPr>
        <w:t>such a solution, including:</w:t>
      </w:r>
    </w:p>
    <w:p w14:paraId="7BEEC4A3" w14:textId="77777777" w:rsidR="00923F69" w:rsidRPr="00150ABA" w:rsidRDefault="00920E47" w:rsidP="00E40458">
      <w:pPr>
        <w:pStyle w:val="Bullet0"/>
        <w:tabs>
          <w:tab w:val="clear" w:pos="850"/>
          <w:tab w:val="num" w:pos="567"/>
        </w:tabs>
        <w:ind w:left="567" w:hanging="567"/>
        <w:rPr>
          <w:noProof/>
        </w:rPr>
      </w:pPr>
      <w:r w:rsidRPr="00150ABA">
        <w:rPr>
          <w:noProof/>
        </w:rPr>
        <w:t>the possibility to securely and efficiently exchange documents cross-border, leading to the signature of a JIT agreement;</w:t>
      </w:r>
    </w:p>
    <w:p w14:paraId="41613754" w14:textId="77777777" w:rsidR="00923F69" w:rsidRPr="00150ABA" w:rsidRDefault="00920E47" w:rsidP="00E40458">
      <w:pPr>
        <w:pStyle w:val="Bullet0"/>
        <w:tabs>
          <w:tab w:val="clear" w:pos="850"/>
          <w:tab w:val="num" w:pos="567"/>
        </w:tabs>
        <w:ind w:left="567" w:hanging="567"/>
        <w:rPr>
          <w:noProof/>
        </w:rPr>
      </w:pPr>
      <w:r w:rsidRPr="00150ABA">
        <w:rPr>
          <w:noProof/>
        </w:rPr>
        <w:t>a machine translations function;</w:t>
      </w:r>
    </w:p>
    <w:p w14:paraId="16716093" w14:textId="77777777" w:rsidR="00923F69" w:rsidRPr="00150ABA" w:rsidRDefault="00920E47" w:rsidP="00923F69">
      <w:pPr>
        <w:pStyle w:val="Bullet0"/>
        <w:tabs>
          <w:tab w:val="clear" w:pos="850"/>
          <w:tab w:val="num" w:pos="567"/>
        </w:tabs>
        <w:ind w:left="567" w:hanging="567"/>
        <w:rPr>
          <w:noProof/>
        </w:rPr>
      </w:pPr>
      <w:r w:rsidRPr="00150ABA">
        <w:rPr>
          <w:noProof/>
        </w:rPr>
        <w:t>an inventory of the procedures to be followed during the JIT set-up process;</w:t>
      </w:r>
    </w:p>
    <w:p w14:paraId="2F52F978" w14:textId="448AA88F" w:rsidR="00920E47" w:rsidRPr="00150ABA" w:rsidRDefault="00920E47" w:rsidP="00E40458">
      <w:pPr>
        <w:pStyle w:val="Bullet0"/>
        <w:tabs>
          <w:tab w:val="clear" w:pos="850"/>
          <w:tab w:val="num" w:pos="567"/>
        </w:tabs>
        <w:spacing w:line="360" w:lineRule="auto"/>
        <w:ind w:left="567" w:hanging="567"/>
        <w:rPr>
          <w:noProof/>
        </w:rPr>
      </w:pPr>
      <w:r w:rsidRPr="00150ABA">
        <w:rPr>
          <w:noProof/>
        </w:rPr>
        <w:t>support for various electronic signatures.</w:t>
      </w:r>
    </w:p>
    <w:p w14:paraId="1D393827" w14:textId="33A590CA" w:rsidR="00920E47" w:rsidRPr="00150ABA" w:rsidRDefault="00920E47" w:rsidP="00E2148B">
      <w:pPr>
        <w:rPr>
          <w:noProof/>
        </w:rPr>
      </w:pPr>
      <w:r w:rsidRPr="00150ABA">
        <w:rPr>
          <w:noProof/>
        </w:rPr>
        <w:t xml:space="preserve">However, it has been established during the stakeholder consultations that in most Member States, actors participating in the JIT set-up process are completely different from those who are members of JITs once they are established. Moreover, the decision to join a JIT is very often taken by someone who will not necessarily be a member of the JIT itself, e.g. </w:t>
      </w:r>
      <w:r w:rsidRPr="00150ABA">
        <w:rPr>
          <w:noProof/>
          <w:color w:val="000000" w:themeColor="text1"/>
          <w:szCs w:val="24"/>
        </w:rPr>
        <w:t xml:space="preserve">the Prosecutor General or even the Minister of Justice. </w:t>
      </w:r>
      <w:r w:rsidRPr="00150ABA">
        <w:rPr>
          <w:noProof/>
        </w:rPr>
        <w:t xml:space="preserve">Therefore, the inclusion of the administrative JIT set-up process in the platform would require a complete departure from the above-described model of isolated JIT spaces, as well as a separate access rights management workflow. Such a scenario would heavily complicate the envisaged easy-to-use concept of the platform and would require implementation of rather incomprehensible and time-consuming administrative workflows. </w:t>
      </w:r>
    </w:p>
    <w:p w14:paraId="372BF58D" w14:textId="2E629EE5" w:rsidR="00920E47" w:rsidRPr="00150ABA" w:rsidRDefault="00920E47" w:rsidP="00E2148B">
      <w:pPr>
        <w:pBdr>
          <w:top w:val="nil"/>
          <w:left w:val="nil"/>
          <w:bottom w:val="nil"/>
          <w:right w:val="nil"/>
          <w:between w:val="nil"/>
          <w:bar w:val="nil"/>
        </w:pBdr>
        <w:spacing w:before="0" w:after="240"/>
        <w:rPr>
          <w:noProof/>
        </w:rPr>
      </w:pPr>
      <w:r w:rsidRPr="00150ABA">
        <w:rPr>
          <w:noProof/>
        </w:rPr>
        <w:t xml:space="preserve">Therefore, following the targeted consultations, the recommended </w:t>
      </w:r>
      <w:r w:rsidR="004570B2" w:rsidRPr="00150ABA">
        <w:rPr>
          <w:noProof/>
        </w:rPr>
        <w:t>scenario</w:t>
      </w:r>
      <w:r w:rsidRPr="00150ABA">
        <w:rPr>
          <w:noProof/>
        </w:rPr>
        <w:t xml:space="preserve"> would be to cover </w:t>
      </w:r>
      <w:r w:rsidRPr="00150ABA">
        <w:rPr>
          <w:noProof/>
          <w:szCs w:val="24"/>
        </w:rPr>
        <w:t xml:space="preserve">the JIT set-up process within the </w:t>
      </w:r>
      <w:r w:rsidRPr="00150ABA">
        <w:rPr>
          <w:noProof/>
        </w:rPr>
        <w:t>e-Evidence Digital Exchange System (eEDES) that is currently being implemented by the Commission. This solution would on the one-hand cover administrative needs of the stakeholders and, on the other, not complicate the daily functioning of the future platform.</w:t>
      </w:r>
    </w:p>
    <w:p w14:paraId="2C7803B5" w14:textId="77777777" w:rsidR="00920E47" w:rsidRPr="00150ABA" w:rsidRDefault="00920E47" w:rsidP="0005122E">
      <w:pPr>
        <w:spacing w:before="0" w:after="240" w:line="280" w:lineRule="atLeast"/>
        <w:rPr>
          <w:rFonts w:eastAsia="Times New Roman"/>
          <w:i/>
          <w:noProof/>
          <w:color w:val="000000"/>
          <w:szCs w:val="24"/>
        </w:rPr>
      </w:pPr>
      <w:r w:rsidRPr="00150ABA">
        <w:rPr>
          <w:rFonts w:eastAsia="Times New Roman"/>
          <w:i/>
          <w:noProof/>
          <w:color w:val="000000"/>
          <w:szCs w:val="24"/>
        </w:rPr>
        <w:t>Central storage</w:t>
      </w:r>
    </w:p>
    <w:p w14:paraId="1332F64C" w14:textId="008FF499" w:rsidR="00920E47" w:rsidRPr="00150ABA" w:rsidRDefault="00920E47" w:rsidP="002C0F8B">
      <w:pPr>
        <w:rPr>
          <w:noProof/>
          <w:szCs w:val="24"/>
        </w:rPr>
      </w:pPr>
      <w:r w:rsidRPr="00150ABA">
        <w:rPr>
          <w:noProof/>
          <w:szCs w:val="24"/>
        </w:rPr>
        <w:t xml:space="preserve">One of the most crucial functions of the platform will be to exchange information and evidence among the JIT members and </w:t>
      </w:r>
      <w:r w:rsidR="00AC3496" w:rsidRPr="00150ABA">
        <w:rPr>
          <w:noProof/>
          <w:szCs w:val="24"/>
        </w:rPr>
        <w:t xml:space="preserve">other </w:t>
      </w:r>
      <w:r w:rsidRPr="00150ABA">
        <w:rPr>
          <w:noProof/>
          <w:szCs w:val="24"/>
        </w:rPr>
        <w:t>participants. That function could be implemented in three different ways:</w:t>
      </w:r>
    </w:p>
    <w:p w14:paraId="43099C98" w14:textId="52455A26" w:rsidR="00920E47" w:rsidRPr="00150ABA" w:rsidRDefault="00D76D82" w:rsidP="00D76D82">
      <w:pPr>
        <w:pStyle w:val="Point0"/>
        <w:rPr>
          <w:noProof/>
          <w:szCs w:val="24"/>
        </w:rPr>
      </w:pPr>
      <w:r w:rsidRPr="00D76D82">
        <w:t>(1)</w:t>
      </w:r>
      <w:r w:rsidRPr="00D76D82">
        <w:tab/>
      </w:r>
      <w:r w:rsidR="00920E47" w:rsidRPr="00150ABA">
        <w:rPr>
          <w:noProof/>
        </w:rPr>
        <w:t xml:space="preserve">A plain upload/download function </w:t>
      </w:r>
      <w:r w:rsidR="00C66019" w:rsidRPr="00150ABA">
        <w:rPr>
          <w:noProof/>
        </w:rPr>
        <w:t>–</w:t>
      </w:r>
      <w:r w:rsidR="00920E47" w:rsidRPr="00150ABA">
        <w:rPr>
          <w:noProof/>
        </w:rPr>
        <w:t xml:space="preserve"> data would be uploaded on the platform by one member/participant of the JIT and would be stored centrally only until the other JIT member(s)/participant(s) download(s) it.</w:t>
      </w:r>
    </w:p>
    <w:p w14:paraId="612AB846" w14:textId="093BB2C1" w:rsidR="00920E47" w:rsidRPr="00150ABA" w:rsidRDefault="00D76D82" w:rsidP="00D76D82">
      <w:pPr>
        <w:pStyle w:val="Point0"/>
        <w:rPr>
          <w:noProof/>
          <w:szCs w:val="24"/>
        </w:rPr>
      </w:pPr>
      <w:r w:rsidRPr="00D76D82">
        <w:t>(2)</w:t>
      </w:r>
      <w:r w:rsidRPr="00D76D82">
        <w:tab/>
      </w:r>
      <w:r w:rsidR="00920E47" w:rsidRPr="00150ABA">
        <w:rPr>
          <w:noProof/>
        </w:rPr>
        <w:t>A temporary flexible storage – in addition to the plain upload/download, data could be optionally stored at the platform for some period of time, e.g. one week, one month, etc. The member/participant uploading the data would define duration and access rights.</w:t>
      </w:r>
    </w:p>
    <w:p w14:paraId="3EEC3590" w14:textId="67F0500B" w:rsidR="00920E47" w:rsidRPr="00150ABA" w:rsidRDefault="00D76D82" w:rsidP="00D76D82">
      <w:pPr>
        <w:pStyle w:val="Point0"/>
        <w:rPr>
          <w:noProof/>
        </w:rPr>
      </w:pPr>
      <w:r w:rsidRPr="00D76D82">
        <w:t>(3)</w:t>
      </w:r>
      <w:r w:rsidRPr="00D76D82">
        <w:tab/>
      </w:r>
      <w:r w:rsidR="00920E47" w:rsidRPr="00150ABA">
        <w:rPr>
          <w:noProof/>
        </w:rPr>
        <w:t>A permanent storage – all exchanged data would be stored throughout the JIT’s lifespan – precise access rights to the data would be defined by the member/participant uploading the data. This option would constitute a ‘common JIT case-file.’</w:t>
      </w:r>
    </w:p>
    <w:p w14:paraId="06CFB0E1" w14:textId="2C351E5F" w:rsidR="00920E47" w:rsidRPr="00150ABA" w:rsidRDefault="00920E47" w:rsidP="004570B2">
      <w:pPr>
        <w:rPr>
          <w:noProof/>
        </w:rPr>
      </w:pPr>
      <w:r w:rsidRPr="00150ABA">
        <w:rPr>
          <w:noProof/>
          <w:szCs w:val="24"/>
        </w:rPr>
        <w:t>Though JITs allow for the direct communication, cooperation and coordinated action, the underlying national investigations remain separate and independent</w:t>
      </w:r>
      <w:r w:rsidRPr="00150ABA">
        <w:rPr>
          <w:noProof/>
        </w:rPr>
        <w:t>. The possibility to create a common case-file to supplement national investigations is not envisaged by the current legal framework. Therefore, almost all stakeholders rejected the permanent storage option (option 3). Indeed, the creation of such a common case-file would raise serious questions related to criminal procedures in certain Member States since not all JIT information is necessarily shared among all members of the JIT. Investigators from one country often do not need access to all relevant information from the investigation of the other country participating in the same JIT.</w:t>
      </w:r>
    </w:p>
    <w:p w14:paraId="68C159DD" w14:textId="5D8918E4" w:rsidR="00920E47" w:rsidRPr="00150ABA" w:rsidRDefault="00920E47" w:rsidP="00E2148B">
      <w:pPr>
        <w:rPr>
          <w:noProof/>
        </w:rPr>
      </w:pPr>
      <w:r w:rsidRPr="00150ABA">
        <w:rPr>
          <w:noProof/>
        </w:rPr>
        <w:t xml:space="preserve">Whereas the other two options had more or less the same degree of support among the practitioners, a </w:t>
      </w:r>
      <w:r w:rsidR="00826D6D" w:rsidRPr="00150ABA">
        <w:rPr>
          <w:noProof/>
        </w:rPr>
        <w:t xml:space="preserve">preferred option is </w:t>
      </w:r>
      <w:r w:rsidRPr="00150ABA">
        <w:rPr>
          <w:noProof/>
        </w:rPr>
        <w:t>to equip the platform with the plain upload/download function (option 1). This function would prevent platform’s users to view the data before downloading it. It would also prevent any central storage of exchanged data, i.e. the data would be stored centrally until it is downloaded by the other party, but for not more than four weeks. The main reason for that has been a concern that any storage of operational data, going beyond a technical requirement to send it from one party to another, would lead to at least a temporary common file and to possible follow</w:t>
      </w:r>
      <w:r w:rsidR="00C66019" w:rsidRPr="00150ABA">
        <w:rPr>
          <w:noProof/>
        </w:rPr>
        <w:t>–</w:t>
      </w:r>
      <w:r w:rsidRPr="00150ABA">
        <w:rPr>
          <w:noProof/>
        </w:rPr>
        <w:t>up questions. For example, access requests to that file. However, this instrument should not change the separate investigations and separate national files, to which the respective national rules still apply.</w:t>
      </w:r>
    </w:p>
    <w:p w14:paraId="5CA160FB" w14:textId="4C9C2CC2" w:rsidR="00920E47" w:rsidRPr="00150ABA" w:rsidRDefault="00920E47" w:rsidP="00E2148B">
      <w:pPr>
        <w:pBdr>
          <w:top w:val="nil"/>
          <w:left w:val="nil"/>
          <w:bottom w:val="nil"/>
          <w:right w:val="nil"/>
          <w:between w:val="nil"/>
          <w:bar w:val="nil"/>
        </w:pBdr>
        <w:spacing w:before="0" w:after="240"/>
        <w:rPr>
          <w:noProof/>
        </w:rPr>
      </w:pPr>
      <w:r w:rsidRPr="00150ABA">
        <w:rPr>
          <w:noProof/>
          <w:color w:val="000000" w:themeColor="text1"/>
          <w:szCs w:val="24"/>
        </w:rPr>
        <w:t xml:space="preserve">Although the lack of central storage would prevent including in the platform various additional technical functions, e.g. an interface with a crime analysis tool, </w:t>
      </w:r>
      <w:r w:rsidRPr="00150ABA">
        <w:rPr>
          <w:noProof/>
          <w:szCs w:val="24"/>
        </w:rPr>
        <w:t xml:space="preserve">a search tool, a text to speech converter, a speech to text converter, Optical Character Recognition, etc., </w:t>
      </w:r>
      <w:r w:rsidRPr="00150ABA">
        <w:rPr>
          <w:noProof/>
          <w:color w:val="000000" w:themeColor="text1"/>
          <w:szCs w:val="24"/>
        </w:rPr>
        <w:t>stakeholders took the view that such functions would duplicate the tools already provided by other agencies (primarily by Europol). It also must be underlined that even in the absence of a central storage of information and evidence, some basic information would be stored centrally to allow the JIT members to trace the exchanged data.</w:t>
      </w:r>
    </w:p>
    <w:p w14:paraId="36125407" w14:textId="77777777" w:rsidR="00920E47" w:rsidRPr="00150ABA" w:rsidRDefault="00920E47" w:rsidP="00E40458">
      <w:pPr>
        <w:pStyle w:val="Bullet0"/>
        <w:tabs>
          <w:tab w:val="clear" w:pos="850"/>
          <w:tab w:val="num" w:pos="567"/>
        </w:tabs>
        <w:rPr>
          <w:b/>
          <w:noProof/>
        </w:rPr>
      </w:pPr>
      <w:r w:rsidRPr="00150ABA">
        <w:rPr>
          <w:b/>
          <w:noProof/>
        </w:rPr>
        <w:t>Collection and use of expertise</w:t>
      </w:r>
    </w:p>
    <w:p w14:paraId="782E5805" w14:textId="3F853195" w:rsidR="00920E47" w:rsidRPr="00150ABA" w:rsidRDefault="00920E47" w:rsidP="0005122E">
      <w:pPr>
        <w:pBdr>
          <w:top w:val="nil"/>
          <w:left w:val="nil"/>
          <w:bottom w:val="nil"/>
          <w:right w:val="nil"/>
          <w:between w:val="nil"/>
          <w:bar w:val="nil"/>
        </w:pBdr>
        <w:spacing w:before="0" w:after="240"/>
        <w:rPr>
          <w:noProof/>
        </w:rPr>
      </w:pPr>
      <w:r w:rsidRPr="00150ABA">
        <w:rPr>
          <w:noProof/>
        </w:rPr>
        <w:t>The proposal is based on the findings of the Digital Criminal Justice study</w:t>
      </w:r>
      <w:r w:rsidRPr="00150ABA">
        <w:rPr>
          <w:rStyle w:val="FootnoteReference"/>
          <w:noProof/>
        </w:rPr>
        <w:footnoteReference w:id="15"/>
      </w:r>
      <w:r w:rsidRPr="00150ABA">
        <w:rPr>
          <w:noProof/>
        </w:rPr>
        <w:t xml:space="preserve">. The study reviewed the needs and options to create a ‘Cross-Border digital criminal justice project,’ a fast, reliable and secure IT ecosystem to enable national prosecution authorities in Member States to interact with their national counterparts, Justice and Home Affairs (JHA) agencies and EU bodies in the JHA area. </w:t>
      </w:r>
    </w:p>
    <w:p w14:paraId="24F3C2F6" w14:textId="77777777" w:rsidR="00920E47" w:rsidRPr="00150ABA" w:rsidRDefault="00920E47" w:rsidP="009D79B9">
      <w:pPr>
        <w:pStyle w:val="Bullet0"/>
        <w:tabs>
          <w:tab w:val="clear" w:pos="850"/>
          <w:tab w:val="num" w:pos="567"/>
        </w:tabs>
        <w:rPr>
          <w:b/>
          <w:noProof/>
        </w:rPr>
      </w:pPr>
      <w:r w:rsidRPr="00150ABA">
        <w:rPr>
          <w:b/>
          <w:noProof/>
        </w:rPr>
        <w:t>Impact assessment</w:t>
      </w:r>
    </w:p>
    <w:p w14:paraId="368B16AF" w14:textId="31E043C4" w:rsidR="00920E47" w:rsidRPr="00150ABA" w:rsidRDefault="006C7C24" w:rsidP="0005122E">
      <w:pPr>
        <w:pBdr>
          <w:top w:val="nil"/>
          <w:left w:val="nil"/>
          <w:bottom w:val="nil"/>
          <w:right w:val="nil"/>
          <w:between w:val="nil"/>
          <w:bar w:val="nil"/>
        </w:pBdr>
        <w:spacing w:before="0" w:after="240"/>
        <w:rPr>
          <w:noProof/>
        </w:rPr>
      </w:pPr>
      <w:r w:rsidRPr="00150ABA">
        <w:rPr>
          <w:rFonts w:eastAsia="Arial Unicode MS"/>
          <w:noProof/>
        </w:rPr>
        <w:t xml:space="preserve">No </w:t>
      </w:r>
      <w:r w:rsidR="00920E47" w:rsidRPr="00150ABA">
        <w:rPr>
          <w:rFonts w:eastAsia="Arial Unicode MS"/>
          <w:noProof/>
        </w:rPr>
        <w:t>impact assessment</w:t>
      </w:r>
      <w:r w:rsidRPr="00150ABA">
        <w:rPr>
          <w:rFonts w:eastAsia="Arial Unicode MS"/>
          <w:noProof/>
        </w:rPr>
        <w:t xml:space="preserve"> was conducted</w:t>
      </w:r>
      <w:r w:rsidR="00920E47" w:rsidRPr="00150ABA">
        <w:rPr>
          <w:rFonts w:eastAsia="Arial Unicode MS"/>
          <w:noProof/>
        </w:rPr>
        <w:t xml:space="preserve">, as the proposal only aims at establishing a technical solution supporting the functioning of JITs, without changing the main principles that underpin the </w:t>
      </w:r>
      <w:r w:rsidR="00920E47" w:rsidRPr="00150ABA">
        <w:rPr>
          <w:noProof/>
        </w:rPr>
        <w:t>legal frameworks for setting up a JIT.</w:t>
      </w:r>
    </w:p>
    <w:p w14:paraId="482497D4" w14:textId="1363E964" w:rsidR="000D617F" w:rsidRPr="00150ABA" w:rsidRDefault="00462FE9" w:rsidP="0005122E">
      <w:pPr>
        <w:pBdr>
          <w:top w:val="nil"/>
          <w:left w:val="nil"/>
          <w:bottom w:val="nil"/>
          <w:right w:val="nil"/>
          <w:between w:val="nil"/>
          <w:bar w:val="nil"/>
        </w:pBdr>
        <w:spacing w:before="0" w:after="240"/>
        <w:rPr>
          <w:rFonts w:eastAsia="Arial Unicode MS"/>
          <w:noProof/>
        </w:rPr>
      </w:pPr>
      <w:r w:rsidRPr="00150ABA">
        <w:rPr>
          <w:rFonts w:eastAsia="Arial Unicode MS"/>
          <w:noProof/>
        </w:rPr>
        <w:t xml:space="preserve">The proposal is accompanied by a </w:t>
      </w:r>
      <w:r w:rsidR="00920E47" w:rsidRPr="00150ABA">
        <w:rPr>
          <w:rFonts w:eastAsia="Arial Unicode MS"/>
          <w:noProof/>
        </w:rPr>
        <w:t>Commission staff working document</w:t>
      </w:r>
      <w:r w:rsidR="00B93D26" w:rsidRPr="00150ABA">
        <w:rPr>
          <w:rStyle w:val="FootnoteReference"/>
          <w:rFonts w:eastAsia="Arial Unicode MS"/>
          <w:noProof/>
        </w:rPr>
        <w:footnoteReference w:id="16"/>
      </w:r>
      <w:r w:rsidRPr="00150ABA">
        <w:rPr>
          <w:rFonts w:eastAsia="Arial Unicode MS"/>
          <w:noProof/>
        </w:rPr>
        <w:t>, which</w:t>
      </w:r>
      <w:r w:rsidR="00920E47" w:rsidRPr="00150ABA">
        <w:rPr>
          <w:rFonts w:eastAsia="Arial Unicode MS"/>
          <w:noProof/>
        </w:rPr>
        <w:t xml:space="preserve"> contains a detailed problem description and sets out the objectives of the proposal. It also analyses the proposed solution in the light of its efficacy</w:t>
      </w:r>
      <w:r w:rsidR="006C7C24" w:rsidRPr="00150ABA">
        <w:rPr>
          <w:rFonts w:eastAsia="Arial Unicode MS"/>
          <w:noProof/>
        </w:rPr>
        <w:t xml:space="preserve">, </w:t>
      </w:r>
      <w:r w:rsidR="006C7C24" w:rsidRPr="00150ABA">
        <w:rPr>
          <w:noProof/>
        </w:rPr>
        <w:t>indicates the benefits of the initiative</w:t>
      </w:r>
      <w:r w:rsidR="00920E47" w:rsidRPr="00150ABA">
        <w:rPr>
          <w:rFonts w:eastAsia="Arial Unicode MS"/>
          <w:noProof/>
        </w:rPr>
        <w:t xml:space="preserve"> and also its potential impact on fundamental rights.</w:t>
      </w:r>
      <w:r w:rsidR="000D617F" w:rsidRPr="00150ABA">
        <w:rPr>
          <w:rFonts w:eastAsia="Arial Unicode MS"/>
          <w:noProof/>
        </w:rPr>
        <w:t xml:space="preserve"> </w:t>
      </w:r>
    </w:p>
    <w:p w14:paraId="7174E681" w14:textId="6C64B96B" w:rsidR="000D617F" w:rsidRPr="00150ABA" w:rsidRDefault="000D617F" w:rsidP="0005122E">
      <w:pPr>
        <w:pBdr>
          <w:top w:val="nil"/>
          <w:left w:val="nil"/>
          <w:bottom w:val="nil"/>
          <w:right w:val="nil"/>
          <w:between w:val="nil"/>
          <w:bar w:val="nil"/>
        </w:pBdr>
        <w:spacing w:before="0" w:after="240"/>
        <w:rPr>
          <w:rFonts w:eastAsia="Arial Unicode MS"/>
          <w:noProof/>
        </w:rPr>
      </w:pPr>
      <w:r w:rsidRPr="00150ABA">
        <w:rPr>
          <w:rFonts w:eastAsia="Arial Unicode MS"/>
          <w:noProof/>
        </w:rPr>
        <w:t>The staff working document explains that the establishment of the platform is expected to render cooperation within JITs more efficient and effective. All future functionalities of the platform, starting with the communication tools, through exchange of data mechanism, to collaborative management of JITs, are intended to save time and cost of those involved in  JITs. Although voluntary in nature, it is anticipated that practitioners will quickly realise the platform’s added value and systematically use it in cross-border cases. The platform would allow speeding up the flow of information among its users, increase security of the exchanged data as well as enhance transparency. In addition, impacts on simplification and administrative burdens are anticipated. Consequently, more efficient functioning of JITs would improve overall collaboration between Member States in investigating and prosecuting cross-border crime.</w:t>
      </w:r>
    </w:p>
    <w:p w14:paraId="207EB1DC" w14:textId="77777777" w:rsidR="00920E47" w:rsidRPr="00150ABA" w:rsidRDefault="00920E47" w:rsidP="009D79B9">
      <w:pPr>
        <w:pStyle w:val="Bullet0"/>
        <w:tabs>
          <w:tab w:val="clear" w:pos="850"/>
          <w:tab w:val="num" w:pos="567"/>
        </w:tabs>
        <w:rPr>
          <w:b/>
          <w:noProof/>
        </w:rPr>
      </w:pPr>
      <w:r w:rsidRPr="00150ABA">
        <w:rPr>
          <w:b/>
          <w:noProof/>
        </w:rPr>
        <w:t>Fundamental rights</w:t>
      </w:r>
    </w:p>
    <w:p w14:paraId="3779FD58" w14:textId="0D6DECDC" w:rsidR="00920E47" w:rsidRPr="00150ABA" w:rsidRDefault="00920E47" w:rsidP="00FF717F">
      <w:pPr>
        <w:rPr>
          <w:noProof/>
        </w:rPr>
      </w:pPr>
      <w:r w:rsidRPr="00150ABA">
        <w:rPr>
          <w:noProof/>
        </w:rPr>
        <w:t>No major impact on fundamental rights is expected, as the legal basis for the exchanges of information and evidence within a JIT would not be changed. However, as explained in more detail below, the proposed solution will comply with</w:t>
      </w:r>
      <w:r w:rsidRPr="00150ABA">
        <w:rPr>
          <w:noProof/>
          <w:szCs w:val="24"/>
        </w:rPr>
        <w:t xml:space="preserve"> fundamental rights and freedoms enshrined, in particular, in the Charter of Fundamental Rights of the European Union</w:t>
      </w:r>
      <w:r w:rsidRPr="00150ABA">
        <w:rPr>
          <w:rStyle w:val="FootnoteReference"/>
          <w:noProof/>
        </w:rPr>
        <w:footnoteReference w:id="17"/>
      </w:r>
      <w:r w:rsidRPr="00150ABA">
        <w:rPr>
          <w:noProof/>
          <w:szCs w:val="24"/>
        </w:rPr>
        <w:t xml:space="preserve">, including the right to protection of personal data. </w:t>
      </w:r>
      <w:r w:rsidRPr="00150ABA">
        <w:rPr>
          <w:noProof/>
        </w:rPr>
        <w:t>In this regard, it will also comply with the European Convention for the Protection of Human Rights and Fundamental Freedoms, the International Covenant on Civil and Political Rights, and other human rights obligations under international law.</w:t>
      </w:r>
    </w:p>
    <w:p w14:paraId="5DF8EA31" w14:textId="6386CCB1" w:rsidR="00920E47" w:rsidRPr="00150ABA" w:rsidRDefault="00920E47" w:rsidP="00FF717F">
      <w:pPr>
        <w:rPr>
          <w:noProof/>
        </w:rPr>
      </w:pPr>
      <w:r w:rsidRPr="00150ABA">
        <w:rPr>
          <w:noProof/>
        </w:rPr>
        <w:t xml:space="preserve">Since establishing the platform at </w:t>
      </w:r>
      <w:r w:rsidR="00133B4C" w:rsidRPr="00150ABA">
        <w:rPr>
          <w:noProof/>
        </w:rPr>
        <w:t xml:space="preserve">EU </w:t>
      </w:r>
      <w:r w:rsidRPr="00150ABA">
        <w:rPr>
          <w:noProof/>
        </w:rPr>
        <w:t xml:space="preserve">level would imply the processing of personal data, appropriate data protection safeguards must be put in place. The platform would fully comply with </w:t>
      </w:r>
      <w:r w:rsidR="00E40458" w:rsidRPr="00150ABA">
        <w:rPr>
          <w:noProof/>
        </w:rPr>
        <w:t>U</w:t>
      </w:r>
      <w:r w:rsidR="00104556" w:rsidRPr="00150ABA">
        <w:rPr>
          <w:noProof/>
        </w:rPr>
        <w:t>nion</w:t>
      </w:r>
      <w:r w:rsidRPr="00150ABA">
        <w:rPr>
          <w:noProof/>
        </w:rPr>
        <w:t xml:space="preserve"> data protection rules on the legality of exchanging information and evidence. Directive (EU) 2016/680 of the European Parliament and of the Council would apply to the processing of personal data by competent national authorities to prevent, investigate, detect or prosecute criminal offences or execute criminal penalties, including safeguarding against and preventing threats to public security. Regulation (EU) 2018/1725 of the European Parliament and of the Council of 23 October 2018 on the protection of natural persons with regard to the processing of personal data by the Union institutions, bodies, offices and agencies would also apply. These legal safeguards would need to dovetail with the alignment of the data protection approach for JITs with the current data protection rules, as proposed by the Commission on 20 January 2021</w:t>
      </w:r>
      <w:r w:rsidRPr="00150ABA">
        <w:rPr>
          <w:rStyle w:val="FootnoteReference"/>
          <w:noProof/>
        </w:rPr>
        <w:footnoteReference w:id="18"/>
      </w:r>
      <w:r w:rsidRPr="00150ABA">
        <w:rPr>
          <w:noProof/>
        </w:rPr>
        <w:t>.</w:t>
      </w:r>
    </w:p>
    <w:p w14:paraId="313D2FBF" w14:textId="733C184C" w:rsidR="00920E47" w:rsidRPr="00150ABA" w:rsidRDefault="00920E47" w:rsidP="00FF717F">
      <w:pPr>
        <w:rPr>
          <w:noProof/>
          <w:szCs w:val="24"/>
        </w:rPr>
      </w:pPr>
      <w:r w:rsidRPr="00150ABA">
        <w:rPr>
          <w:noProof/>
        </w:rPr>
        <w:t>On the centralised component of the platform, i.e. the upload/download mechanism allowing temporarily storing of the operational data until the moment it is downloaded, the i</w:t>
      </w:r>
      <w:r w:rsidRPr="00150ABA">
        <w:rPr>
          <w:noProof/>
          <w:szCs w:val="24"/>
        </w:rPr>
        <w:t>mpact on data protection is considered to be limited because:</w:t>
      </w:r>
    </w:p>
    <w:p w14:paraId="595E04BF" w14:textId="77777777" w:rsidR="00E40458" w:rsidRPr="00150ABA" w:rsidRDefault="00920E47" w:rsidP="00E40458">
      <w:pPr>
        <w:pStyle w:val="Bullet0"/>
        <w:tabs>
          <w:tab w:val="clear" w:pos="850"/>
          <w:tab w:val="num" w:pos="567"/>
        </w:tabs>
        <w:ind w:left="567" w:hanging="567"/>
        <w:rPr>
          <w:noProof/>
        </w:rPr>
      </w:pPr>
      <w:r w:rsidRPr="00150ABA">
        <w:rPr>
          <w:noProof/>
        </w:rPr>
        <w:t>the personal data would be exchanged by a very limited group of individuals who are part of an isolated JIT collaboration space;</w:t>
      </w:r>
    </w:p>
    <w:p w14:paraId="167381E2" w14:textId="77777777" w:rsidR="00E40458" w:rsidRPr="00150ABA" w:rsidRDefault="00920E47" w:rsidP="00E40458">
      <w:pPr>
        <w:pStyle w:val="Bullet0"/>
        <w:tabs>
          <w:tab w:val="clear" w:pos="850"/>
          <w:tab w:val="num" w:pos="567"/>
        </w:tabs>
        <w:ind w:left="567" w:hanging="567"/>
        <w:rPr>
          <w:noProof/>
        </w:rPr>
      </w:pPr>
      <w:r w:rsidRPr="00150ABA">
        <w:rPr>
          <w:noProof/>
        </w:rPr>
        <w:t>the personal data would be stored centrally only for technical reasons and would be deleted as soon as it is downloaded by all addresses;</w:t>
      </w:r>
    </w:p>
    <w:p w14:paraId="78CD3213" w14:textId="77777777" w:rsidR="00E40458" w:rsidRPr="00150ABA" w:rsidRDefault="00920E47" w:rsidP="00E40458">
      <w:pPr>
        <w:pStyle w:val="Bullet0"/>
        <w:tabs>
          <w:tab w:val="clear" w:pos="850"/>
          <w:tab w:val="num" w:pos="567"/>
        </w:tabs>
        <w:ind w:left="567" w:hanging="567"/>
        <w:rPr>
          <w:noProof/>
        </w:rPr>
      </w:pPr>
      <w:r w:rsidRPr="00150ABA">
        <w:rPr>
          <w:noProof/>
        </w:rPr>
        <w:t>the retention period would be set at a maximum of four weeks and would be enforced automatically;</w:t>
      </w:r>
    </w:p>
    <w:p w14:paraId="446C4BA5" w14:textId="77777777" w:rsidR="00E40458" w:rsidRPr="00150ABA" w:rsidRDefault="00920E47" w:rsidP="00E40458">
      <w:pPr>
        <w:pStyle w:val="Bullet0"/>
        <w:tabs>
          <w:tab w:val="clear" w:pos="850"/>
          <w:tab w:val="num" w:pos="567"/>
        </w:tabs>
        <w:ind w:left="567" w:hanging="567"/>
        <w:rPr>
          <w:noProof/>
        </w:rPr>
      </w:pPr>
      <w:r w:rsidRPr="00150ABA">
        <w:rPr>
          <w:noProof/>
        </w:rPr>
        <w:t>exchange of personal data would be limited to serve the purpose for which it was obtained;</w:t>
      </w:r>
    </w:p>
    <w:p w14:paraId="319FB037" w14:textId="77777777" w:rsidR="00E40458" w:rsidRPr="00150ABA" w:rsidRDefault="00920E47" w:rsidP="00E40458">
      <w:pPr>
        <w:pStyle w:val="Bullet0"/>
        <w:tabs>
          <w:tab w:val="clear" w:pos="850"/>
          <w:tab w:val="num" w:pos="567"/>
        </w:tabs>
        <w:ind w:left="567" w:hanging="567"/>
        <w:rPr>
          <w:noProof/>
        </w:rPr>
      </w:pPr>
      <w:r w:rsidRPr="00150ABA">
        <w:rPr>
          <w:noProof/>
        </w:rPr>
        <w:t>eu-LISA would not have access to the data and would fulfil the role of data processor;</w:t>
      </w:r>
    </w:p>
    <w:p w14:paraId="5D3BA971" w14:textId="77777777" w:rsidR="00E40458" w:rsidRPr="00150ABA" w:rsidRDefault="00920E47" w:rsidP="00E40458">
      <w:pPr>
        <w:pStyle w:val="Bullet0"/>
        <w:tabs>
          <w:tab w:val="clear" w:pos="850"/>
          <w:tab w:val="num" w:pos="567"/>
        </w:tabs>
        <w:ind w:left="567" w:hanging="567"/>
        <w:rPr>
          <w:noProof/>
        </w:rPr>
      </w:pPr>
      <w:r w:rsidRPr="00150ABA">
        <w:rPr>
          <w:noProof/>
        </w:rPr>
        <w:t xml:space="preserve">a separate data controller for each entity uploading the personal data, apart from third </w:t>
      </w:r>
      <w:r w:rsidR="002457C2" w:rsidRPr="00150ABA">
        <w:rPr>
          <w:noProof/>
        </w:rPr>
        <w:t>countries</w:t>
      </w:r>
      <w:r w:rsidRPr="00150ABA">
        <w:rPr>
          <w:noProof/>
        </w:rPr>
        <w:t>, would be warranted;</w:t>
      </w:r>
    </w:p>
    <w:p w14:paraId="1249957F" w14:textId="77777777" w:rsidR="00E40458" w:rsidRPr="00150ABA" w:rsidRDefault="00920E47" w:rsidP="00E40458">
      <w:pPr>
        <w:pStyle w:val="Bullet0"/>
        <w:tabs>
          <w:tab w:val="clear" w:pos="850"/>
          <w:tab w:val="num" w:pos="567"/>
        </w:tabs>
        <w:ind w:left="567" w:hanging="567"/>
        <w:rPr>
          <w:noProof/>
        </w:rPr>
      </w:pPr>
      <w:r w:rsidRPr="00150ABA">
        <w:rPr>
          <w:noProof/>
        </w:rPr>
        <w:t xml:space="preserve">exchanges of personal data that qualify as international transfers to third </w:t>
      </w:r>
      <w:r w:rsidR="002457C2" w:rsidRPr="00150ABA">
        <w:rPr>
          <w:noProof/>
        </w:rPr>
        <w:t xml:space="preserve">countries </w:t>
      </w:r>
      <w:r w:rsidRPr="00150ABA">
        <w:rPr>
          <w:noProof/>
        </w:rPr>
        <w:t xml:space="preserve">that are part of a given JIT would always require a legal basis in </w:t>
      </w:r>
      <w:r w:rsidR="00C66019" w:rsidRPr="00150ABA">
        <w:rPr>
          <w:noProof/>
        </w:rPr>
        <w:t>u</w:t>
      </w:r>
      <w:r w:rsidR="00104556" w:rsidRPr="00150ABA">
        <w:rPr>
          <w:noProof/>
        </w:rPr>
        <w:t>nion</w:t>
      </w:r>
      <w:r w:rsidRPr="00150ABA">
        <w:rPr>
          <w:noProof/>
        </w:rPr>
        <w:t xml:space="preserve"> or Member State law applicable to such transfers;</w:t>
      </w:r>
    </w:p>
    <w:p w14:paraId="6AAAE76F" w14:textId="629892EE" w:rsidR="00920E47" w:rsidRPr="00150ABA" w:rsidRDefault="00920E47" w:rsidP="00E40458">
      <w:pPr>
        <w:pStyle w:val="Bullet0"/>
        <w:tabs>
          <w:tab w:val="clear" w:pos="850"/>
          <w:tab w:val="num" w:pos="567"/>
        </w:tabs>
        <w:ind w:left="567" w:hanging="567"/>
        <w:rPr>
          <w:noProof/>
        </w:rPr>
      </w:pPr>
      <w:r w:rsidRPr="00150ABA">
        <w:rPr>
          <w:noProof/>
        </w:rPr>
        <w:t xml:space="preserve">personal data uploaded to JIT collaboration space by third </w:t>
      </w:r>
      <w:r w:rsidR="002457C2" w:rsidRPr="00150ABA">
        <w:rPr>
          <w:noProof/>
        </w:rPr>
        <w:t xml:space="preserve">countries </w:t>
      </w:r>
      <w:r w:rsidRPr="00150ABA">
        <w:rPr>
          <w:noProof/>
        </w:rPr>
        <w:t>would be under the responsibility of a JIT space administrator who would need to check such data before it can be downloaded by other users.</w:t>
      </w:r>
    </w:p>
    <w:p w14:paraId="397D752D" w14:textId="77777777" w:rsidR="00920E47" w:rsidRPr="00150ABA" w:rsidRDefault="00920E47" w:rsidP="0005122E">
      <w:pPr>
        <w:pStyle w:val="ManualHeading1"/>
        <w:rPr>
          <w:noProof/>
        </w:rPr>
      </w:pPr>
      <w:r w:rsidRPr="00150ABA">
        <w:rPr>
          <w:noProof/>
        </w:rPr>
        <w:t>4.</w:t>
      </w:r>
      <w:r w:rsidRPr="00150ABA">
        <w:rPr>
          <w:noProof/>
        </w:rPr>
        <w:tab/>
        <w:t>BUDGETARY IMPLICATIONS</w:t>
      </w:r>
    </w:p>
    <w:p w14:paraId="1D050FC0" w14:textId="77777777" w:rsidR="00920E47" w:rsidRPr="00150ABA" w:rsidRDefault="00920E47" w:rsidP="0005122E">
      <w:pPr>
        <w:rPr>
          <w:noProof/>
          <w:szCs w:val="24"/>
        </w:rPr>
      </w:pPr>
      <w:r w:rsidRPr="00150ABA">
        <w:rPr>
          <w:noProof/>
          <w:szCs w:val="24"/>
        </w:rPr>
        <w:t>The proposal for a Regulation establishing the platform is envisaged to incur the following costs:</w:t>
      </w:r>
    </w:p>
    <w:p w14:paraId="72E6CC3B" w14:textId="77777777" w:rsidR="00E40458" w:rsidRPr="00150ABA" w:rsidRDefault="00920E47" w:rsidP="00E40458">
      <w:pPr>
        <w:pStyle w:val="Bullet0"/>
        <w:tabs>
          <w:tab w:val="clear" w:pos="850"/>
          <w:tab w:val="num" w:pos="567"/>
        </w:tabs>
        <w:ind w:left="567" w:hanging="567"/>
        <w:rPr>
          <w:noProof/>
        </w:rPr>
      </w:pPr>
      <w:r w:rsidRPr="00150ABA">
        <w:rPr>
          <w:noProof/>
        </w:rPr>
        <w:t>development of the platform – the one-off cost incurred for eu-LISA;</w:t>
      </w:r>
    </w:p>
    <w:p w14:paraId="089494F9" w14:textId="77777777" w:rsidR="00E40458" w:rsidRPr="00150ABA" w:rsidRDefault="00920E47" w:rsidP="00E40458">
      <w:pPr>
        <w:pStyle w:val="Bullet0"/>
        <w:tabs>
          <w:tab w:val="clear" w:pos="850"/>
          <w:tab w:val="num" w:pos="567"/>
        </w:tabs>
        <w:ind w:left="567" w:hanging="567"/>
        <w:rPr>
          <w:noProof/>
        </w:rPr>
      </w:pPr>
      <w:r w:rsidRPr="00150ABA">
        <w:rPr>
          <w:noProof/>
        </w:rPr>
        <w:t>technical maintenance and operation of the platform – the recurring cost incurred for eu-LISA;</w:t>
      </w:r>
    </w:p>
    <w:p w14:paraId="08FD97D5" w14:textId="422DB5A3" w:rsidR="00E40458" w:rsidRPr="00150ABA" w:rsidRDefault="00920E47" w:rsidP="00E40458">
      <w:pPr>
        <w:pStyle w:val="Bullet0"/>
        <w:tabs>
          <w:tab w:val="clear" w:pos="850"/>
          <w:tab w:val="num" w:pos="567"/>
        </w:tabs>
        <w:ind w:left="567" w:hanging="567"/>
        <w:rPr>
          <w:noProof/>
        </w:rPr>
      </w:pPr>
      <w:r w:rsidRPr="00150ABA">
        <w:rPr>
          <w:noProof/>
        </w:rPr>
        <w:t>development of the necessary technical adaptations of the relevant IT systems</w:t>
      </w:r>
      <w:r w:rsidR="00104556" w:rsidRPr="00150ABA">
        <w:rPr>
          <w:noProof/>
        </w:rPr>
        <w:t xml:space="preserve"> hosted </w:t>
      </w:r>
      <w:r w:rsidR="005F1357" w:rsidRPr="00150ABA">
        <w:rPr>
          <w:noProof/>
        </w:rPr>
        <w:t>at</w:t>
      </w:r>
      <w:r w:rsidR="00104556" w:rsidRPr="00150ABA">
        <w:rPr>
          <w:noProof/>
        </w:rPr>
        <w:t xml:space="preserve"> Eurojust</w:t>
      </w:r>
      <w:r w:rsidRPr="00150ABA">
        <w:rPr>
          <w:noProof/>
        </w:rPr>
        <w:t>, i.e. JITs funding, JITs evaluation and JITs restricted area to partially integrate them with the platform – the one-off cost incurred for Eurojust;</w:t>
      </w:r>
    </w:p>
    <w:p w14:paraId="716963B9" w14:textId="755F0D8C" w:rsidR="00E40458" w:rsidRPr="00150ABA" w:rsidRDefault="00920E47" w:rsidP="00E40458">
      <w:pPr>
        <w:pStyle w:val="Bullet0"/>
        <w:tabs>
          <w:tab w:val="clear" w:pos="850"/>
          <w:tab w:val="num" w:pos="567"/>
        </w:tabs>
        <w:ind w:left="567" w:hanging="567"/>
        <w:rPr>
          <w:noProof/>
        </w:rPr>
      </w:pPr>
      <w:r w:rsidRPr="00150ABA">
        <w:rPr>
          <w:noProof/>
        </w:rPr>
        <w:t xml:space="preserve">technical maintenance and operations on the adaptations of the IT systems </w:t>
      </w:r>
      <w:r w:rsidR="005F1357" w:rsidRPr="00150ABA">
        <w:rPr>
          <w:noProof/>
        </w:rPr>
        <w:t xml:space="preserve">hosted at Eurojust </w:t>
      </w:r>
      <w:r w:rsidR="00C66019" w:rsidRPr="00150ABA">
        <w:rPr>
          <w:noProof/>
        </w:rPr>
        <w:t>–</w:t>
      </w:r>
      <w:r w:rsidRPr="00150ABA">
        <w:rPr>
          <w:noProof/>
        </w:rPr>
        <w:t xml:space="preserve"> the recurring cost incurred for Eurojust;</w:t>
      </w:r>
    </w:p>
    <w:p w14:paraId="43E06049" w14:textId="77777777" w:rsidR="00E40458" w:rsidRPr="00150ABA" w:rsidRDefault="00920E47" w:rsidP="00E40458">
      <w:pPr>
        <w:pStyle w:val="Bullet0"/>
        <w:tabs>
          <w:tab w:val="clear" w:pos="850"/>
          <w:tab w:val="num" w:pos="567"/>
        </w:tabs>
        <w:ind w:left="567" w:hanging="567"/>
        <w:rPr>
          <w:noProof/>
        </w:rPr>
      </w:pPr>
      <w:r w:rsidRPr="00150ABA">
        <w:rPr>
          <w:noProof/>
        </w:rPr>
        <w:t xml:space="preserve">administrative support to the platform’s users on behalf of the JIT space administrator(s) </w:t>
      </w:r>
      <w:r w:rsidR="00C66019" w:rsidRPr="00150ABA">
        <w:rPr>
          <w:noProof/>
        </w:rPr>
        <w:t>–</w:t>
      </w:r>
      <w:r w:rsidRPr="00150ABA">
        <w:rPr>
          <w:noProof/>
        </w:rPr>
        <w:t xml:space="preserve"> the recurring cost incurred for Eurojust (the JIT Secretariat).</w:t>
      </w:r>
    </w:p>
    <w:p w14:paraId="2ED58150" w14:textId="08AB7EEE" w:rsidR="00920E47" w:rsidRPr="00150ABA" w:rsidRDefault="00920E47" w:rsidP="00D036FA">
      <w:pPr>
        <w:rPr>
          <w:noProof/>
        </w:rPr>
      </w:pPr>
      <w:r w:rsidRPr="00150ABA">
        <w:rPr>
          <w:noProof/>
        </w:rPr>
        <w:t xml:space="preserve">As far as Member States’ access to the platform is concerned, no technical costs are envisaged because of the web-based nature of the centralised component of the platform. It would not require any adaptations of the national technical infrastructure. The same applies to the communication software, which would simply need to be downloaded on each device of the JIT platform’s users. Access to the platform for </w:t>
      </w:r>
      <w:r w:rsidR="00C66019" w:rsidRPr="00150ABA">
        <w:rPr>
          <w:noProof/>
        </w:rPr>
        <w:t xml:space="preserve">the </w:t>
      </w:r>
      <w:r w:rsidR="00104556" w:rsidRPr="00150ABA">
        <w:rPr>
          <w:noProof/>
        </w:rPr>
        <w:t xml:space="preserve">competent Union bodies, offices and agencies </w:t>
      </w:r>
      <w:r w:rsidRPr="00150ABA">
        <w:rPr>
          <w:noProof/>
        </w:rPr>
        <w:t>would be driven by the same principles and would not incur any costs for them.</w:t>
      </w:r>
    </w:p>
    <w:p w14:paraId="4FCEB28D" w14:textId="6A80E374" w:rsidR="00920E47" w:rsidRPr="00150ABA" w:rsidRDefault="00920E47" w:rsidP="0005122E">
      <w:pPr>
        <w:rPr>
          <w:noProof/>
        </w:rPr>
      </w:pPr>
      <w:r w:rsidRPr="00150ABA">
        <w:rPr>
          <w:noProof/>
        </w:rPr>
        <w:t>The costs for eu-LISA and Eurojust are explained in detail in the accompanying legal financial statement. In total, eu-LISA would require the following financial and human resources to develop, maintain and operate the JITs collaboration platform:</w:t>
      </w:r>
    </w:p>
    <w:p w14:paraId="1D8DC3CD" w14:textId="77777777" w:rsidR="00E40458" w:rsidRPr="00150ABA" w:rsidRDefault="00920E47" w:rsidP="00E40458">
      <w:pPr>
        <w:pStyle w:val="Bullet0"/>
        <w:tabs>
          <w:tab w:val="clear" w:pos="850"/>
          <w:tab w:val="num" w:pos="567"/>
        </w:tabs>
        <w:ind w:left="567" w:hanging="567"/>
        <w:rPr>
          <w:noProof/>
        </w:rPr>
      </w:pPr>
      <w:r w:rsidRPr="00150ABA">
        <w:rPr>
          <w:noProof/>
        </w:rPr>
        <w:t>one-off build cost – EUR 8.4 million;</w:t>
      </w:r>
    </w:p>
    <w:p w14:paraId="5621EA71" w14:textId="4251F7F0" w:rsidR="00E40458" w:rsidRPr="00150ABA" w:rsidRDefault="00920E47" w:rsidP="00E40458">
      <w:pPr>
        <w:pStyle w:val="Bullet0"/>
        <w:tabs>
          <w:tab w:val="clear" w:pos="850"/>
          <w:tab w:val="num" w:pos="567"/>
        </w:tabs>
        <w:ind w:left="567" w:hanging="567"/>
        <w:rPr>
          <w:noProof/>
        </w:rPr>
      </w:pPr>
      <w:r w:rsidRPr="00150ABA">
        <w:rPr>
          <w:noProof/>
        </w:rPr>
        <w:t>annual maintenance and operation cost – EUR 1.7 million;</w:t>
      </w:r>
    </w:p>
    <w:p w14:paraId="4FE156DD" w14:textId="77777777" w:rsidR="00E40458" w:rsidRPr="00150ABA" w:rsidRDefault="00920E47" w:rsidP="00E40458">
      <w:pPr>
        <w:pStyle w:val="Bullet0"/>
        <w:tabs>
          <w:tab w:val="clear" w:pos="850"/>
          <w:tab w:val="num" w:pos="567"/>
        </w:tabs>
        <w:ind w:left="567" w:hanging="567"/>
        <w:rPr>
          <w:noProof/>
        </w:rPr>
      </w:pPr>
      <w:r w:rsidRPr="00150ABA">
        <w:rPr>
          <w:noProof/>
        </w:rPr>
        <w:t>staff – 4 TA FTE as of 2024, 4 TA FTE as of 2025 and 2 CA FTE as of 2026 (10 in total).</w:t>
      </w:r>
    </w:p>
    <w:p w14:paraId="5ACF0FBD" w14:textId="154B0ABA" w:rsidR="00920E47" w:rsidRPr="00150ABA" w:rsidRDefault="00920E47" w:rsidP="00D036FA">
      <w:pPr>
        <w:rPr>
          <w:noProof/>
        </w:rPr>
      </w:pPr>
      <w:r w:rsidRPr="00150ABA">
        <w:rPr>
          <w:noProof/>
        </w:rPr>
        <w:t>The costs for eu-LISA apply to hosting the platform in its operational site in Strasbourg/France and the back-up site in Sankt Johann/Austria.</w:t>
      </w:r>
    </w:p>
    <w:p w14:paraId="549BA857" w14:textId="77777777" w:rsidR="00920E47" w:rsidRPr="00150ABA" w:rsidRDefault="00920E47" w:rsidP="0005122E">
      <w:pPr>
        <w:rPr>
          <w:noProof/>
        </w:rPr>
      </w:pPr>
      <w:r w:rsidRPr="00150ABA">
        <w:rPr>
          <w:noProof/>
        </w:rPr>
        <w:t>In total, Eurojust (including the JIT Secretariat) would require the following financial and human resources:</w:t>
      </w:r>
    </w:p>
    <w:p w14:paraId="51B24EB9" w14:textId="77777777" w:rsidR="00E40458" w:rsidRPr="00150ABA" w:rsidRDefault="00920E47" w:rsidP="00E40458">
      <w:pPr>
        <w:pStyle w:val="Bullet0"/>
        <w:tabs>
          <w:tab w:val="clear" w:pos="850"/>
          <w:tab w:val="num" w:pos="567"/>
        </w:tabs>
        <w:ind w:left="567" w:hanging="567"/>
        <w:rPr>
          <w:noProof/>
        </w:rPr>
      </w:pPr>
      <w:r w:rsidRPr="00150ABA">
        <w:rPr>
          <w:noProof/>
        </w:rPr>
        <w:t>for development maintenance and operations of the required technical adaptations of Eurojust IT systems, i.e. JITs funding, JITs evaluation and JITs restricted area, in order to partially integrate them with the platform: EUR 0.250 million in 2025 (one-off) and 1 FTE – a technical profile – as of 2025 onwards;</w:t>
      </w:r>
    </w:p>
    <w:p w14:paraId="0D80511B" w14:textId="7310419E" w:rsidR="00920E47" w:rsidRPr="00150ABA" w:rsidRDefault="00920E47" w:rsidP="00E40458">
      <w:pPr>
        <w:pStyle w:val="Bullet0"/>
        <w:tabs>
          <w:tab w:val="clear" w:pos="850"/>
          <w:tab w:val="num" w:pos="567"/>
        </w:tabs>
        <w:ind w:left="567" w:hanging="567"/>
        <w:rPr>
          <w:noProof/>
        </w:rPr>
      </w:pPr>
      <w:r w:rsidRPr="00150ABA">
        <w:rPr>
          <w:noProof/>
        </w:rPr>
        <w:t xml:space="preserve">for administrative support of the JIT Secretariat to the platform’s users on behalf of JIT space administrator(s): 2 FTEs as of 2026 onwards. </w:t>
      </w:r>
    </w:p>
    <w:p w14:paraId="0EB42BB0" w14:textId="1EB82715" w:rsidR="00920E47" w:rsidRPr="00150ABA" w:rsidRDefault="00920E47" w:rsidP="0005122E">
      <w:pPr>
        <w:rPr>
          <w:noProof/>
        </w:rPr>
      </w:pPr>
      <w:r w:rsidRPr="00150ABA">
        <w:rPr>
          <w:noProof/>
          <w:szCs w:val="24"/>
        </w:rPr>
        <w:t>These costs would be borne by the U</w:t>
      </w:r>
      <w:r w:rsidR="00104556" w:rsidRPr="00150ABA">
        <w:rPr>
          <w:noProof/>
          <w:szCs w:val="24"/>
        </w:rPr>
        <w:t>nion</w:t>
      </w:r>
      <w:r w:rsidRPr="00150ABA">
        <w:rPr>
          <w:noProof/>
          <w:szCs w:val="24"/>
        </w:rPr>
        <w:t xml:space="preserve"> general budget and would need to be reflected in the budget of both agencies. </w:t>
      </w:r>
    </w:p>
    <w:p w14:paraId="30FCBF3A" w14:textId="77777777" w:rsidR="00920E47" w:rsidRPr="00150ABA" w:rsidRDefault="00920E47" w:rsidP="0005122E">
      <w:pPr>
        <w:pStyle w:val="ManualHeading1"/>
        <w:rPr>
          <w:noProof/>
        </w:rPr>
      </w:pPr>
      <w:r w:rsidRPr="00150ABA">
        <w:rPr>
          <w:noProof/>
        </w:rPr>
        <w:t>5.</w:t>
      </w:r>
      <w:r w:rsidRPr="00150ABA">
        <w:rPr>
          <w:noProof/>
        </w:rPr>
        <w:tab/>
        <w:t>OTHER ELEMENTS</w:t>
      </w:r>
    </w:p>
    <w:p w14:paraId="6B40E810" w14:textId="77777777" w:rsidR="00920E47" w:rsidRPr="00150ABA" w:rsidRDefault="00920E47" w:rsidP="009D79B9">
      <w:pPr>
        <w:pStyle w:val="Bullet0"/>
        <w:tabs>
          <w:tab w:val="clear" w:pos="850"/>
          <w:tab w:val="num" w:pos="567"/>
        </w:tabs>
        <w:rPr>
          <w:b/>
          <w:noProof/>
        </w:rPr>
      </w:pPr>
      <w:r w:rsidRPr="00150ABA">
        <w:rPr>
          <w:b/>
          <w:noProof/>
        </w:rPr>
        <w:t>Implementation plans and monitoring, evaluation and reporting arrangements</w:t>
      </w:r>
    </w:p>
    <w:p w14:paraId="34139F68" w14:textId="1830111F" w:rsidR="00920E47" w:rsidRPr="00150ABA" w:rsidRDefault="00920E47" w:rsidP="0005122E">
      <w:pPr>
        <w:pBdr>
          <w:top w:val="nil"/>
          <w:left w:val="nil"/>
          <w:bottom w:val="nil"/>
          <w:right w:val="nil"/>
          <w:between w:val="nil"/>
          <w:bar w:val="nil"/>
        </w:pBdr>
        <w:spacing w:after="240"/>
        <w:rPr>
          <w:rFonts w:eastAsia="Arial Unicode MS"/>
          <w:noProof/>
          <w:szCs w:val="24"/>
        </w:rPr>
      </w:pPr>
      <w:r w:rsidRPr="00150ABA">
        <w:rPr>
          <w:rFonts w:eastAsia="Arial Unicode MS"/>
          <w:noProof/>
          <w:szCs w:val="24"/>
        </w:rPr>
        <w:t>Monitoring and evaluating the development and technical functioning of the JITs collaboration platform is vital and will be applied by following the principles outlined in the common approach on decentralised agencies</w:t>
      </w:r>
      <w:r w:rsidR="00AA7946" w:rsidRPr="00150ABA">
        <w:rPr>
          <w:rStyle w:val="FootnoteReference"/>
          <w:noProof/>
        </w:rPr>
        <w:footnoteReference w:id="19"/>
      </w:r>
      <w:r w:rsidRPr="00150ABA">
        <w:rPr>
          <w:rFonts w:eastAsia="Arial Unicode MS"/>
          <w:noProof/>
          <w:szCs w:val="24"/>
        </w:rPr>
        <w:t>.</w:t>
      </w:r>
    </w:p>
    <w:p w14:paraId="6FD71A57" w14:textId="1FF081C3" w:rsidR="00920E47" w:rsidRPr="00150ABA" w:rsidRDefault="00920E47" w:rsidP="0005122E">
      <w:pPr>
        <w:pBdr>
          <w:top w:val="nil"/>
          <w:left w:val="nil"/>
          <w:bottom w:val="nil"/>
          <w:right w:val="nil"/>
          <w:between w:val="nil"/>
          <w:bar w:val="nil"/>
        </w:pBdr>
        <w:spacing w:after="240"/>
        <w:rPr>
          <w:rFonts w:eastAsia="Arial Unicode MS"/>
          <w:noProof/>
          <w:szCs w:val="24"/>
        </w:rPr>
      </w:pPr>
      <w:r w:rsidRPr="00150ABA">
        <w:rPr>
          <w:rFonts w:eastAsia="Arial Unicode MS"/>
          <w:noProof/>
          <w:szCs w:val="24"/>
        </w:rPr>
        <w:t>Once the development of the JITs collaboration platform is finalised, eu-LISA will submit a report to the European Parliament and to the Council explaining how the objectives, in particular relating to planning and costs, were achieved.</w:t>
      </w:r>
    </w:p>
    <w:p w14:paraId="2A1A7956" w14:textId="4C96F592" w:rsidR="00920E47" w:rsidRPr="00150ABA" w:rsidRDefault="00920E47" w:rsidP="0005122E">
      <w:pPr>
        <w:pBdr>
          <w:top w:val="nil"/>
          <w:left w:val="nil"/>
          <w:bottom w:val="nil"/>
          <w:right w:val="nil"/>
          <w:between w:val="nil"/>
          <w:bar w:val="nil"/>
        </w:pBdr>
        <w:spacing w:after="240"/>
        <w:rPr>
          <w:rFonts w:eastAsia="Arial Unicode MS"/>
          <w:noProof/>
          <w:szCs w:val="24"/>
        </w:rPr>
      </w:pPr>
      <w:r w:rsidRPr="00150ABA">
        <w:rPr>
          <w:rFonts w:eastAsia="Arial Unicode MS"/>
          <w:noProof/>
          <w:szCs w:val="24"/>
        </w:rPr>
        <w:t xml:space="preserve">Two years after the start of operations of the JITs collaboration platform and every year after that, eu-LISA will submit, to the Commission, a report on the technical functioning of the JITs cooperation platform, including its security. </w:t>
      </w:r>
    </w:p>
    <w:p w14:paraId="54ADAA4A" w14:textId="2C85A90F" w:rsidR="00920E47" w:rsidRPr="00150ABA" w:rsidRDefault="00920E47" w:rsidP="0005122E">
      <w:pPr>
        <w:pBdr>
          <w:top w:val="nil"/>
          <w:left w:val="nil"/>
          <w:bottom w:val="nil"/>
          <w:right w:val="nil"/>
          <w:between w:val="nil"/>
          <w:bar w:val="nil"/>
        </w:pBdr>
        <w:spacing w:after="240"/>
        <w:rPr>
          <w:rFonts w:eastAsia="Arial Unicode MS"/>
          <w:noProof/>
          <w:szCs w:val="24"/>
        </w:rPr>
      </w:pPr>
      <w:r w:rsidRPr="00150ABA">
        <w:rPr>
          <w:rFonts w:eastAsia="Arial Unicode MS"/>
          <w:noProof/>
          <w:szCs w:val="24"/>
        </w:rPr>
        <w:t>Four years after the start of operations of the JITs collaboration platform and every four years after that, the Commission will conduct an overall evaluation of the JITs collaboration platform. The Commission will send the evaluation report to the European Parliament and the Council.</w:t>
      </w:r>
    </w:p>
    <w:p w14:paraId="256AAEC1" w14:textId="77777777" w:rsidR="00920E47" w:rsidRPr="00150ABA" w:rsidRDefault="00920E47" w:rsidP="009D79B9">
      <w:pPr>
        <w:pStyle w:val="Bullet0"/>
        <w:tabs>
          <w:tab w:val="clear" w:pos="850"/>
          <w:tab w:val="num" w:pos="567"/>
        </w:tabs>
        <w:rPr>
          <w:b/>
          <w:noProof/>
        </w:rPr>
      </w:pPr>
      <w:r w:rsidRPr="00150ABA">
        <w:rPr>
          <w:b/>
          <w:noProof/>
        </w:rPr>
        <w:t xml:space="preserve">Detailed explanation of the specific provisions of the proposal </w:t>
      </w:r>
    </w:p>
    <w:p w14:paraId="08BEDBBD" w14:textId="77777777" w:rsidR="00920E47" w:rsidRPr="00150ABA" w:rsidRDefault="00920E47" w:rsidP="008E2629">
      <w:pPr>
        <w:spacing w:before="0" w:after="240" w:line="280" w:lineRule="atLeast"/>
        <w:rPr>
          <w:rFonts w:eastAsia="Times New Roman"/>
          <w:i/>
          <w:noProof/>
          <w:color w:val="000000"/>
          <w:szCs w:val="24"/>
        </w:rPr>
      </w:pPr>
      <w:r w:rsidRPr="00150ABA">
        <w:rPr>
          <w:rFonts w:eastAsia="Times New Roman"/>
          <w:i/>
          <w:noProof/>
          <w:color w:val="000000"/>
          <w:szCs w:val="24"/>
        </w:rPr>
        <w:t xml:space="preserve">Chapter I General provisions </w:t>
      </w:r>
    </w:p>
    <w:p w14:paraId="1D0088ED" w14:textId="7960CABA" w:rsidR="00920E47" w:rsidRPr="00150ABA" w:rsidRDefault="00920E47" w:rsidP="00204DB4">
      <w:pPr>
        <w:pBdr>
          <w:top w:val="nil"/>
          <w:left w:val="nil"/>
          <w:bottom w:val="nil"/>
          <w:right w:val="nil"/>
          <w:between w:val="nil"/>
          <w:bar w:val="nil"/>
        </w:pBdr>
        <w:spacing w:before="0" w:after="240"/>
        <w:rPr>
          <w:rFonts w:eastAsia="Arial Unicode MS"/>
          <w:noProof/>
        </w:rPr>
      </w:pPr>
      <w:r w:rsidRPr="00150ABA">
        <w:rPr>
          <w:rFonts w:eastAsia="Arial Unicode MS"/>
          <w:i/>
          <w:noProof/>
        </w:rPr>
        <w:t>Article 1</w:t>
      </w:r>
      <w:r w:rsidRPr="00150ABA">
        <w:rPr>
          <w:rFonts w:eastAsia="Arial Unicode MS"/>
          <w:noProof/>
        </w:rPr>
        <w:t xml:space="preserve"> sets out the subject matter of the Regulation. The ‘JITs collaboration platform’ is a centralised IT platform at </w:t>
      </w:r>
      <w:r w:rsidR="00133B4C" w:rsidRPr="00150ABA">
        <w:rPr>
          <w:rFonts w:eastAsia="Arial Unicode MS"/>
          <w:noProof/>
        </w:rPr>
        <w:t>EU</w:t>
      </w:r>
      <w:r w:rsidRPr="00150ABA">
        <w:rPr>
          <w:rFonts w:eastAsia="Arial Unicode MS"/>
          <w:noProof/>
        </w:rPr>
        <w:t xml:space="preserve"> level for </w:t>
      </w:r>
      <w:r w:rsidR="00474597" w:rsidRPr="00150ABA">
        <w:rPr>
          <w:rFonts w:eastAsia="Arial Unicode MS"/>
          <w:noProof/>
        </w:rPr>
        <w:t xml:space="preserve">those involved in </w:t>
      </w:r>
      <w:r w:rsidRPr="00150ABA">
        <w:rPr>
          <w:rFonts w:eastAsia="Arial Unicode MS"/>
          <w:noProof/>
        </w:rPr>
        <w:t xml:space="preserve">JITs to collaborate, securely communicate among themselves, and share information and evidence. The Regulation also lays down rules on the division of responsibilities between the </w:t>
      </w:r>
      <w:r w:rsidR="00722F5D" w:rsidRPr="00150ABA">
        <w:rPr>
          <w:noProof/>
          <w:lang w:eastAsia="en-GB"/>
        </w:rPr>
        <w:t xml:space="preserve">JITs collaboration platform users </w:t>
      </w:r>
      <w:r w:rsidRPr="00150ABA">
        <w:rPr>
          <w:rFonts w:eastAsia="Arial Unicode MS"/>
          <w:noProof/>
        </w:rPr>
        <w:t xml:space="preserve">and eu-LISA, the organisation responsible for developing and maintaining the JITs collaboration platform. It sets out conditions, under which </w:t>
      </w:r>
      <w:r w:rsidR="00323A91" w:rsidRPr="00150ABA">
        <w:rPr>
          <w:rFonts w:eastAsia="Arial Unicode MS"/>
          <w:noProof/>
        </w:rPr>
        <w:t xml:space="preserve">the </w:t>
      </w:r>
      <w:r w:rsidR="00323A91" w:rsidRPr="00150ABA">
        <w:rPr>
          <w:noProof/>
          <w:lang w:eastAsia="en-GB"/>
        </w:rPr>
        <w:t xml:space="preserve">JITs collaboration platform users </w:t>
      </w:r>
      <w:r w:rsidRPr="00150ABA">
        <w:rPr>
          <w:rFonts w:eastAsia="Arial Unicode MS"/>
          <w:noProof/>
        </w:rPr>
        <w:t>may be granted access to a JIT colla</w:t>
      </w:r>
      <w:r w:rsidR="00E40458" w:rsidRPr="00150ABA">
        <w:rPr>
          <w:rFonts w:eastAsia="Arial Unicode MS"/>
          <w:noProof/>
        </w:rPr>
        <w:t xml:space="preserve">boration </w:t>
      </w:r>
      <w:r w:rsidRPr="00150ABA">
        <w:rPr>
          <w:rFonts w:eastAsia="Arial Unicode MS"/>
          <w:noProof/>
        </w:rPr>
        <w:t>space. It also lays down specific data protection provisions needed to supplement the existing data protection arrangements and to provide for an overall adequate level of data protection, data security and protection of the fundamental rights of the persons concerned.</w:t>
      </w:r>
    </w:p>
    <w:p w14:paraId="3891A678" w14:textId="77777777" w:rsidR="00920E47" w:rsidRPr="00F417D0" w:rsidRDefault="00920E47" w:rsidP="00204DB4">
      <w:pPr>
        <w:pBdr>
          <w:top w:val="nil"/>
          <w:left w:val="nil"/>
          <w:bottom w:val="nil"/>
          <w:right w:val="nil"/>
          <w:between w:val="nil"/>
          <w:bar w:val="nil"/>
        </w:pBdr>
        <w:spacing w:before="0" w:after="240"/>
      </w:pPr>
      <w:r w:rsidRPr="00150ABA">
        <w:rPr>
          <w:rFonts w:eastAsia="Arial Unicode MS"/>
          <w:i/>
          <w:noProof/>
        </w:rPr>
        <w:t>Article 2</w:t>
      </w:r>
      <w:r w:rsidRPr="00150ABA">
        <w:rPr>
          <w:rStyle w:val="Marker1"/>
          <w:noProof/>
        </w:rPr>
        <w:t xml:space="preserve"> </w:t>
      </w:r>
      <w:r w:rsidRPr="00150ABA">
        <w:rPr>
          <w:rFonts w:eastAsia="Arial Unicode MS"/>
          <w:noProof/>
        </w:rPr>
        <w:t>defines the scope of the Regulation. The Regulation applies to the processing of information, including personal data, within the context of a JIT. This includes the exchange and storage of operational information and evidence as well as non-operational information. This Regulation covers the operational and post-operational phases of a JIT, starting from the moment the relevant JIT agreement has been signed by its members.</w:t>
      </w:r>
    </w:p>
    <w:p w14:paraId="46AC102D" w14:textId="2A4F8743" w:rsidR="00920E47" w:rsidRPr="00F417D0" w:rsidRDefault="00920E47" w:rsidP="00204DB4">
      <w:pPr>
        <w:pBdr>
          <w:top w:val="nil"/>
          <w:left w:val="nil"/>
          <w:bottom w:val="nil"/>
          <w:right w:val="nil"/>
          <w:between w:val="nil"/>
          <w:bar w:val="nil"/>
        </w:pBdr>
        <w:spacing w:before="0" w:after="240"/>
      </w:pPr>
      <w:r w:rsidRPr="00150ABA">
        <w:rPr>
          <w:rFonts w:eastAsia="Arial Unicode MS"/>
          <w:i/>
          <w:noProof/>
        </w:rPr>
        <w:t>Article 3</w:t>
      </w:r>
      <w:r w:rsidRPr="00150ABA">
        <w:rPr>
          <w:rStyle w:val="Marker1"/>
          <w:noProof/>
        </w:rPr>
        <w:t xml:space="preserve"> </w:t>
      </w:r>
      <w:r w:rsidRPr="00150ABA">
        <w:rPr>
          <w:rFonts w:eastAsia="Arial Unicode MS"/>
          <w:noProof/>
        </w:rPr>
        <w:t>defines the terms used in the Regulation.</w:t>
      </w:r>
    </w:p>
    <w:p w14:paraId="51F56C3B" w14:textId="0FB245A0" w:rsidR="00920E47" w:rsidRPr="00F417D0" w:rsidRDefault="00920E47" w:rsidP="00204DB4">
      <w:pPr>
        <w:pBdr>
          <w:top w:val="nil"/>
          <w:left w:val="nil"/>
          <w:bottom w:val="nil"/>
          <w:right w:val="nil"/>
          <w:between w:val="nil"/>
          <w:bar w:val="nil"/>
        </w:pBdr>
        <w:spacing w:before="0" w:after="240"/>
      </w:pPr>
      <w:r w:rsidRPr="00150ABA">
        <w:rPr>
          <w:rFonts w:eastAsia="Arial Unicode MS"/>
          <w:i/>
          <w:noProof/>
        </w:rPr>
        <w:t>Article 4</w:t>
      </w:r>
      <w:r w:rsidRPr="00150ABA">
        <w:rPr>
          <w:rStyle w:val="Marker1"/>
          <w:noProof/>
        </w:rPr>
        <w:t xml:space="preserve"> </w:t>
      </w:r>
      <w:r w:rsidRPr="00150ABA">
        <w:rPr>
          <w:rFonts w:eastAsia="Arial Unicode MS"/>
          <w:noProof/>
        </w:rPr>
        <w:t xml:space="preserve">describes the technical architecture of the JITs collaboration platform. The JITs collaboration platform must be composed of a centralised information system, which allows for a temporary central data storage; a communication software, which allows for local storage of communication data; and a connection between the centralised information system and relevant IT tools, supporting functioning of JITs, </w:t>
      </w:r>
      <w:r w:rsidR="00323A91" w:rsidRPr="00150ABA">
        <w:rPr>
          <w:rFonts w:eastAsia="Arial Unicode MS"/>
          <w:noProof/>
        </w:rPr>
        <w:t xml:space="preserve">hosted at Eurojust and </w:t>
      </w:r>
      <w:r w:rsidRPr="00150ABA">
        <w:rPr>
          <w:rFonts w:eastAsia="Arial Unicode MS"/>
          <w:noProof/>
        </w:rPr>
        <w:t>managed by the JIT Secretariat and.</w:t>
      </w:r>
    </w:p>
    <w:p w14:paraId="4F460420" w14:textId="7B5834F4" w:rsidR="00920E47" w:rsidRPr="00F417D0" w:rsidRDefault="00920E47" w:rsidP="00204DB4">
      <w:pPr>
        <w:pBdr>
          <w:top w:val="nil"/>
          <w:left w:val="nil"/>
          <w:bottom w:val="nil"/>
          <w:right w:val="nil"/>
          <w:between w:val="nil"/>
          <w:bar w:val="nil"/>
        </w:pBdr>
        <w:spacing w:before="0" w:after="240"/>
      </w:pPr>
      <w:r w:rsidRPr="00150ABA">
        <w:rPr>
          <w:rFonts w:eastAsia="Arial Unicode MS"/>
          <w:i/>
          <w:noProof/>
        </w:rPr>
        <w:t>Article 5</w:t>
      </w:r>
      <w:r w:rsidRPr="00150ABA">
        <w:rPr>
          <w:noProof/>
        </w:rPr>
        <w:t xml:space="preserve"> sets out</w:t>
      </w:r>
      <w:r w:rsidRPr="00150ABA">
        <w:rPr>
          <w:rFonts w:eastAsia="Arial Unicode MS"/>
          <w:noProof/>
        </w:rPr>
        <w:t xml:space="preserve"> the purpose of the JITs collaboration platform, which is to ease the daily coordination and management of a JIT; the exchange of operational information and evidence; secure communications; evidence traceability; and the evaluation of a JIT. The centralised information system is to be hosted by eu-LISA at its technical sites.</w:t>
      </w:r>
    </w:p>
    <w:p w14:paraId="4C1920A8" w14:textId="77777777" w:rsidR="00920E47" w:rsidRPr="00150ABA" w:rsidRDefault="00920E47" w:rsidP="008E2629">
      <w:pPr>
        <w:spacing w:before="0" w:after="240" w:line="280" w:lineRule="atLeast"/>
        <w:rPr>
          <w:rFonts w:eastAsia="Times New Roman"/>
          <w:i/>
          <w:noProof/>
          <w:color w:val="000000"/>
          <w:szCs w:val="24"/>
        </w:rPr>
      </w:pPr>
      <w:r w:rsidRPr="00150ABA">
        <w:rPr>
          <w:rFonts w:eastAsia="Times New Roman"/>
          <w:i/>
          <w:noProof/>
          <w:color w:val="000000"/>
          <w:szCs w:val="24"/>
        </w:rPr>
        <w:t>Chapter II: Development and operational management</w:t>
      </w:r>
    </w:p>
    <w:p w14:paraId="7B06AF7C" w14:textId="0A15A66B" w:rsidR="00920E47" w:rsidRPr="00150ABA" w:rsidRDefault="00920E47" w:rsidP="00204DB4">
      <w:pPr>
        <w:pBdr>
          <w:top w:val="nil"/>
          <w:left w:val="nil"/>
          <w:bottom w:val="nil"/>
          <w:right w:val="nil"/>
          <w:between w:val="nil"/>
          <w:bar w:val="nil"/>
        </w:pBdr>
        <w:spacing w:before="0" w:after="240"/>
        <w:rPr>
          <w:noProof/>
        </w:rPr>
      </w:pPr>
      <w:r w:rsidRPr="00150ABA">
        <w:rPr>
          <w:rFonts w:eastAsia="Arial Unicode MS"/>
          <w:i/>
          <w:noProof/>
        </w:rPr>
        <w:t>Article 6</w:t>
      </w:r>
      <w:r w:rsidRPr="00150ABA">
        <w:rPr>
          <w:rStyle w:val="Marker1"/>
          <w:noProof/>
        </w:rPr>
        <w:t xml:space="preserve"> </w:t>
      </w:r>
      <w:r w:rsidRPr="00150ABA">
        <w:rPr>
          <w:rFonts w:eastAsia="Arial Unicode MS"/>
          <w:noProof/>
        </w:rPr>
        <w:t>confers implementing powers on the Commission to establish conditions for the technical development and implementation of the JITs collaboration platform. Those powers should be exercised in line with Regulation (EU) No 182/2011. The comitology procedure chosen is the examination procedure. Article 2</w:t>
      </w:r>
      <w:r w:rsidR="00323A91" w:rsidRPr="00150ABA">
        <w:rPr>
          <w:rFonts w:eastAsia="Arial Unicode MS"/>
          <w:noProof/>
        </w:rPr>
        <w:t>5</w:t>
      </w:r>
      <w:r w:rsidRPr="00150ABA">
        <w:rPr>
          <w:rFonts w:eastAsia="Arial Unicode MS"/>
          <w:noProof/>
        </w:rPr>
        <w:t xml:space="preserve"> supplements Article 6 on the establishment of this procedure.</w:t>
      </w:r>
      <w:r w:rsidRPr="00150ABA">
        <w:rPr>
          <w:noProof/>
        </w:rPr>
        <w:t xml:space="preserve"> </w:t>
      </w:r>
    </w:p>
    <w:p w14:paraId="4A871BD0" w14:textId="318345F3" w:rsidR="00920E47" w:rsidRPr="00150ABA" w:rsidRDefault="00920E47" w:rsidP="00204DB4">
      <w:pPr>
        <w:pBdr>
          <w:top w:val="nil"/>
          <w:left w:val="nil"/>
          <w:bottom w:val="nil"/>
          <w:right w:val="nil"/>
          <w:between w:val="nil"/>
          <w:bar w:val="nil"/>
        </w:pBdr>
        <w:spacing w:before="0" w:after="240"/>
        <w:rPr>
          <w:noProof/>
        </w:rPr>
      </w:pPr>
      <w:r w:rsidRPr="00150ABA">
        <w:rPr>
          <w:rFonts w:eastAsia="Arial Unicode MS"/>
          <w:i/>
          <w:noProof/>
        </w:rPr>
        <w:t>Article 7</w:t>
      </w:r>
      <w:r w:rsidRPr="00150ABA">
        <w:rPr>
          <w:noProof/>
        </w:rPr>
        <w:t xml:space="preserve"> grants</w:t>
      </w:r>
      <w:r w:rsidRPr="00150ABA">
        <w:rPr>
          <w:rFonts w:eastAsia="Arial Unicode MS"/>
          <w:noProof/>
        </w:rPr>
        <w:t xml:space="preserve"> eu-LISA the task of designing, developing and operating the JITs collaboration platform, given its experience with managing large-scale systems in the area of justice and home affairs. Its mandate should be amended to reflect those new tasks. eu-LISA should be equipped with the appropriate funding and staffing to meet its responsibilities under this Regulation.</w:t>
      </w:r>
    </w:p>
    <w:p w14:paraId="3C42C677" w14:textId="2AD4BC16" w:rsidR="00920E47" w:rsidRPr="00150ABA" w:rsidRDefault="00920E47" w:rsidP="00204DB4">
      <w:pPr>
        <w:pBdr>
          <w:top w:val="nil"/>
          <w:left w:val="nil"/>
          <w:bottom w:val="nil"/>
          <w:right w:val="nil"/>
          <w:between w:val="nil"/>
          <w:bar w:val="nil"/>
        </w:pBdr>
        <w:spacing w:before="0" w:after="240"/>
        <w:rPr>
          <w:noProof/>
        </w:rPr>
      </w:pPr>
      <w:r w:rsidRPr="00150ABA">
        <w:rPr>
          <w:rFonts w:eastAsia="Arial Unicode MS"/>
          <w:i/>
          <w:noProof/>
        </w:rPr>
        <w:t>Article 8</w:t>
      </w:r>
      <w:r w:rsidRPr="00150ABA">
        <w:rPr>
          <w:noProof/>
        </w:rPr>
        <w:t xml:space="preserve"> requires</w:t>
      </w:r>
      <w:r w:rsidRPr="00150ABA">
        <w:rPr>
          <w:rFonts w:eastAsia="Arial Unicode MS"/>
          <w:noProof/>
        </w:rPr>
        <w:t xml:space="preserve"> Member States to put in place technical arrangements so that their competent authorities can access the JITs collaboration platform in line with this Regulation.</w:t>
      </w:r>
    </w:p>
    <w:p w14:paraId="68C49D24" w14:textId="58F99CC6" w:rsidR="00920E47" w:rsidRPr="00F417D0" w:rsidRDefault="00920E47" w:rsidP="00204DB4">
      <w:pPr>
        <w:pBdr>
          <w:top w:val="nil"/>
          <w:left w:val="nil"/>
          <w:bottom w:val="nil"/>
          <w:right w:val="nil"/>
          <w:between w:val="nil"/>
          <w:bar w:val="nil"/>
        </w:pBdr>
        <w:spacing w:before="0" w:after="240"/>
      </w:pPr>
      <w:r w:rsidRPr="00150ABA">
        <w:rPr>
          <w:rFonts w:eastAsia="Arial Unicode MS"/>
          <w:i/>
          <w:noProof/>
        </w:rPr>
        <w:t>Article 9</w:t>
      </w:r>
      <w:r w:rsidRPr="00150ABA">
        <w:rPr>
          <w:noProof/>
        </w:rPr>
        <w:t xml:space="preserve"> states</w:t>
      </w:r>
      <w:r w:rsidRPr="00150ABA">
        <w:rPr>
          <w:rFonts w:eastAsia="Arial Unicode MS"/>
          <w:noProof/>
        </w:rPr>
        <w:t xml:space="preserve"> that </w:t>
      </w:r>
      <w:r w:rsidR="00C66019" w:rsidRPr="00150ABA">
        <w:rPr>
          <w:rFonts w:eastAsia="Arial Unicode MS"/>
          <w:noProof/>
        </w:rPr>
        <w:t xml:space="preserve">the </w:t>
      </w:r>
      <w:r w:rsidR="00323A91" w:rsidRPr="00150ABA">
        <w:rPr>
          <w:rFonts w:eastAsia="Arial Unicode MS"/>
          <w:noProof/>
        </w:rPr>
        <w:t xml:space="preserve">competent Union bodies, offices and agencies </w:t>
      </w:r>
      <w:r w:rsidRPr="00150ABA">
        <w:rPr>
          <w:rFonts w:eastAsia="Arial Unicode MS"/>
          <w:noProof/>
        </w:rPr>
        <w:t>must put in place technical arrangements so that they can access the JITs collaboration platform in line with this Regulation. In addition, Eurojust is responsible for the technical adaptation of its systems to establish a connection between the centralised information system and relevant IT tools, supporting functioning of JITs</w:t>
      </w:r>
      <w:r w:rsidR="00323A91" w:rsidRPr="00150ABA">
        <w:rPr>
          <w:rFonts w:eastAsia="Arial Unicode MS"/>
          <w:noProof/>
        </w:rPr>
        <w:t xml:space="preserve"> and </w:t>
      </w:r>
      <w:r w:rsidRPr="00150ABA">
        <w:rPr>
          <w:rFonts w:eastAsia="Arial Unicode MS"/>
          <w:noProof/>
        </w:rPr>
        <w:t>managed by the JIT Secretariat, in line with Article 4(c).</w:t>
      </w:r>
    </w:p>
    <w:p w14:paraId="59CD6D15" w14:textId="15630881" w:rsidR="00920E47" w:rsidRPr="00150ABA" w:rsidRDefault="00920E47" w:rsidP="00204DB4">
      <w:pPr>
        <w:pBdr>
          <w:top w:val="nil"/>
          <w:left w:val="nil"/>
          <w:bottom w:val="nil"/>
          <w:right w:val="nil"/>
          <w:between w:val="nil"/>
          <w:bar w:val="nil"/>
        </w:pBdr>
        <w:spacing w:before="0" w:after="240"/>
        <w:rPr>
          <w:rFonts w:eastAsia="Arial Unicode MS"/>
          <w:noProof/>
        </w:rPr>
      </w:pPr>
      <w:r w:rsidRPr="00150ABA">
        <w:rPr>
          <w:rFonts w:eastAsia="Arial Unicode MS"/>
          <w:i/>
          <w:noProof/>
        </w:rPr>
        <w:t>Article 10</w:t>
      </w:r>
      <w:r w:rsidRPr="00150ABA">
        <w:rPr>
          <w:rFonts w:eastAsia="Arial Unicode MS"/>
          <w:noProof/>
        </w:rPr>
        <w:t xml:space="preserve"> defines the mandate, composition and organisational aspects of a Programme Management Board to be set up by the eu-LISA Management Board. This Programme Management Board must adequately manage the design and development phase of the JITs collaboration platform.</w:t>
      </w:r>
    </w:p>
    <w:p w14:paraId="38DE93E6" w14:textId="417A80BE" w:rsidR="00920E47" w:rsidRPr="00150ABA" w:rsidRDefault="00920E47" w:rsidP="00204DB4">
      <w:pPr>
        <w:pBdr>
          <w:top w:val="nil"/>
          <w:left w:val="nil"/>
          <w:bottom w:val="nil"/>
          <w:right w:val="nil"/>
          <w:between w:val="nil"/>
          <w:bar w:val="nil"/>
        </w:pBdr>
        <w:spacing w:before="0" w:after="240"/>
        <w:rPr>
          <w:rFonts w:eastAsia="Arial Unicode MS"/>
          <w:noProof/>
        </w:rPr>
      </w:pPr>
      <w:r w:rsidRPr="00150ABA">
        <w:rPr>
          <w:rFonts w:eastAsia="Arial Unicode MS"/>
          <w:i/>
          <w:noProof/>
        </w:rPr>
        <w:t>Article 11</w:t>
      </w:r>
      <w:r w:rsidRPr="00150ABA">
        <w:rPr>
          <w:rFonts w:eastAsia="Arial Unicode MS"/>
          <w:noProof/>
        </w:rPr>
        <w:t xml:space="preserve"> defines the mandate, composition and organisation aspects of an Advisory Group to be established by eu-LISA. The Advisory Group will provide expertise related to the JITs collaboration platform, in particular in the context of preparation of its annual work programme and its annual activity report.</w:t>
      </w:r>
    </w:p>
    <w:p w14:paraId="4DDCAD27" w14:textId="77777777" w:rsidR="00920E47" w:rsidRPr="00150ABA" w:rsidRDefault="00920E47" w:rsidP="008E2629">
      <w:pPr>
        <w:spacing w:before="0" w:after="240" w:line="280" w:lineRule="atLeast"/>
        <w:rPr>
          <w:rFonts w:eastAsia="Times New Roman"/>
          <w:i/>
          <w:noProof/>
          <w:color w:val="000000"/>
          <w:szCs w:val="24"/>
        </w:rPr>
      </w:pPr>
      <w:r w:rsidRPr="00150ABA">
        <w:rPr>
          <w:rFonts w:eastAsia="Times New Roman"/>
          <w:i/>
          <w:noProof/>
          <w:color w:val="000000"/>
          <w:szCs w:val="24"/>
        </w:rPr>
        <w:t>Chapter III: Access to the JITs collaboration platform</w:t>
      </w:r>
    </w:p>
    <w:p w14:paraId="25EB9FC4" w14:textId="5246697C" w:rsidR="00920E47" w:rsidRPr="00150ABA" w:rsidRDefault="00920E47" w:rsidP="00204DB4">
      <w:pPr>
        <w:pBdr>
          <w:top w:val="nil"/>
          <w:left w:val="nil"/>
          <w:bottom w:val="nil"/>
          <w:right w:val="nil"/>
          <w:between w:val="nil"/>
          <w:bar w:val="nil"/>
        </w:pBdr>
        <w:spacing w:before="0" w:after="240"/>
        <w:rPr>
          <w:rFonts w:eastAsia="Arial Unicode MS"/>
          <w:noProof/>
        </w:rPr>
      </w:pPr>
      <w:r w:rsidRPr="00150ABA">
        <w:rPr>
          <w:rFonts w:eastAsia="Arial Unicode MS"/>
          <w:i/>
          <w:noProof/>
        </w:rPr>
        <w:t>Article 12</w:t>
      </w:r>
      <w:r w:rsidRPr="00150ABA">
        <w:rPr>
          <w:rFonts w:eastAsia="Arial Unicode MS"/>
          <w:noProof/>
        </w:rPr>
        <w:t xml:space="preserve"> governs access to the JIT collaboration spaces by Member States’ competent authorities.  Following the signature of the JIT agreement, a JIT collaboration space must be created within the JIT</w:t>
      </w:r>
      <w:r w:rsidR="00160ED8" w:rsidRPr="00150ABA">
        <w:rPr>
          <w:rFonts w:eastAsia="Arial Unicode MS"/>
          <w:noProof/>
        </w:rPr>
        <w:t>s</w:t>
      </w:r>
      <w:r w:rsidRPr="00150ABA">
        <w:rPr>
          <w:rFonts w:eastAsia="Arial Unicode MS"/>
          <w:noProof/>
        </w:rPr>
        <w:t xml:space="preserve"> collaboration platform for each JIT. The JIT collaboration space must be opened by the JIT space administrator(s), with the technical support of eu-LISA. Based on the JIT agreement, the JIT space administrator(s) must define the access rights to the JIT collaboration space.</w:t>
      </w:r>
    </w:p>
    <w:p w14:paraId="5B5CD993" w14:textId="06FDC0A4" w:rsidR="00920E47" w:rsidRPr="00150ABA" w:rsidRDefault="00920E47" w:rsidP="00204DB4">
      <w:pPr>
        <w:pBdr>
          <w:top w:val="nil"/>
          <w:left w:val="nil"/>
          <w:bottom w:val="nil"/>
          <w:right w:val="nil"/>
          <w:between w:val="nil"/>
          <w:bar w:val="nil"/>
        </w:pBdr>
        <w:spacing w:before="0" w:after="240"/>
        <w:rPr>
          <w:rFonts w:eastAsia="Arial Unicode MS"/>
          <w:noProof/>
        </w:rPr>
      </w:pPr>
      <w:r w:rsidRPr="00150ABA">
        <w:rPr>
          <w:rFonts w:eastAsia="Arial Unicode MS"/>
          <w:i/>
          <w:noProof/>
        </w:rPr>
        <w:t>Article 13</w:t>
      </w:r>
      <w:r w:rsidRPr="00150ABA">
        <w:rPr>
          <w:rFonts w:eastAsia="Arial Unicode MS"/>
          <w:noProof/>
        </w:rPr>
        <w:t xml:space="preserve"> states that the JIT space administrator(s) may decide to grant access to the JIT collaboration spaces to </w:t>
      </w:r>
      <w:r w:rsidR="00C66019" w:rsidRPr="00150ABA">
        <w:rPr>
          <w:rFonts w:eastAsia="Arial Unicode MS"/>
          <w:noProof/>
        </w:rPr>
        <w:t xml:space="preserve">the </w:t>
      </w:r>
      <w:r w:rsidR="00357952" w:rsidRPr="00150ABA">
        <w:rPr>
          <w:rFonts w:eastAsia="Arial Unicode MS"/>
          <w:noProof/>
        </w:rPr>
        <w:t xml:space="preserve">competent Union bodies, offices and agencies </w:t>
      </w:r>
      <w:r w:rsidRPr="00150ABA">
        <w:rPr>
          <w:rFonts w:eastAsia="Arial Unicode MS"/>
          <w:noProof/>
        </w:rPr>
        <w:t xml:space="preserve">for them to fulfil their statutory tasks. </w:t>
      </w:r>
    </w:p>
    <w:p w14:paraId="1413BF29" w14:textId="3A51BFF6" w:rsidR="00920E47" w:rsidRPr="00150ABA" w:rsidRDefault="00920E47" w:rsidP="00204DB4">
      <w:pPr>
        <w:pBdr>
          <w:top w:val="nil"/>
          <w:left w:val="nil"/>
          <w:bottom w:val="nil"/>
          <w:right w:val="nil"/>
          <w:between w:val="nil"/>
          <w:bar w:val="nil"/>
        </w:pBdr>
        <w:spacing w:before="0" w:after="240"/>
        <w:rPr>
          <w:rFonts w:eastAsia="Arial Unicode MS"/>
          <w:noProof/>
        </w:rPr>
      </w:pPr>
      <w:r w:rsidRPr="00150ABA">
        <w:rPr>
          <w:rFonts w:eastAsia="Arial Unicode MS"/>
          <w:i/>
          <w:noProof/>
        </w:rPr>
        <w:t>Article 14</w:t>
      </w:r>
      <w:r w:rsidRPr="00150ABA">
        <w:rPr>
          <w:rFonts w:eastAsia="Arial Unicode MS"/>
          <w:noProof/>
        </w:rPr>
        <w:t xml:space="preserve"> states that</w:t>
      </w:r>
      <w:r w:rsidR="005A08A0" w:rsidRPr="00150ABA">
        <w:rPr>
          <w:rFonts w:eastAsia="Arial Unicode MS"/>
          <w:noProof/>
        </w:rPr>
        <w:t xml:space="preserve"> for the purpose of</w:t>
      </w:r>
      <w:r w:rsidRPr="00150ABA">
        <w:rPr>
          <w:rFonts w:eastAsia="Arial Unicode MS"/>
          <w:noProof/>
        </w:rPr>
        <w:t xml:space="preserve"> </w:t>
      </w:r>
      <w:r w:rsidR="005A08A0" w:rsidRPr="00150ABA">
        <w:rPr>
          <w:rFonts w:eastAsia="Arial Unicode MS"/>
          <w:noProof/>
        </w:rPr>
        <w:t xml:space="preserve">Article 5, </w:t>
      </w:r>
      <w:r w:rsidRPr="00150ABA">
        <w:rPr>
          <w:rFonts w:eastAsia="Arial Unicode MS"/>
          <w:noProof/>
        </w:rPr>
        <w:t xml:space="preserve">the JIT space administrator(s) may decide to grant access to the JIT collaboration spaces to third </w:t>
      </w:r>
      <w:r w:rsidR="002457C2" w:rsidRPr="00150ABA">
        <w:rPr>
          <w:rFonts w:eastAsia="Arial Unicode MS"/>
          <w:noProof/>
        </w:rPr>
        <w:t>countries</w:t>
      </w:r>
      <w:r w:rsidRPr="00150ABA">
        <w:rPr>
          <w:rFonts w:eastAsia="Arial Unicode MS"/>
          <w:noProof/>
        </w:rPr>
        <w:t xml:space="preserve"> which have signed a particular JITs agreement</w:t>
      </w:r>
      <w:r w:rsidR="005A08A0" w:rsidRPr="00150ABA">
        <w:rPr>
          <w:rFonts w:eastAsia="Arial Unicode MS"/>
          <w:noProof/>
        </w:rPr>
        <w:t>.</w:t>
      </w:r>
      <w:r w:rsidRPr="00150ABA">
        <w:rPr>
          <w:rFonts w:eastAsia="Arial Unicode MS"/>
          <w:noProof/>
        </w:rPr>
        <w:t xml:space="preserve"> The JIT space administrator(s) must ensure that exchanges of operational information with third </w:t>
      </w:r>
      <w:r w:rsidR="002457C2" w:rsidRPr="00150ABA">
        <w:rPr>
          <w:rFonts w:eastAsia="Arial Unicode MS"/>
          <w:noProof/>
        </w:rPr>
        <w:t xml:space="preserve">countries </w:t>
      </w:r>
      <w:r w:rsidRPr="00150ABA">
        <w:rPr>
          <w:rFonts w:eastAsia="Arial Unicode MS"/>
          <w:noProof/>
        </w:rPr>
        <w:t xml:space="preserve">that have been granted access to a JIT collaboration space are limited to the purpose and subject to the conditions of the JIT agreement. Member States must ensure that transfers of personal data to third </w:t>
      </w:r>
      <w:r w:rsidR="002457C2" w:rsidRPr="00150ABA">
        <w:rPr>
          <w:rFonts w:eastAsia="Arial Unicode MS"/>
          <w:noProof/>
        </w:rPr>
        <w:t xml:space="preserve">countries </w:t>
      </w:r>
      <w:r w:rsidRPr="00150ABA">
        <w:rPr>
          <w:rFonts w:eastAsia="Arial Unicode MS"/>
          <w:noProof/>
        </w:rPr>
        <w:t>that have been granted access to a JIT collaboration space only take place when the conditions laid down in Chapter V of Directive 2016/680 are met.</w:t>
      </w:r>
    </w:p>
    <w:p w14:paraId="54994ACE" w14:textId="77777777" w:rsidR="00920E47" w:rsidRPr="00150ABA" w:rsidRDefault="00920E47" w:rsidP="008E2629">
      <w:pPr>
        <w:spacing w:before="0" w:after="240" w:line="280" w:lineRule="atLeast"/>
        <w:rPr>
          <w:rFonts w:eastAsia="Times New Roman"/>
          <w:i/>
          <w:noProof/>
          <w:color w:val="000000"/>
          <w:szCs w:val="24"/>
        </w:rPr>
      </w:pPr>
      <w:r w:rsidRPr="00150ABA">
        <w:rPr>
          <w:rFonts w:eastAsia="Times New Roman"/>
          <w:i/>
          <w:noProof/>
          <w:color w:val="000000"/>
          <w:szCs w:val="24"/>
        </w:rPr>
        <w:t>Chapter IV: Security and liability</w:t>
      </w:r>
    </w:p>
    <w:p w14:paraId="17D7A28C" w14:textId="538F253D" w:rsidR="00920E47" w:rsidRPr="00150ABA" w:rsidRDefault="00920E47" w:rsidP="00204DB4">
      <w:pPr>
        <w:pBdr>
          <w:top w:val="nil"/>
          <w:left w:val="nil"/>
          <w:bottom w:val="nil"/>
          <w:right w:val="nil"/>
          <w:between w:val="nil"/>
          <w:bar w:val="nil"/>
        </w:pBdr>
        <w:spacing w:before="0" w:after="240"/>
        <w:rPr>
          <w:rFonts w:eastAsia="Arial Unicode MS"/>
          <w:noProof/>
        </w:rPr>
      </w:pPr>
      <w:r w:rsidRPr="00150ABA">
        <w:rPr>
          <w:rFonts w:eastAsia="Arial Unicode MS"/>
          <w:i/>
          <w:noProof/>
        </w:rPr>
        <w:t>Article 15</w:t>
      </w:r>
      <w:r w:rsidRPr="00150ABA">
        <w:rPr>
          <w:rFonts w:eastAsia="Arial Unicode MS"/>
          <w:noProof/>
        </w:rPr>
        <w:t xml:space="preserve"> requires eu-LISA to take the necessary technical and organisational measures to ensure the security of the JITs collaboration platform and security of the data within the JITs collaboration platform.</w:t>
      </w:r>
    </w:p>
    <w:p w14:paraId="468382F1" w14:textId="506457E4" w:rsidR="00920E47" w:rsidRPr="00F417D0" w:rsidRDefault="00920E47" w:rsidP="00204DB4">
      <w:pPr>
        <w:pBdr>
          <w:top w:val="nil"/>
          <w:left w:val="nil"/>
          <w:bottom w:val="nil"/>
          <w:right w:val="nil"/>
          <w:between w:val="nil"/>
          <w:bar w:val="nil"/>
        </w:pBdr>
        <w:spacing w:before="0" w:after="240"/>
      </w:pPr>
      <w:r w:rsidRPr="00150ABA">
        <w:rPr>
          <w:rFonts w:eastAsia="Arial Unicode MS"/>
          <w:i/>
          <w:noProof/>
        </w:rPr>
        <w:t>Article 16</w:t>
      </w:r>
      <w:r w:rsidRPr="00150ABA">
        <w:rPr>
          <w:rFonts w:eastAsia="Arial Unicode MS"/>
          <w:noProof/>
        </w:rPr>
        <w:t xml:space="preserve"> refers to liability </w:t>
      </w:r>
      <w:r w:rsidRPr="00150ABA">
        <w:rPr>
          <w:rFonts w:eastAsia="Times New Roman"/>
          <w:iCs/>
          <w:noProof/>
          <w:szCs w:val="24"/>
          <w:lang w:eastAsia="en-GB"/>
        </w:rPr>
        <w:t>of the Member States</w:t>
      </w:r>
      <w:r w:rsidR="00357952" w:rsidRPr="00150ABA">
        <w:rPr>
          <w:rFonts w:eastAsia="Times New Roman"/>
          <w:iCs/>
          <w:noProof/>
          <w:szCs w:val="24"/>
          <w:lang w:eastAsia="en-GB"/>
        </w:rPr>
        <w:t xml:space="preserve"> or </w:t>
      </w:r>
      <w:r w:rsidR="00C66019" w:rsidRPr="00150ABA">
        <w:rPr>
          <w:rFonts w:eastAsia="Times New Roman"/>
          <w:iCs/>
          <w:noProof/>
          <w:szCs w:val="24"/>
          <w:lang w:eastAsia="en-GB"/>
        </w:rPr>
        <w:t xml:space="preserve">the </w:t>
      </w:r>
      <w:r w:rsidR="00357952" w:rsidRPr="00150ABA">
        <w:rPr>
          <w:noProof/>
        </w:rPr>
        <w:t>competent Union bodies, offices or agencies</w:t>
      </w:r>
      <w:r w:rsidRPr="00150ABA">
        <w:rPr>
          <w:rFonts w:eastAsia="Times New Roman"/>
          <w:iCs/>
          <w:noProof/>
          <w:szCs w:val="24"/>
          <w:lang w:eastAsia="en-GB"/>
        </w:rPr>
        <w:t xml:space="preserve"> and claims for compensation against the</w:t>
      </w:r>
      <w:r w:rsidR="00357952" w:rsidRPr="00150ABA">
        <w:rPr>
          <w:rFonts w:eastAsia="Times New Roman"/>
          <w:iCs/>
          <w:noProof/>
          <w:szCs w:val="24"/>
          <w:lang w:eastAsia="en-GB"/>
        </w:rPr>
        <w:t>m</w:t>
      </w:r>
      <w:r w:rsidRPr="00150ABA">
        <w:rPr>
          <w:rFonts w:eastAsia="Times New Roman"/>
          <w:iCs/>
          <w:noProof/>
          <w:szCs w:val="24"/>
          <w:lang w:eastAsia="en-GB"/>
        </w:rPr>
        <w:t>.</w:t>
      </w:r>
    </w:p>
    <w:p w14:paraId="3E43263A" w14:textId="77777777" w:rsidR="00920E47" w:rsidRPr="00150ABA" w:rsidRDefault="00920E47" w:rsidP="008E2629">
      <w:pPr>
        <w:spacing w:before="0" w:after="240" w:line="280" w:lineRule="atLeast"/>
        <w:rPr>
          <w:rFonts w:eastAsia="Times New Roman"/>
          <w:i/>
          <w:noProof/>
          <w:color w:val="000000"/>
          <w:szCs w:val="24"/>
        </w:rPr>
      </w:pPr>
      <w:r w:rsidRPr="00150ABA">
        <w:rPr>
          <w:rFonts w:eastAsia="Times New Roman"/>
          <w:i/>
          <w:noProof/>
          <w:color w:val="000000"/>
          <w:szCs w:val="24"/>
        </w:rPr>
        <w:t>Chapter V: Data protection</w:t>
      </w:r>
    </w:p>
    <w:p w14:paraId="311E4E45" w14:textId="62BED1CC" w:rsidR="00920E47" w:rsidRPr="00150ABA" w:rsidRDefault="00920E47" w:rsidP="00A67E8D">
      <w:pPr>
        <w:shd w:val="clear" w:color="auto" w:fill="FFFFFF" w:themeFill="background1"/>
        <w:spacing w:before="0" w:after="240"/>
        <w:rPr>
          <w:noProof/>
        </w:rPr>
      </w:pPr>
      <w:r w:rsidRPr="00150ABA">
        <w:rPr>
          <w:i/>
          <w:iCs/>
          <w:noProof/>
        </w:rPr>
        <w:t xml:space="preserve">Article 17 </w:t>
      </w:r>
      <w:r w:rsidRPr="00150ABA">
        <w:rPr>
          <w:iCs/>
          <w:noProof/>
        </w:rPr>
        <w:t>governs the retention period for storing operational data, as defined in Article 3. Such operational data must</w:t>
      </w:r>
      <w:r w:rsidRPr="00150ABA">
        <w:rPr>
          <w:noProof/>
        </w:rPr>
        <w:t xml:space="preserve"> be stored in the centralised information system for as long as needed so that all users complete the downloading process. Th</w:t>
      </w:r>
      <w:r w:rsidR="006640FC" w:rsidRPr="00150ABA">
        <w:rPr>
          <w:noProof/>
        </w:rPr>
        <w:t>e</w:t>
      </w:r>
      <w:r w:rsidRPr="00150ABA">
        <w:rPr>
          <w:noProof/>
        </w:rPr>
        <w:t xml:space="preserve"> retention period must not exceed four weeks. Upon expiry of this retention period, the data record must be automatically erased from the centralised system. </w:t>
      </w:r>
    </w:p>
    <w:p w14:paraId="72AD86AE" w14:textId="5E41B0ED" w:rsidR="00920E47" w:rsidRPr="00150ABA" w:rsidRDefault="00920E47" w:rsidP="00A67E8D">
      <w:pPr>
        <w:shd w:val="clear" w:color="auto" w:fill="FFFFFF" w:themeFill="background1"/>
        <w:spacing w:before="0" w:after="240"/>
        <w:rPr>
          <w:noProof/>
        </w:rPr>
      </w:pPr>
      <w:r w:rsidRPr="00150ABA">
        <w:rPr>
          <w:i/>
          <w:noProof/>
        </w:rPr>
        <w:t>Article 18</w:t>
      </w:r>
      <w:r w:rsidRPr="00150ABA">
        <w:rPr>
          <w:noProof/>
        </w:rPr>
        <w:t xml:space="preserve"> governs the retention period for the storage of non-operational data, as defined in Article 3. Non-operational data must be stored in the centralised information system until the evaluation has been completed. </w:t>
      </w:r>
      <w:r w:rsidR="006640FC" w:rsidRPr="00150ABA">
        <w:rPr>
          <w:noProof/>
        </w:rPr>
        <w:t xml:space="preserve">The retention period must not exceed five years. </w:t>
      </w:r>
      <w:r w:rsidRPr="00150ABA">
        <w:rPr>
          <w:noProof/>
        </w:rPr>
        <w:t>Upon expiry of this retention period, the data record must be automatically erased from the centralised system.</w:t>
      </w:r>
    </w:p>
    <w:p w14:paraId="0614A458" w14:textId="3A8A2E57" w:rsidR="00920E47" w:rsidRPr="00150ABA" w:rsidRDefault="00920E47" w:rsidP="00A67E8D">
      <w:pPr>
        <w:shd w:val="clear" w:color="auto" w:fill="FFFFFF" w:themeFill="background1"/>
        <w:spacing w:before="0" w:after="240"/>
        <w:rPr>
          <w:rFonts w:eastAsia="Times New Roman"/>
          <w:bCs/>
          <w:noProof/>
          <w:szCs w:val="24"/>
          <w:lang w:eastAsia="en-GB"/>
        </w:rPr>
      </w:pPr>
      <w:r w:rsidRPr="00150ABA">
        <w:rPr>
          <w:rFonts w:eastAsia="Times New Roman"/>
          <w:i/>
          <w:noProof/>
          <w:szCs w:val="24"/>
          <w:lang w:eastAsia="en-GB"/>
        </w:rPr>
        <w:t>Article 19</w:t>
      </w:r>
      <w:r w:rsidRPr="00150ABA">
        <w:rPr>
          <w:noProof/>
        </w:rPr>
        <w:t xml:space="preserve"> governs</w:t>
      </w:r>
      <w:r w:rsidRPr="00150ABA">
        <w:rPr>
          <w:rFonts w:eastAsia="Times New Roman"/>
          <w:noProof/>
          <w:szCs w:val="24"/>
          <w:lang w:eastAsia="en-GB"/>
        </w:rPr>
        <w:t xml:space="preserve"> the data controllers and the data processor. It</w:t>
      </w:r>
      <w:r w:rsidRPr="00150ABA">
        <w:rPr>
          <w:rFonts w:eastAsia="Times New Roman"/>
          <w:i/>
          <w:noProof/>
          <w:szCs w:val="24"/>
          <w:lang w:eastAsia="en-GB"/>
        </w:rPr>
        <w:t xml:space="preserve"> </w:t>
      </w:r>
      <w:r w:rsidRPr="00150ABA">
        <w:rPr>
          <w:rFonts w:eastAsia="Times New Roman"/>
          <w:noProof/>
          <w:szCs w:val="24"/>
          <w:lang w:eastAsia="en-GB"/>
        </w:rPr>
        <w:t>clarifies that e</w:t>
      </w:r>
      <w:r w:rsidRPr="00150ABA">
        <w:rPr>
          <w:rFonts w:eastAsia="Times New Roman"/>
          <w:bCs/>
          <w:noProof/>
          <w:szCs w:val="24"/>
          <w:lang w:eastAsia="en-GB"/>
        </w:rPr>
        <w:t>ach Member State competent authority, and where appropriate, Eurojust, Europol</w:t>
      </w:r>
      <w:r w:rsidR="006640FC" w:rsidRPr="00150ABA">
        <w:rPr>
          <w:rFonts w:eastAsia="Times New Roman"/>
          <w:bCs/>
          <w:noProof/>
          <w:szCs w:val="24"/>
          <w:lang w:eastAsia="en-GB"/>
        </w:rPr>
        <w:t xml:space="preserve">, </w:t>
      </w:r>
      <w:r w:rsidR="006640FC" w:rsidRPr="00150ABA">
        <w:rPr>
          <w:noProof/>
        </w:rPr>
        <w:t>the European Public Prosecutor’s Office,</w:t>
      </w:r>
      <w:r w:rsidR="006640FC" w:rsidRPr="00150ABA">
        <w:rPr>
          <w:noProof/>
          <w:lang w:eastAsia="en-GB"/>
        </w:rPr>
        <w:t xml:space="preserve"> OLAF or any </w:t>
      </w:r>
      <w:r w:rsidR="006640FC" w:rsidRPr="00150ABA">
        <w:rPr>
          <w:noProof/>
        </w:rPr>
        <w:t>other competent Union body, office or agency</w:t>
      </w:r>
      <w:r w:rsidR="006640FC" w:rsidRPr="00150ABA">
        <w:rPr>
          <w:noProof/>
          <w:lang w:eastAsia="en-GB"/>
        </w:rPr>
        <w:t xml:space="preserve"> </w:t>
      </w:r>
      <w:r w:rsidRPr="00150ABA">
        <w:rPr>
          <w:rFonts w:eastAsia="Times New Roman"/>
          <w:bCs/>
          <w:noProof/>
          <w:szCs w:val="24"/>
          <w:lang w:eastAsia="en-GB"/>
        </w:rPr>
        <w:t>, are  data controllers in line with applicable Union data protection rules for the processing of the personal data under this Regulation.</w:t>
      </w:r>
      <w:r w:rsidRPr="00150ABA">
        <w:rPr>
          <w:rFonts w:eastAsia="Times New Roman"/>
          <w:i/>
          <w:noProof/>
          <w:szCs w:val="24"/>
          <w:lang w:eastAsia="en-GB"/>
        </w:rPr>
        <w:t xml:space="preserve"> </w:t>
      </w:r>
      <w:r w:rsidRPr="00150ABA">
        <w:rPr>
          <w:rFonts w:eastAsia="Times New Roman"/>
          <w:bCs/>
          <w:noProof/>
          <w:szCs w:val="24"/>
          <w:lang w:eastAsia="en-GB"/>
        </w:rPr>
        <w:t xml:space="preserve">eu-LISA must be considered as data processor in line with Regulation (EU) 2018/1725 on the personal data exchanged through – and stored in the JITs collaboration platform. Wherever a third </w:t>
      </w:r>
      <w:r w:rsidR="00433B71" w:rsidRPr="00150ABA">
        <w:rPr>
          <w:rFonts w:eastAsia="Times New Roman"/>
          <w:bCs/>
          <w:noProof/>
          <w:szCs w:val="24"/>
          <w:lang w:eastAsia="en-GB"/>
        </w:rPr>
        <w:t xml:space="preserve">country </w:t>
      </w:r>
      <w:r w:rsidRPr="00150ABA">
        <w:rPr>
          <w:rFonts w:eastAsia="Times New Roman"/>
          <w:bCs/>
          <w:noProof/>
          <w:szCs w:val="24"/>
          <w:lang w:eastAsia="en-GB"/>
        </w:rPr>
        <w:t>uploads operational information or evidence to the JITs collaboration platform, that information or evidence must be scrutinised by a JIT space administrator before it can be downloaded by other platform users.</w:t>
      </w:r>
    </w:p>
    <w:p w14:paraId="60F1836E" w14:textId="327B3B7B" w:rsidR="00920E47" w:rsidRPr="00150ABA" w:rsidRDefault="00920E47" w:rsidP="00A67E8D">
      <w:pPr>
        <w:shd w:val="clear" w:color="auto" w:fill="FFFFFF" w:themeFill="background1"/>
        <w:spacing w:before="0" w:after="240"/>
        <w:rPr>
          <w:rFonts w:eastAsia="Times New Roman"/>
          <w:i/>
          <w:noProof/>
          <w:szCs w:val="24"/>
          <w:lang w:eastAsia="en-GB"/>
        </w:rPr>
      </w:pPr>
      <w:r w:rsidRPr="00150ABA">
        <w:rPr>
          <w:rFonts w:eastAsia="Times New Roman"/>
          <w:bCs/>
          <w:i/>
          <w:noProof/>
          <w:szCs w:val="24"/>
          <w:lang w:eastAsia="en-GB"/>
        </w:rPr>
        <w:t>Article 20</w:t>
      </w:r>
      <w:r w:rsidRPr="00150ABA">
        <w:rPr>
          <w:rFonts w:eastAsia="Times New Roman"/>
          <w:bCs/>
          <w:noProof/>
          <w:szCs w:val="24"/>
          <w:lang w:eastAsia="en-GB"/>
        </w:rPr>
        <w:t xml:space="preserve"> limits the purposes of the processing of personal data entered into the JITs collaboration platform.</w:t>
      </w:r>
      <w:r w:rsidRPr="00150ABA">
        <w:rPr>
          <w:rFonts w:eastAsia="Times New Roman"/>
          <w:i/>
          <w:noProof/>
          <w:szCs w:val="24"/>
          <w:lang w:eastAsia="en-GB"/>
        </w:rPr>
        <w:t xml:space="preserve"> </w:t>
      </w:r>
      <w:r w:rsidRPr="00150ABA">
        <w:rPr>
          <w:rFonts w:eastAsia="Times New Roman"/>
          <w:noProof/>
          <w:szCs w:val="24"/>
          <w:lang w:eastAsia="en-GB"/>
        </w:rPr>
        <w:t>Those data must</w:t>
      </w:r>
      <w:r w:rsidRPr="00150ABA">
        <w:rPr>
          <w:rFonts w:eastAsia="Times New Roman"/>
          <w:bCs/>
          <w:noProof/>
          <w:szCs w:val="24"/>
          <w:lang w:eastAsia="en-GB"/>
        </w:rPr>
        <w:t xml:space="preserve"> only be processed for exchanging operational information and evidence between the platform users and exchanging of non-operational data between collaboration platform users for managing the JIT. Access to the JITs collaboration platform must be limited to authorised staff of the Member States’ competent authorities and third country authorities, Eurojust, Europol</w:t>
      </w:r>
      <w:r w:rsidR="00433B71" w:rsidRPr="00150ABA">
        <w:rPr>
          <w:noProof/>
        </w:rPr>
        <w:t xml:space="preserve"> </w:t>
      </w:r>
      <w:r w:rsidR="00433B71" w:rsidRPr="00150ABA">
        <w:rPr>
          <w:rFonts w:eastAsia="Times New Roman"/>
          <w:bCs/>
          <w:noProof/>
          <w:szCs w:val="24"/>
          <w:lang w:eastAsia="en-GB"/>
        </w:rPr>
        <w:t>the European Public Prosecutor’s Office, OLAF and other competent Union bodies, offices or agencies</w:t>
      </w:r>
      <w:r w:rsidRPr="00150ABA">
        <w:rPr>
          <w:rFonts w:eastAsia="Times New Roman"/>
          <w:bCs/>
          <w:noProof/>
          <w:szCs w:val="24"/>
          <w:lang w:eastAsia="en-GB"/>
        </w:rPr>
        <w:t>. The access must also be limited to the extent needed to perform the tasks in line with the purpose referred to in paragraph 1 of Article 2</w:t>
      </w:r>
      <w:r w:rsidR="00E40458" w:rsidRPr="00150ABA">
        <w:rPr>
          <w:rFonts w:eastAsia="Times New Roman"/>
          <w:bCs/>
          <w:noProof/>
          <w:szCs w:val="24"/>
          <w:lang w:eastAsia="en-GB"/>
        </w:rPr>
        <w:t>0</w:t>
      </w:r>
      <w:r w:rsidRPr="00150ABA">
        <w:rPr>
          <w:rFonts w:eastAsia="Times New Roman"/>
          <w:bCs/>
          <w:noProof/>
          <w:szCs w:val="24"/>
          <w:lang w:eastAsia="en-GB"/>
        </w:rPr>
        <w:t>, and to what is necessary and proportionate to the objectives being pursued.</w:t>
      </w:r>
    </w:p>
    <w:p w14:paraId="2C4C0D65" w14:textId="450CFF3D" w:rsidR="00920E47" w:rsidRPr="00150ABA" w:rsidRDefault="00920E47" w:rsidP="00A67E8D">
      <w:pPr>
        <w:shd w:val="clear" w:color="auto" w:fill="FFFFFF" w:themeFill="background1"/>
        <w:spacing w:before="0" w:after="240"/>
        <w:rPr>
          <w:rFonts w:eastAsia="Times New Roman"/>
          <w:i/>
          <w:noProof/>
          <w:szCs w:val="24"/>
          <w:lang w:eastAsia="en-GB"/>
        </w:rPr>
      </w:pPr>
      <w:r w:rsidRPr="00150ABA">
        <w:rPr>
          <w:rFonts w:eastAsia="Times New Roman"/>
          <w:bCs/>
          <w:i/>
          <w:noProof/>
          <w:szCs w:val="24"/>
          <w:lang w:eastAsia="en-GB"/>
        </w:rPr>
        <w:t>Article 21</w:t>
      </w:r>
      <w:r w:rsidRPr="00150ABA">
        <w:rPr>
          <w:noProof/>
        </w:rPr>
        <w:t xml:space="preserve"> </w:t>
      </w:r>
      <w:r w:rsidRPr="00150ABA">
        <w:rPr>
          <w:rFonts w:eastAsia="Times New Roman"/>
          <w:bCs/>
          <w:noProof/>
          <w:szCs w:val="24"/>
          <w:lang w:eastAsia="en-GB"/>
        </w:rPr>
        <w:t>governs keeping logs. It states that eu-LISA must ensure that accessing the centralised information system and all data processing operations in the centralised information system are logged to check the admissibility of requests, to monitor data integrity and security and the lawfulness of the data processing and to self-monitor.</w:t>
      </w:r>
    </w:p>
    <w:p w14:paraId="7CAAADE2" w14:textId="77777777" w:rsidR="00920E47" w:rsidRPr="00150ABA" w:rsidRDefault="00920E47" w:rsidP="00A67E8D">
      <w:pPr>
        <w:spacing w:before="0" w:after="240"/>
        <w:rPr>
          <w:rFonts w:eastAsia="Times New Roman"/>
          <w:i/>
          <w:noProof/>
          <w:color w:val="000000"/>
          <w:szCs w:val="24"/>
        </w:rPr>
      </w:pPr>
      <w:r w:rsidRPr="00150ABA">
        <w:rPr>
          <w:rFonts w:eastAsia="Times New Roman"/>
          <w:i/>
          <w:noProof/>
          <w:color w:val="000000"/>
          <w:szCs w:val="24"/>
        </w:rPr>
        <w:t>Chapter VI: Final provisions</w:t>
      </w:r>
    </w:p>
    <w:p w14:paraId="684C4BCE" w14:textId="5D6956C9" w:rsidR="00920E47" w:rsidRPr="00150ABA" w:rsidRDefault="00920E47" w:rsidP="00A67E8D">
      <w:pPr>
        <w:shd w:val="clear" w:color="auto" w:fill="FFFFFF" w:themeFill="background1"/>
        <w:spacing w:before="0" w:after="240"/>
        <w:rPr>
          <w:rFonts w:eastAsia="Times New Roman"/>
          <w:bCs/>
          <w:noProof/>
          <w:szCs w:val="24"/>
          <w:lang w:eastAsia="en-GB"/>
        </w:rPr>
      </w:pPr>
      <w:r w:rsidRPr="00150ABA">
        <w:rPr>
          <w:rFonts w:eastAsia="Arial Unicode MS"/>
          <w:i/>
          <w:noProof/>
        </w:rPr>
        <w:t>Article 2</w:t>
      </w:r>
      <w:r w:rsidR="00433B71" w:rsidRPr="00150ABA">
        <w:rPr>
          <w:rFonts w:eastAsia="Arial Unicode MS"/>
          <w:i/>
          <w:noProof/>
        </w:rPr>
        <w:t>2</w:t>
      </w:r>
      <w:r w:rsidRPr="00150ABA">
        <w:rPr>
          <w:rFonts w:eastAsia="Arial Unicode MS"/>
          <w:noProof/>
        </w:rPr>
        <w:t xml:space="preserve"> sets out eu-LISA's and the Commission's reporting and reviewing obligations.</w:t>
      </w:r>
      <w:r w:rsidRPr="00150ABA">
        <w:rPr>
          <w:noProof/>
        </w:rPr>
        <w:t xml:space="preserve"> </w:t>
      </w:r>
      <w:r w:rsidRPr="00150ABA">
        <w:rPr>
          <w:rFonts w:eastAsia="Arial Unicode MS"/>
          <w:noProof/>
        </w:rPr>
        <w:t>Four years after the start of the JITs collaboration platform’s operations and every four years after that, the Commission will conduct an overall evaluation of the JITs collaboration platform.</w:t>
      </w:r>
    </w:p>
    <w:p w14:paraId="27A66B18" w14:textId="0906A8FD" w:rsidR="00920E47" w:rsidRPr="00150ABA" w:rsidRDefault="00920E47" w:rsidP="00A67E8D">
      <w:pPr>
        <w:shd w:val="clear" w:color="auto" w:fill="FFFFFF" w:themeFill="background1"/>
        <w:spacing w:before="0" w:after="240"/>
        <w:rPr>
          <w:rFonts w:eastAsia="Times New Roman"/>
          <w:bCs/>
          <w:noProof/>
          <w:szCs w:val="24"/>
          <w:lang w:eastAsia="en-GB"/>
        </w:rPr>
      </w:pPr>
      <w:r w:rsidRPr="00150ABA">
        <w:rPr>
          <w:rFonts w:eastAsia="Arial Unicode MS"/>
          <w:i/>
          <w:noProof/>
        </w:rPr>
        <w:t>Article 2</w:t>
      </w:r>
      <w:r w:rsidR="00433B71" w:rsidRPr="00150ABA">
        <w:rPr>
          <w:rFonts w:eastAsia="Arial Unicode MS"/>
          <w:i/>
          <w:noProof/>
        </w:rPr>
        <w:t>3</w:t>
      </w:r>
      <w:r w:rsidRPr="00150ABA">
        <w:rPr>
          <w:noProof/>
        </w:rPr>
        <w:t xml:space="preserve"> states</w:t>
      </w:r>
      <w:r w:rsidRPr="00150ABA">
        <w:rPr>
          <w:rFonts w:eastAsia="Arial Unicode MS"/>
          <w:noProof/>
        </w:rPr>
        <w:t xml:space="preserve"> that the costs incurred to establish and operate the JITs collaboration platform must be borne by the general budget of the Union.</w:t>
      </w:r>
    </w:p>
    <w:p w14:paraId="36673B74" w14:textId="10296F91" w:rsidR="00920E47" w:rsidRPr="00150ABA" w:rsidRDefault="00920E47" w:rsidP="00A67E8D">
      <w:pPr>
        <w:shd w:val="clear" w:color="auto" w:fill="FFFFFF" w:themeFill="background1"/>
        <w:spacing w:before="0" w:after="240"/>
        <w:rPr>
          <w:rFonts w:eastAsia="Arial Unicode MS"/>
          <w:noProof/>
        </w:rPr>
      </w:pPr>
      <w:r w:rsidRPr="00150ABA">
        <w:rPr>
          <w:rFonts w:eastAsia="Arial Unicode MS"/>
          <w:i/>
          <w:noProof/>
        </w:rPr>
        <w:t>Article 2</w:t>
      </w:r>
      <w:r w:rsidR="00433B71" w:rsidRPr="00150ABA">
        <w:rPr>
          <w:rFonts w:eastAsia="Arial Unicode MS"/>
          <w:i/>
          <w:noProof/>
        </w:rPr>
        <w:t>4</w:t>
      </w:r>
      <w:r w:rsidRPr="00150ABA">
        <w:rPr>
          <w:rFonts w:eastAsia="Arial Unicode MS"/>
          <w:noProof/>
        </w:rPr>
        <w:t xml:space="preserve"> set</w:t>
      </w:r>
      <w:r w:rsidR="00433B71" w:rsidRPr="00150ABA">
        <w:rPr>
          <w:rFonts w:eastAsia="Arial Unicode MS"/>
          <w:noProof/>
        </w:rPr>
        <w:t>s</w:t>
      </w:r>
      <w:r w:rsidRPr="00150ABA">
        <w:rPr>
          <w:rFonts w:eastAsia="Arial Unicode MS"/>
          <w:noProof/>
        </w:rPr>
        <w:t xml:space="preserve"> out the conditions that need to be met before the Commission determines the dat</w:t>
      </w:r>
      <w:r w:rsidR="00433B71" w:rsidRPr="00150ABA">
        <w:rPr>
          <w:rFonts w:eastAsia="Arial Unicode MS"/>
          <w:noProof/>
        </w:rPr>
        <w:t>e</w:t>
      </w:r>
      <w:r w:rsidRPr="00150ABA">
        <w:rPr>
          <w:rFonts w:eastAsia="Arial Unicode MS"/>
          <w:noProof/>
        </w:rPr>
        <w:t xml:space="preserve"> of the start of operations of the JITs collaboration platform.</w:t>
      </w:r>
    </w:p>
    <w:p w14:paraId="31D0BDBB" w14:textId="27425532" w:rsidR="00433B71" w:rsidRPr="00150ABA" w:rsidRDefault="00433B71" w:rsidP="00A67E8D">
      <w:pPr>
        <w:shd w:val="clear" w:color="auto" w:fill="FFFFFF" w:themeFill="background1"/>
        <w:spacing w:before="0" w:after="240"/>
        <w:rPr>
          <w:rFonts w:eastAsia="Times New Roman"/>
          <w:bCs/>
          <w:noProof/>
          <w:szCs w:val="24"/>
          <w:lang w:eastAsia="en-GB"/>
        </w:rPr>
      </w:pPr>
      <w:r w:rsidRPr="00150ABA">
        <w:rPr>
          <w:rFonts w:eastAsia="Arial Unicode MS"/>
          <w:i/>
          <w:noProof/>
        </w:rPr>
        <w:t xml:space="preserve">Article 25 </w:t>
      </w:r>
      <w:r w:rsidRPr="00150ABA">
        <w:rPr>
          <w:rFonts w:eastAsia="Arial Unicode MS"/>
          <w:noProof/>
        </w:rPr>
        <w:t>governs the comitology procedure to be used, based on a standard provision.</w:t>
      </w:r>
    </w:p>
    <w:p w14:paraId="62491700" w14:textId="431FDF5F" w:rsidR="00433B71" w:rsidRPr="00150ABA" w:rsidRDefault="00433B71" w:rsidP="00A67E8D">
      <w:pPr>
        <w:shd w:val="clear" w:color="auto" w:fill="FFFFFF" w:themeFill="background1"/>
        <w:spacing w:before="0" w:after="240"/>
        <w:rPr>
          <w:rFonts w:eastAsia="Times New Roman"/>
          <w:bCs/>
          <w:noProof/>
          <w:szCs w:val="24"/>
          <w:lang w:eastAsia="en-GB"/>
        </w:rPr>
      </w:pPr>
      <w:r w:rsidRPr="00150ABA">
        <w:rPr>
          <w:rFonts w:eastAsia="Arial Unicode MS"/>
          <w:i/>
          <w:noProof/>
        </w:rPr>
        <w:t>Article 26</w:t>
      </w:r>
      <w:r w:rsidRPr="00150ABA">
        <w:rPr>
          <w:rFonts w:eastAsia="Arial Unicode MS"/>
          <w:noProof/>
        </w:rPr>
        <w:t xml:space="preserve"> governs the amendments to Regulation (EU) 2018/1726 for the new responsibilities and tasks of eu-LISA.</w:t>
      </w:r>
    </w:p>
    <w:p w14:paraId="3160B2C6" w14:textId="77777777" w:rsidR="00920E47" w:rsidRPr="00150ABA" w:rsidRDefault="00920E47" w:rsidP="00A67E8D">
      <w:pPr>
        <w:shd w:val="clear" w:color="auto" w:fill="FFFFFF" w:themeFill="background1"/>
        <w:spacing w:before="0" w:after="240"/>
        <w:rPr>
          <w:rFonts w:eastAsia="Arial Unicode MS"/>
          <w:noProof/>
        </w:rPr>
      </w:pPr>
      <w:r w:rsidRPr="00150ABA">
        <w:rPr>
          <w:rFonts w:eastAsia="Arial Unicode MS"/>
          <w:i/>
          <w:noProof/>
        </w:rPr>
        <w:t>Article 27</w:t>
      </w:r>
      <w:r w:rsidRPr="00150ABA">
        <w:rPr>
          <w:noProof/>
        </w:rPr>
        <w:t xml:space="preserve"> </w:t>
      </w:r>
      <w:r w:rsidRPr="00150ABA">
        <w:rPr>
          <w:rFonts w:eastAsia="Arial Unicode MS"/>
          <w:noProof/>
        </w:rPr>
        <w:t xml:space="preserve">provides that the Regulation will enter into force on the twentieth day following that of its publication in the </w:t>
      </w:r>
      <w:r w:rsidRPr="00150ABA">
        <w:rPr>
          <w:rFonts w:eastAsia="Arial Unicode MS"/>
          <w:i/>
          <w:noProof/>
        </w:rPr>
        <w:t>Official Journal of the European Union</w:t>
      </w:r>
      <w:r w:rsidRPr="00150ABA">
        <w:rPr>
          <w:rFonts w:eastAsia="Arial Unicode MS"/>
          <w:noProof/>
        </w:rPr>
        <w:t>.</w:t>
      </w:r>
    </w:p>
    <w:p w14:paraId="65B72367" w14:textId="77777777" w:rsidR="00920E47" w:rsidRPr="00150ABA" w:rsidRDefault="00920E47">
      <w:pPr>
        <w:rPr>
          <w:noProof/>
        </w:rPr>
      </w:pPr>
    </w:p>
    <w:p w14:paraId="43F9641D" w14:textId="77777777" w:rsidR="00FC3EF9" w:rsidRPr="00150ABA" w:rsidRDefault="00023765" w:rsidP="00204DB4">
      <w:pPr>
        <w:pBdr>
          <w:top w:val="nil"/>
          <w:left w:val="nil"/>
          <w:bottom w:val="nil"/>
          <w:right w:val="nil"/>
          <w:between w:val="nil"/>
          <w:bar w:val="nil"/>
        </w:pBdr>
        <w:spacing w:before="0" w:after="240"/>
        <w:rPr>
          <w:rFonts w:eastAsia="Arial Unicode MS"/>
          <w:noProof/>
        </w:rPr>
      </w:pPr>
      <w:r w:rsidRPr="00150ABA">
        <w:rPr>
          <w:noProof/>
        </w:rPr>
        <w:tab/>
      </w:r>
    </w:p>
    <w:p w14:paraId="518295F5" w14:textId="77777777" w:rsidR="00FC3EF9" w:rsidRPr="00150ABA" w:rsidRDefault="00FC3EF9" w:rsidP="00FC3EF9">
      <w:pPr>
        <w:pBdr>
          <w:top w:val="nil"/>
          <w:left w:val="nil"/>
          <w:bottom w:val="nil"/>
          <w:right w:val="nil"/>
          <w:between w:val="nil"/>
          <w:bar w:val="nil"/>
        </w:pBdr>
        <w:spacing w:before="0" w:after="240"/>
        <w:jc w:val="left"/>
        <w:rPr>
          <w:rFonts w:eastAsia="Arial Unicode MS"/>
          <w:noProof/>
        </w:rPr>
      </w:pPr>
    </w:p>
    <w:p w14:paraId="19BFC7A6" w14:textId="77777777" w:rsidR="00FC3EF9" w:rsidRPr="00150ABA" w:rsidRDefault="00FC3EF9" w:rsidP="00FC3EF9">
      <w:pPr>
        <w:pBdr>
          <w:top w:val="nil"/>
          <w:left w:val="nil"/>
          <w:bottom w:val="nil"/>
          <w:right w:val="nil"/>
          <w:between w:val="nil"/>
          <w:bar w:val="nil"/>
        </w:pBdr>
        <w:spacing w:before="0" w:after="240"/>
        <w:jc w:val="left"/>
        <w:rPr>
          <w:rFonts w:eastAsia="Arial Unicode MS"/>
          <w:noProof/>
        </w:rPr>
        <w:sectPr w:rsidR="00FC3EF9" w:rsidRPr="00150ABA" w:rsidSect="00E45D24">
          <w:footerReference w:type="default" r:id="rId13"/>
          <w:footerReference w:type="first" r:id="rId14"/>
          <w:pgSz w:w="11907" w:h="16839"/>
          <w:pgMar w:top="1134" w:right="1417" w:bottom="1134" w:left="1417" w:header="709" w:footer="709" w:gutter="0"/>
          <w:cols w:space="708"/>
          <w:docGrid w:linePitch="360"/>
        </w:sectPr>
      </w:pPr>
    </w:p>
    <w:p w14:paraId="3C4417DB" w14:textId="4ADE5CF8" w:rsidR="0084051F" w:rsidRDefault="003E401D" w:rsidP="003E401D">
      <w:pPr>
        <w:pStyle w:val="Rfrenceinterinstitutionnelle"/>
        <w:rPr>
          <w:noProof/>
        </w:rPr>
      </w:pPr>
      <w:r w:rsidRPr="003E401D">
        <w:t>2021/0391 (COD)</w:t>
      </w:r>
    </w:p>
    <w:p w14:paraId="6D5AF781" w14:textId="7E9E65BC" w:rsidR="00023765" w:rsidRPr="00150ABA" w:rsidRDefault="00D845CA" w:rsidP="00D845CA">
      <w:pPr>
        <w:pStyle w:val="Statut"/>
        <w:rPr>
          <w:noProof/>
        </w:rPr>
      </w:pPr>
      <w:r w:rsidRPr="00D845CA">
        <w:rPr>
          <w:noProof/>
        </w:rPr>
        <w:t>Proposal for a</w:t>
      </w:r>
    </w:p>
    <w:p w14:paraId="55D605A6" w14:textId="48E207F9" w:rsidR="00023765" w:rsidRPr="00150ABA" w:rsidRDefault="00D845CA" w:rsidP="00D845CA">
      <w:pPr>
        <w:pStyle w:val="Typedudocument"/>
        <w:rPr>
          <w:noProof/>
        </w:rPr>
      </w:pPr>
      <w:r w:rsidRPr="00D845CA">
        <w:rPr>
          <w:noProof/>
        </w:rPr>
        <w:t>REGULATION OF THE EUROPEAN PARLIAMENT AND OF THE COUNCIL</w:t>
      </w:r>
    </w:p>
    <w:p w14:paraId="0EA39FD4" w14:textId="4259E227" w:rsidR="00023765" w:rsidRPr="00150ABA" w:rsidRDefault="00D845CA" w:rsidP="00D845CA">
      <w:pPr>
        <w:pStyle w:val="Titreobjet"/>
        <w:rPr>
          <w:noProof/>
        </w:rPr>
      </w:pPr>
      <w:r w:rsidRPr="00D845CA">
        <w:rPr>
          <w:noProof/>
        </w:rPr>
        <w:t>establishing a collaboration platform to support the functioning of Joint Investigation Teams and amending Regulation (EU) 2018/1726</w:t>
      </w:r>
      <w:r w:rsidRPr="00D845CA">
        <w:rPr>
          <w:noProof/>
        </w:rPr>
        <w:br/>
      </w:r>
    </w:p>
    <w:p w14:paraId="3637386C" w14:textId="77777777" w:rsidR="00023765" w:rsidRPr="00150ABA" w:rsidRDefault="00023765" w:rsidP="0062592F">
      <w:pPr>
        <w:pStyle w:val="Institutionquiagit"/>
        <w:rPr>
          <w:noProof/>
        </w:rPr>
      </w:pPr>
      <w:r w:rsidRPr="00150ABA">
        <w:rPr>
          <w:noProof/>
        </w:rPr>
        <w:t>THE EUROPEAN PARLIAMENT AND THE COUNCIL OF THE EUROPEAN UNION,</w:t>
      </w:r>
    </w:p>
    <w:p w14:paraId="7F7C47BE" w14:textId="77777777" w:rsidR="00023765" w:rsidRPr="00150ABA" w:rsidRDefault="00023765" w:rsidP="0062592F">
      <w:pPr>
        <w:rPr>
          <w:noProof/>
        </w:rPr>
      </w:pPr>
      <w:r w:rsidRPr="00150ABA">
        <w:rPr>
          <w:noProof/>
        </w:rPr>
        <w:t>Having regard to the Treaty on the Functioning of the European U</w:t>
      </w:r>
      <w:r w:rsidR="00830C5B" w:rsidRPr="00150ABA">
        <w:rPr>
          <w:noProof/>
        </w:rPr>
        <w:t>nion, and in particular Article 82</w:t>
      </w:r>
      <w:r w:rsidR="00C72249" w:rsidRPr="00150ABA">
        <w:rPr>
          <w:noProof/>
        </w:rPr>
        <w:t>(1</w:t>
      </w:r>
      <w:r w:rsidR="00830C5B" w:rsidRPr="00150ABA">
        <w:rPr>
          <w:noProof/>
        </w:rPr>
        <w:t xml:space="preserve">), point </w:t>
      </w:r>
      <w:r w:rsidR="006D62E2" w:rsidRPr="00150ABA">
        <w:rPr>
          <w:noProof/>
        </w:rPr>
        <w:t>(</w:t>
      </w:r>
      <w:r w:rsidR="00830C5B" w:rsidRPr="00150ABA">
        <w:rPr>
          <w:noProof/>
        </w:rPr>
        <w:t>d</w:t>
      </w:r>
      <w:r w:rsidR="006D62E2" w:rsidRPr="00150ABA">
        <w:rPr>
          <w:noProof/>
        </w:rPr>
        <w:t>),</w:t>
      </w:r>
      <w:r w:rsidRPr="00150ABA">
        <w:rPr>
          <w:noProof/>
        </w:rPr>
        <w:t xml:space="preserve"> thereof,</w:t>
      </w:r>
    </w:p>
    <w:p w14:paraId="5DD95349" w14:textId="77777777" w:rsidR="00023765" w:rsidRPr="00150ABA" w:rsidRDefault="00023765" w:rsidP="0062592F">
      <w:pPr>
        <w:rPr>
          <w:noProof/>
        </w:rPr>
      </w:pPr>
      <w:r w:rsidRPr="00150ABA">
        <w:rPr>
          <w:noProof/>
        </w:rPr>
        <w:t>Having regard to the proposal from the European Commission,</w:t>
      </w:r>
    </w:p>
    <w:p w14:paraId="755CFCBF" w14:textId="77777777" w:rsidR="00023765" w:rsidRPr="00150ABA" w:rsidRDefault="00023765" w:rsidP="0062592F">
      <w:pPr>
        <w:rPr>
          <w:noProof/>
        </w:rPr>
      </w:pPr>
      <w:r w:rsidRPr="00150ABA">
        <w:rPr>
          <w:noProof/>
        </w:rPr>
        <w:t>After transmission of the draft legislative act to the national parliaments,</w:t>
      </w:r>
    </w:p>
    <w:p w14:paraId="0B591471" w14:textId="77777777" w:rsidR="00023765" w:rsidRPr="00150ABA" w:rsidRDefault="00023765" w:rsidP="0062592F">
      <w:pPr>
        <w:rPr>
          <w:noProof/>
        </w:rPr>
      </w:pPr>
      <w:r w:rsidRPr="00150ABA">
        <w:rPr>
          <w:noProof/>
        </w:rPr>
        <w:t>Acting in accordance with the ordinary legislative procedure,</w:t>
      </w:r>
    </w:p>
    <w:p w14:paraId="7371D9A3" w14:textId="77777777" w:rsidR="00023765" w:rsidRPr="00150ABA" w:rsidRDefault="00023765" w:rsidP="0062592F">
      <w:pPr>
        <w:rPr>
          <w:noProof/>
        </w:rPr>
      </w:pPr>
      <w:r w:rsidRPr="00150ABA">
        <w:rPr>
          <w:noProof/>
        </w:rPr>
        <w:t>Whereas:</w:t>
      </w:r>
    </w:p>
    <w:p w14:paraId="71B730F5" w14:textId="2DA32C89" w:rsidR="00023765" w:rsidRPr="00150ABA" w:rsidRDefault="00D76D82" w:rsidP="00D76D82">
      <w:pPr>
        <w:pStyle w:val="ManualConsidrant"/>
        <w:rPr>
          <w:noProof/>
        </w:rPr>
      </w:pPr>
      <w:r w:rsidRPr="00D76D82">
        <w:t>(1)</w:t>
      </w:r>
      <w:r w:rsidRPr="00D76D82">
        <w:tab/>
      </w:r>
      <w:r w:rsidR="00305EAE" w:rsidRPr="00150ABA">
        <w:rPr>
          <w:noProof/>
        </w:rPr>
        <w:t>The Union has set itself the objective of offering its citizens a</w:t>
      </w:r>
      <w:r w:rsidR="00026F71" w:rsidRPr="00150ABA">
        <w:rPr>
          <w:noProof/>
        </w:rPr>
        <w:t xml:space="preserve"> common</w:t>
      </w:r>
      <w:r w:rsidR="00305EAE" w:rsidRPr="00150ABA">
        <w:rPr>
          <w:noProof/>
        </w:rPr>
        <w:t xml:space="preserve"> area of freedom, security and justice without internal frontiers, in which the free movement of persons is ensured. At the same time, the Union has to ensure that </w:t>
      </w:r>
      <w:r w:rsidR="00026F71" w:rsidRPr="00150ABA">
        <w:rPr>
          <w:noProof/>
        </w:rPr>
        <w:t xml:space="preserve">that </w:t>
      </w:r>
      <w:r w:rsidR="00305EAE" w:rsidRPr="00150ABA">
        <w:rPr>
          <w:noProof/>
        </w:rPr>
        <w:t xml:space="preserve">common area remains a safe place. </w:t>
      </w:r>
      <w:r w:rsidR="00026F71" w:rsidRPr="00150ABA">
        <w:rPr>
          <w:noProof/>
        </w:rPr>
        <w:t xml:space="preserve">That </w:t>
      </w:r>
      <w:r w:rsidR="00305EAE" w:rsidRPr="00150ABA">
        <w:rPr>
          <w:noProof/>
        </w:rPr>
        <w:t>objective can only be achieved by means of</w:t>
      </w:r>
      <w:r w:rsidR="00026F71" w:rsidRPr="00150ABA">
        <w:rPr>
          <w:noProof/>
        </w:rPr>
        <w:t xml:space="preserve"> </w:t>
      </w:r>
      <w:r w:rsidR="00305EAE" w:rsidRPr="00150ABA">
        <w:rPr>
          <w:noProof/>
        </w:rPr>
        <w:t>appropriate measures to prevent and combat crime, including organised crime and terrorism</w:t>
      </w:r>
      <w:r w:rsidR="004C574E" w:rsidRPr="00150ABA">
        <w:rPr>
          <w:noProof/>
        </w:rPr>
        <w:t>.</w:t>
      </w:r>
    </w:p>
    <w:p w14:paraId="1BDE12D4" w14:textId="0FE70B24" w:rsidR="00305EAE" w:rsidRPr="00150ABA" w:rsidRDefault="00D76D82" w:rsidP="00D76D82">
      <w:pPr>
        <w:pStyle w:val="ManualConsidrant"/>
        <w:rPr>
          <w:noProof/>
        </w:rPr>
      </w:pPr>
      <w:r w:rsidRPr="00D76D82">
        <w:t>(2)</w:t>
      </w:r>
      <w:r w:rsidRPr="00D76D82">
        <w:tab/>
      </w:r>
      <w:r w:rsidR="00305EAE" w:rsidRPr="00150ABA">
        <w:rPr>
          <w:noProof/>
        </w:rPr>
        <w:t>Th</w:t>
      </w:r>
      <w:r w:rsidR="00026F71" w:rsidRPr="00150ABA">
        <w:rPr>
          <w:noProof/>
        </w:rPr>
        <w:t>at</w:t>
      </w:r>
      <w:r w:rsidR="00305EAE" w:rsidRPr="00150ABA">
        <w:rPr>
          <w:noProof/>
        </w:rPr>
        <w:t xml:space="preserve"> is especially challenging where </w:t>
      </w:r>
      <w:r w:rsidR="00026F71" w:rsidRPr="00150ABA">
        <w:rPr>
          <w:noProof/>
        </w:rPr>
        <w:t xml:space="preserve">crime takes a </w:t>
      </w:r>
      <w:r w:rsidR="00305EAE" w:rsidRPr="00150ABA">
        <w:rPr>
          <w:noProof/>
        </w:rPr>
        <w:t>cross-border</w:t>
      </w:r>
      <w:r w:rsidR="00026F71" w:rsidRPr="00150ABA">
        <w:rPr>
          <w:noProof/>
        </w:rPr>
        <w:t xml:space="preserve"> dimension</w:t>
      </w:r>
      <w:r w:rsidR="00D822B0" w:rsidRPr="00150ABA">
        <w:rPr>
          <w:noProof/>
        </w:rPr>
        <w:t xml:space="preserve"> </w:t>
      </w:r>
      <w:r w:rsidR="00305EAE" w:rsidRPr="00150ABA">
        <w:rPr>
          <w:noProof/>
        </w:rPr>
        <w:t xml:space="preserve">on the territory of several </w:t>
      </w:r>
      <w:r w:rsidR="006D62E2" w:rsidRPr="00150ABA">
        <w:rPr>
          <w:noProof/>
        </w:rPr>
        <w:t xml:space="preserve">Member </w:t>
      </w:r>
      <w:r w:rsidR="00305EAE" w:rsidRPr="00150ABA">
        <w:rPr>
          <w:noProof/>
        </w:rPr>
        <w:t>States</w:t>
      </w:r>
      <w:r w:rsidR="00D822B0" w:rsidRPr="00150ABA">
        <w:rPr>
          <w:noProof/>
        </w:rPr>
        <w:t xml:space="preserve"> and/or third countries</w:t>
      </w:r>
      <w:r w:rsidR="00305EAE" w:rsidRPr="00150ABA">
        <w:rPr>
          <w:noProof/>
        </w:rPr>
        <w:t xml:space="preserve">. In </w:t>
      </w:r>
      <w:r w:rsidR="00026F71" w:rsidRPr="00150ABA">
        <w:rPr>
          <w:noProof/>
        </w:rPr>
        <w:t xml:space="preserve">such </w:t>
      </w:r>
      <w:r w:rsidR="00305EAE" w:rsidRPr="00150ABA">
        <w:rPr>
          <w:noProof/>
        </w:rPr>
        <w:t xml:space="preserve">situations, </w:t>
      </w:r>
      <w:r w:rsidR="00026F71" w:rsidRPr="00150ABA">
        <w:rPr>
          <w:noProof/>
        </w:rPr>
        <w:t>Member</w:t>
      </w:r>
      <w:r w:rsidR="00D822B0" w:rsidRPr="00150ABA">
        <w:rPr>
          <w:noProof/>
        </w:rPr>
        <w:t xml:space="preserve"> </w:t>
      </w:r>
      <w:r w:rsidR="00305EAE" w:rsidRPr="00150ABA">
        <w:rPr>
          <w:noProof/>
        </w:rPr>
        <w:t>States need to be able to join their forces and operations to allow for effective and efficient cross-border investigations and prosecutions for which the exchange of information and evidence is crucial. One of the most successful tools for such cross-border cooperation are Joint Investigation Teams (</w:t>
      </w:r>
      <w:r w:rsidR="00406463" w:rsidRPr="00150ABA">
        <w:rPr>
          <w:noProof/>
        </w:rPr>
        <w:t>‘</w:t>
      </w:r>
      <w:r w:rsidR="00305EAE" w:rsidRPr="00150ABA">
        <w:rPr>
          <w:noProof/>
        </w:rPr>
        <w:t>JITs</w:t>
      </w:r>
      <w:r w:rsidR="00406463" w:rsidRPr="00150ABA">
        <w:rPr>
          <w:noProof/>
        </w:rPr>
        <w:t>’</w:t>
      </w:r>
      <w:r w:rsidR="00305EAE" w:rsidRPr="00150ABA">
        <w:rPr>
          <w:noProof/>
        </w:rPr>
        <w:t xml:space="preserve">) that allow for direct cooperation and communication between the judicial and law enforcement authorities of several </w:t>
      </w:r>
      <w:r w:rsidR="00D822B0" w:rsidRPr="00150ABA">
        <w:rPr>
          <w:noProof/>
        </w:rPr>
        <w:t xml:space="preserve">Member </w:t>
      </w:r>
      <w:r w:rsidR="00877CE9" w:rsidRPr="00150ABA">
        <w:rPr>
          <w:noProof/>
        </w:rPr>
        <w:t>S</w:t>
      </w:r>
      <w:r w:rsidR="00305EAE" w:rsidRPr="00150ABA">
        <w:rPr>
          <w:noProof/>
        </w:rPr>
        <w:t xml:space="preserve">tates </w:t>
      </w:r>
      <w:r w:rsidR="007C59AC" w:rsidRPr="00150ABA">
        <w:rPr>
          <w:noProof/>
        </w:rPr>
        <w:t>and</w:t>
      </w:r>
      <w:r w:rsidR="009628E7" w:rsidRPr="00150ABA">
        <w:rPr>
          <w:noProof/>
        </w:rPr>
        <w:t xml:space="preserve"> possibly</w:t>
      </w:r>
      <w:r w:rsidR="007C59AC" w:rsidRPr="00150ABA">
        <w:rPr>
          <w:noProof/>
        </w:rPr>
        <w:t xml:space="preserve"> third countries </w:t>
      </w:r>
      <w:r w:rsidR="00305EAE" w:rsidRPr="00150ABA">
        <w:rPr>
          <w:noProof/>
        </w:rPr>
        <w:t xml:space="preserve">to organise their actions and investigations in the most efficient way. JITs are set up for a specific purpose and a limited time-period by the competent authorities of two or more </w:t>
      </w:r>
      <w:r w:rsidR="00D822B0" w:rsidRPr="00150ABA">
        <w:rPr>
          <w:noProof/>
        </w:rPr>
        <w:t xml:space="preserve">Member </w:t>
      </w:r>
      <w:r w:rsidR="00E66111" w:rsidRPr="00150ABA">
        <w:rPr>
          <w:noProof/>
        </w:rPr>
        <w:t>S</w:t>
      </w:r>
      <w:r w:rsidR="004611C4" w:rsidRPr="00150ABA">
        <w:rPr>
          <w:noProof/>
        </w:rPr>
        <w:t>tates</w:t>
      </w:r>
      <w:r w:rsidR="007C59AC" w:rsidRPr="00150ABA">
        <w:rPr>
          <w:noProof/>
        </w:rPr>
        <w:t xml:space="preserve"> and</w:t>
      </w:r>
      <w:r w:rsidR="009628E7" w:rsidRPr="00150ABA">
        <w:rPr>
          <w:noProof/>
        </w:rPr>
        <w:t xml:space="preserve"> possibly </w:t>
      </w:r>
      <w:r w:rsidR="007C59AC" w:rsidRPr="00150ABA">
        <w:rPr>
          <w:noProof/>
        </w:rPr>
        <w:t>third countries</w:t>
      </w:r>
      <w:r w:rsidR="00305EAE" w:rsidRPr="00150ABA">
        <w:rPr>
          <w:noProof/>
        </w:rPr>
        <w:t xml:space="preserve">, to carry out </w:t>
      </w:r>
      <w:r w:rsidR="00406463" w:rsidRPr="00150ABA">
        <w:rPr>
          <w:noProof/>
        </w:rPr>
        <w:t>jointly</w:t>
      </w:r>
      <w:r w:rsidR="00D822B0" w:rsidRPr="00150ABA">
        <w:rPr>
          <w:noProof/>
        </w:rPr>
        <w:t xml:space="preserve"> </w:t>
      </w:r>
      <w:r w:rsidR="00305EAE" w:rsidRPr="00150ABA">
        <w:rPr>
          <w:noProof/>
        </w:rPr>
        <w:t>criminal investigations with a cross-border impact</w:t>
      </w:r>
      <w:r w:rsidR="004611C4" w:rsidRPr="00150ABA">
        <w:rPr>
          <w:noProof/>
        </w:rPr>
        <w:t>.</w:t>
      </w:r>
    </w:p>
    <w:p w14:paraId="3185112E" w14:textId="17E6E4DF" w:rsidR="00305EAE" w:rsidRPr="00150ABA" w:rsidRDefault="00D76D82" w:rsidP="00D76D82">
      <w:pPr>
        <w:pStyle w:val="ManualConsidrant"/>
        <w:rPr>
          <w:noProof/>
        </w:rPr>
      </w:pPr>
      <w:r w:rsidRPr="00D76D82">
        <w:t>(3)</w:t>
      </w:r>
      <w:r w:rsidRPr="00D76D82">
        <w:tab/>
      </w:r>
      <w:r w:rsidR="006D62E2" w:rsidRPr="00150ABA">
        <w:rPr>
          <w:noProof/>
        </w:rPr>
        <w:t>T</w:t>
      </w:r>
      <w:r w:rsidR="00305EAE" w:rsidRPr="00150ABA">
        <w:rPr>
          <w:noProof/>
        </w:rPr>
        <w:t xml:space="preserve">he </w:t>
      </w:r>
      <w:r w:rsidR="00CD6FBB" w:rsidRPr="00150ABA">
        <w:rPr>
          <w:noProof/>
        </w:rPr>
        <w:t>U</w:t>
      </w:r>
      <w:r w:rsidR="006D62E2" w:rsidRPr="00150ABA">
        <w:rPr>
          <w:noProof/>
        </w:rPr>
        <w:t>nion</w:t>
      </w:r>
      <w:r w:rsidR="00CD6FBB" w:rsidRPr="00150ABA">
        <w:rPr>
          <w:noProof/>
        </w:rPr>
        <w:t xml:space="preserve"> </w:t>
      </w:r>
      <w:r w:rsidR="00305EAE" w:rsidRPr="00150ABA">
        <w:rPr>
          <w:i/>
          <w:noProof/>
        </w:rPr>
        <w:t>aquis</w:t>
      </w:r>
      <w:r w:rsidR="00305EAE" w:rsidRPr="00150ABA">
        <w:rPr>
          <w:noProof/>
        </w:rPr>
        <w:t xml:space="preserve"> provides for two legal frameworks to set up JITs with the participation of at least two Member States: Council Framework Decision 2002/465/JHA</w:t>
      </w:r>
      <w:r w:rsidR="00305EAE" w:rsidRPr="00150ABA">
        <w:rPr>
          <w:rStyle w:val="FootnoteReference"/>
          <w:noProof/>
        </w:rPr>
        <w:footnoteReference w:id="20"/>
      </w:r>
      <w:r w:rsidR="00305EAE" w:rsidRPr="00150ABA">
        <w:rPr>
          <w:noProof/>
        </w:rPr>
        <w:t xml:space="preserve"> and Article 13 of the Convention established by the Council in accordance with Article 34 of the Treaty on European Union on Mutual Assistance in Criminal Matters between the Member States of the European Union</w:t>
      </w:r>
      <w:r w:rsidR="00305EAE" w:rsidRPr="00150ABA">
        <w:rPr>
          <w:rStyle w:val="FootnoteReference"/>
          <w:noProof/>
        </w:rPr>
        <w:footnoteReference w:id="21"/>
      </w:r>
      <w:r w:rsidR="004611C4" w:rsidRPr="00150ABA">
        <w:rPr>
          <w:noProof/>
        </w:rPr>
        <w:t>.</w:t>
      </w:r>
      <w:r w:rsidR="00E45E3F" w:rsidRPr="00150ABA">
        <w:rPr>
          <w:noProof/>
        </w:rPr>
        <w:t xml:space="preserve"> </w:t>
      </w:r>
      <w:r w:rsidR="00175330" w:rsidRPr="00150ABA">
        <w:rPr>
          <w:noProof/>
        </w:rPr>
        <w:t>Thir</w:t>
      </w:r>
      <w:r w:rsidR="00877CE9" w:rsidRPr="00150ABA">
        <w:rPr>
          <w:noProof/>
        </w:rPr>
        <w:t xml:space="preserve">d </w:t>
      </w:r>
      <w:r w:rsidR="007F1E96" w:rsidRPr="00150ABA">
        <w:rPr>
          <w:noProof/>
        </w:rPr>
        <w:t xml:space="preserve">countries </w:t>
      </w:r>
      <w:r w:rsidR="00175330" w:rsidRPr="00150ABA">
        <w:rPr>
          <w:noProof/>
        </w:rPr>
        <w:t xml:space="preserve">can be involved </w:t>
      </w:r>
      <w:r w:rsidR="00D83B97" w:rsidRPr="00150ABA">
        <w:rPr>
          <w:noProof/>
        </w:rPr>
        <w:t xml:space="preserve">in JITs </w:t>
      </w:r>
      <w:r w:rsidR="00B177D9" w:rsidRPr="00150ABA">
        <w:rPr>
          <w:noProof/>
        </w:rPr>
        <w:t xml:space="preserve">as parties where </w:t>
      </w:r>
      <w:r w:rsidR="00406463" w:rsidRPr="00150ABA">
        <w:rPr>
          <w:noProof/>
        </w:rPr>
        <w:t>there is a legal basis for such involvement</w:t>
      </w:r>
      <w:r w:rsidR="00D83B97" w:rsidRPr="00150ABA">
        <w:rPr>
          <w:noProof/>
        </w:rPr>
        <w:t>, such as Article 20 of the Second Additional Protocol of the 1959 Council of Europe Convention</w:t>
      </w:r>
      <w:r w:rsidR="00D83B97" w:rsidRPr="00150ABA">
        <w:rPr>
          <w:rStyle w:val="FootnoteReference"/>
          <w:noProof/>
        </w:rPr>
        <w:footnoteReference w:id="22"/>
      </w:r>
      <w:r w:rsidR="00D83B97" w:rsidRPr="00150ABA">
        <w:rPr>
          <w:noProof/>
        </w:rPr>
        <w:t xml:space="preserve"> and Article 5 of the Agreement on Mutual Legal Assistance between the European Union and the United States of America</w:t>
      </w:r>
      <w:r w:rsidR="00D83B97" w:rsidRPr="00150ABA">
        <w:rPr>
          <w:rStyle w:val="FootnoteReference"/>
          <w:noProof/>
        </w:rPr>
        <w:footnoteReference w:id="23"/>
      </w:r>
      <w:r w:rsidR="00D83B97" w:rsidRPr="00150ABA">
        <w:rPr>
          <w:noProof/>
        </w:rPr>
        <w:t>.</w:t>
      </w:r>
    </w:p>
    <w:p w14:paraId="58F0D419" w14:textId="581AD193" w:rsidR="00305EAE" w:rsidRPr="00150ABA" w:rsidRDefault="00D76D82" w:rsidP="00D76D82">
      <w:pPr>
        <w:pStyle w:val="ManualConsidrant"/>
        <w:rPr>
          <w:noProof/>
        </w:rPr>
      </w:pPr>
      <w:r w:rsidRPr="00D76D82">
        <w:t>(4)</w:t>
      </w:r>
      <w:r w:rsidRPr="00D76D82">
        <w:tab/>
      </w:r>
      <w:r w:rsidR="00B177D9" w:rsidRPr="00150ABA">
        <w:rPr>
          <w:noProof/>
        </w:rPr>
        <w:t>The</w:t>
      </w:r>
      <w:r w:rsidR="001A2D31" w:rsidRPr="00150ABA">
        <w:rPr>
          <w:noProof/>
        </w:rPr>
        <w:t xml:space="preserve"> </w:t>
      </w:r>
      <w:r w:rsidR="007F1E96" w:rsidRPr="00150ABA">
        <w:rPr>
          <w:noProof/>
        </w:rPr>
        <w:t xml:space="preserve">existing </w:t>
      </w:r>
      <w:r w:rsidR="001A2D31" w:rsidRPr="00150ABA">
        <w:rPr>
          <w:noProof/>
        </w:rPr>
        <w:t xml:space="preserve">legal frameworks at </w:t>
      </w:r>
      <w:r w:rsidR="007F1E96" w:rsidRPr="00150ABA">
        <w:rPr>
          <w:noProof/>
        </w:rPr>
        <w:t>Union</w:t>
      </w:r>
      <w:r w:rsidR="001A2D31" w:rsidRPr="00150ABA">
        <w:rPr>
          <w:noProof/>
        </w:rPr>
        <w:t xml:space="preserve"> level do not set out how the </w:t>
      </w:r>
      <w:r w:rsidR="007F1E96" w:rsidRPr="00150ABA">
        <w:rPr>
          <w:noProof/>
        </w:rPr>
        <w:t xml:space="preserve">entities participating in JITs </w:t>
      </w:r>
      <w:r w:rsidR="001A2D31" w:rsidRPr="00150ABA">
        <w:rPr>
          <w:noProof/>
        </w:rPr>
        <w:t>exchange</w:t>
      </w:r>
      <w:r w:rsidR="007F1E96" w:rsidRPr="00150ABA">
        <w:rPr>
          <w:noProof/>
        </w:rPr>
        <w:t xml:space="preserve"> information</w:t>
      </w:r>
      <w:r w:rsidR="001A2D31" w:rsidRPr="00150ABA">
        <w:rPr>
          <w:noProof/>
        </w:rPr>
        <w:t xml:space="preserve"> and communicat</w:t>
      </w:r>
      <w:r w:rsidR="007F1E96" w:rsidRPr="00150ABA">
        <w:rPr>
          <w:noProof/>
        </w:rPr>
        <w:t>e</w:t>
      </w:r>
      <w:r w:rsidR="001A2D31" w:rsidRPr="00150ABA">
        <w:rPr>
          <w:noProof/>
        </w:rPr>
        <w:t>. Th</w:t>
      </w:r>
      <w:r w:rsidR="007F1E96" w:rsidRPr="00150ABA">
        <w:rPr>
          <w:noProof/>
        </w:rPr>
        <w:t>o</w:t>
      </w:r>
      <w:r w:rsidR="000E133A" w:rsidRPr="00150ABA">
        <w:rPr>
          <w:noProof/>
        </w:rPr>
        <w:t xml:space="preserve">se entities </w:t>
      </w:r>
      <w:r w:rsidR="00406463" w:rsidRPr="00150ABA">
        <w:rPr>
          <w:noProof/>
        </w:rPr>
        <w:t xml:space="preserve">reach an </w:t>
      </w:r>
      <w:r w:rsidR="001A2D31" w:rsidRPr="00150ABA">
        <w:rPr>
          <w:noProof/>
        </w:rPr>
        <w:t>agree</w:t>
      </w:r>
      <w:r w:rsidR="00406463" w:rsidRPr="00150ABA">
        <w:rPr>
          <w:noProof/>
        </w:rPr>
        <w:t>ment</w:t>
      </w:r>
      <w:r w:rsidR="001A2D31" w:rsidRPr="00150ABA">
        <w:rPr>
          <w:noProof/>
        </w:rPr>
        <w:t xml:space="preserve"> </w:t>
      </w:r>
      <w:r w:rsidR="003F78E5" w:rsidRPr="00150ABA">
        <w:rPr>
          <w:noProof/>
        </w:rPr>
        <w:t xml:space="preserve">on </w:t>
      </w:r>
      <w:r w:rsidR="00406463" w:rsidRPr="00150ABA">
        <w:rPr>
          <w:noProof/>
        </w:rPr>
        <w:t>such exchange and communication on the basis of</w:t>
      </w:r>
      <w:r w:rsidR="001A2D31" w:rsidRPr="00150ABA">
        <w:rPr>
          <w:noProof/>
        </w:rPr>
        <w:t xml:space="preserve"> the needs and available means. However, there is a lack of dedicated secure and effective channel to w</w:t>
      </w:r>
      <w:r w:rsidR="00B177D9" w:rsidRPr="00150ABA">
        <w:rPr>
          <w:noProof/>
        </w:rPr>
        <w:t>hich all participants could have</w:t>
      </w:r>
      <w:r w:rsidR="001A2D31" w:rsidRPr="00150ABA">
        <w:rPr>
          <w:noProof/>
        </w:rPr>
        <w:t xml:space="preserve"> recourse and through which </w:t>
      </w:r>
      <w:r w:rsidR="00EB635B" w:rsidRPr="00150ABA">
        <w:rPr>
          <w:noProof/>
        </w:rPr>
        <w:t xml:space="preserve">they could promptly exchange </w:t>
      </w:r>
      <w:r w:rsidR="001A2D31" w:rsidRPr="00150ABA">
        <w:rPr>
          <w:noProof/>
        </w:rPr>
        <w:t xml:space="preserve">large volumes of information and evidence or allow for secure and effective communication. Furthermore, </w:t>
      </w:r>
      <w:r w:rsidR="00E66111" w:rsidRPr="00150ABA">
        <w:rPr>
          <w:noProof/>
        </w:rPr>
        <w:t xml:space="preserve">there is no system that would support daily management of JITs, including </w:t>
      </w:r>
      <w:r w:rsidR="001A2D31" w:rsidRPr="00150ABA">
        <w:rPr>
          <w:noProof/>
        </w:rPr>
        <w:t xml:space="preserve">the traceability of evidence exchanged among </w:t>
      </w:r>
      <w:r w:rsidR="006215DF" w:rsidRPr="00150ABA">
        <w:rPr>
          <w:noProof/>
        </w:rPr>
        <w:t>the participants</w:t>
      </w:r>
      <w:r w:rsidR="004611C4" w:rsidRPr="00150ABA">
        <w:rPr>
          <w:noProof/>
        </w:rPr>
        <w:t>.</w:t>
      </w:r>
    </w:p>
    <w:p w14:paraId="2A059A60" w14:textId="21CD3299" w:rsidR="001A2D31" w:rsidRPr="00150ABA" w:rsidRDefault="00D76D82" w:rsidP="00D76D82">
      <w:pPr>
        <w:pStyle w:val="ManualConsidrant"/>
        <w:rPr>
          <w:noProof/>
        </w:rPr>
      </w:pPr>
      <w:r w:rsidRPr="00D76D82">
        <w:t>(5)</w:t>
      </w:r>
      <w:r w:rsidRPr="00D76D82">
        <w:tab/>
      </w:r>
      <w:r w:rsidR="00F05290" w:rsidRPr="00150ABA">
        <w:rPr>
          <w:noProof/>
        </w:rPr>
        <w:t>In light of the increasing possibilities of crime infiltrating Information Technology (IT) systems, t</w:t>
      </w:r>
      <w:r w:rsidR="001A2D31" w:rsidRPr="00150ABA">
        <w:rPr>
          <w:noProof/>
        </w:rPr>
        <w:t>he current state of play could hamper the effectiveness and efficiency of cross-border investigations</w:t>
      </w:r>
      <w:r w:rsidR="00F05290" w:rsidRPr="00150ABA">
        <w:rPr>
          <w:noProof/>
        </w:rPr>
        <w:t>, as well as jeopardise and slow down such investigations and prosecutions, making them more costly</w:t>
      </w:r>
      <w:r w:rsidR="001A2D31" w:rsidRPr="00150ABA">
        <w:rPr>
          <w:noProof/>
        </w:rPr>
        <w:t xml:space="preserve">. </w:t>
      </w:r>
      <w:r w:rsidR="00F05290" w:rsidRPr="00150ABA">
        <w:rPr>
          <w:noProof/>
        </w:rPr>
        <w:t>T</w:t>
      </w:r>
      <w:r w:rsidR="001A2D31" w:rsidRPr="00150ABA">
        <w:rPr>
          <w:noProof/>
        </w:rPr>
        <w:t>he judiciary and law enforcement in particular need to ensure that their systems are as safe as possible and that all JIT members can connect and interact easily, independent</w:t>
      </w:r>
      <w:r w:rsidR="00EB635B" w:rsidRPr="00150ABA">
        <w:rPr>
          <w:noProof/>
        </w:rPr>
        <w:t>ly</w:t>
      </w:r>
      <w:r w:rsidR="001A2D31" w:rsidRPr="00150ABA">
        <w:rPr>
          <w:noProof/>
        </w:rPr>
        <w:t xml:space="preserve"> of their national systems.</w:t>
      </w:r>
    </w:p>
    <w:p w14:paraId="05283455" w14:textId="037104AE" w:rsidR="005816C7" w:rsidRPr="00150ABA" w:rsidRDefault="00D76D82" w:rsidP="00D76D82">
      <w:pPr>
        <w:pStyle w:val="ManualConsidrant"/>
        <w:rPr>
          <w:noProof/>
        </w:rPr>
      </w:pPr>
      <w:r w:rsidRPr="00D76D82">
        <w:t>(6)</w:t>
      </w:r>
      <w:r w:rsidRPr="00D76D82">
        <w:tab/>
      </w:r>
      <w:r w:rsidR="001A2D31" w:rsidRPr="00150ABA">
        <w:rPr>
          <w:noProof/>
        </w:rPr>
        <w:t xml:space="preserve">The speed and efficiency of the exchanges between </w:t>
      </w:r>
      <w:r w:rsidR="000E133A" w:rsidRPr="00150ABA">
        <w:rPr>
          <w:noProof/>
        </w:rPr>
        <w:t xml:space="preserve">the entities participating in </w:t>
      </w:r>
      <w:r w:rsidR="008E7EBE" w:rsidRPr="00150ABA">
        <w:rPr>
          <w:noProof/>
        </w:rPr>
        <w:t xml:space="preserve">JITs </w:t>
      </w:r>
      <w:r w:rsidR="001A2D31" w:rsidRPr="00150ABA">
        <w:rPr>
          <w:noProof/>
        </w:rPr>
        <w:t>could be considerably enhanced by creating a dedicated IT</w:t>
      </w:r>
      <w:r w:rsidR="00EB3036" w:rsidRPr="00150ABA">
        <w:rPr>
          <w:noProof/>
        </w:rPr>
        <w:t xml:space="preserve"> </w:t>
      </w:r>
      <w:r w:rsidR="001A2D31" w:rsidRPr="00150ABA">
        <w:rPr>
          <w:noProof/>
        </w:rPr>
        <w:t>platform</w:t>
      </w:r>
      <w:r w:rsidR="009A013D" w:rsidRPr="00150ABA">
        <w:rPr>
          <w:noProof/>
        </w:rPr>
        <w:t xml:space="preserve"> </w:t>
      </w:r>
      <w:r w:rsidR="001A2D31" w:rsidRPr="00150ABA">
        <w:rPr>
          <w:noProof/>
        </w:rPr>
        <w:t xml:space="preserve">to support their functioning. </w:t>
      </w:r>
      <w:r w:rsidR="007F1E96" w:rsidRPr="00150ABA">
        <w:rPr>
          <w:noProof/>
        </w:rPr>
        <w:t>T</w:t>
      </w:r>
      <w:r w:rsidR="001A2D31" w:rsidRPr="00150ABA">
        <w:rPr>
          <w:noProof/>
        </w:rPr>
        <w:t>herefore</w:t>
      </w:r>
      <w:r w:rsidR="007F1E96" w:rsidRPr="00150ABA">
        <w:rPr>
          <w:noProof/>
        </w:rPr>
        <w:t xml:space="preserve"> it is necessary to</w:t>
      </w:r>
      <w:r w:rsidR="001A2D31" w:rsidRPr="00150ABA">
        <w:rPr>
          <w:noProof/>
        </w:rPr>
        <w:t xml:space="preserve"> lay down rules establishing a centralised IT platform </w:t>
      </w:r>
      <w:r w:rsidR="00EB3036" w:rsidRPr="00150ABA">
        <w:rPr>
          <w:noProof/>
        </w:rPr>
        <w:t>(‘JITs collaboration platform’)</w:t>
      </w:r>
      <w:r w:rsidR="00F94D64" w:rsidRPr="00150ABA">
        <w:rPr>
          <w:noProof/>
        </w:rPr>
        <w:t xml:space="preserve"> </w:t>
      </w:r>
      <w:r w:rsidR="001A2D31" w:rsidRPr="00150ABA">
        <w:rPr>
          <w:noProof/>
        </w:rPr>
        <w:t xml:space="preserve">at Union level to </w:t>
      </w:r>
      <w:r w:rsidR="00B177D9" w:rsidRPr="00150ABA">
        <w:rPr>
          <w:noProof/>
        </w:rPr>
        <w:t xml:space="preserve">help JITs </w:t>
      </w:r>
      <w:r w:rsidR="001A2D31" w:rsidRPr="00150ABA">
        <w:rPr>
          <w:noProof/>
        </w:rPr>
        <w:t xml:space="preserve">collaborate, securely communicate and share information and evidence. </w:t>
      </w:r>
    </w:p>
    <w:p w14:paraId="34001FCE" w14:textId="0C17ADBE" w:rsidR="008E7EBE" w:rsidRPr="00150ABA" w:rsidRDefault="00D76D82" w:rsidP="00D76D82">
      <w:pPr>
        <w:pStyle w:val="ManualConsidrant"/>
        <w:rPr>
          <w:noProof/>
        </w:rPr>
      </w:pPr>
      <w:r w:rsidRPr="00D76D82">
        <w:t>(7)</w:t>
      </w:r>
      <w:r w:rsidRPr="00D76D82">
        <w:tab/>
      </w:r>
      <w:r w:rsidR="00EB3036" w:rsidRPr="00150ABA">
        <w:rPr>
          <w:noProof/>
        </w:rPr>
        <w:t>The</w:t>
      </w:r>
      <w:r w:rsidR="001A2D31" w:rsidRPr="00150ABA">
        <w:rPr>
          <w:noProof/>
        </w:rPr>
        <w:t xml:space="preserve"> </w:t>
      </w:r>
      <w:r w:rsidR="001C3781" w:rsidRPr="00150ABA">
        <w:rPr>
          <w:noProof/>
        </w:rPr>
        <w:t xml:space="preserve">JITs collaboration platform </w:t>
      </w:r>
      <w:r w:rsidR="001A2D31" w:rsidRPr="00150ABA">
        <w:rPr>
          <w:noProof/>
        </w:rPr>
        <w:t xml:space="preserve">should only be </w:t>
      </w:r>
      <w:r w:rsidR="001C3781" w:rsidRPr="00150ABA">
        <w:rPr>
          <w:noProof/>
        </w:rPr>
        <w:t>used</w:t>
      </w:r>
      <w:r w:rsidR="001A2D31" w:rsidRPr="00150ABA">
        <w:rPr>
          <w:noProof/>
        </w:rPr>
        <w:t xml:space="preserve"> where one of the </w:t>
      </w:r>
      <w:r w:rsidR="007F1E96" w:rsidRPr="00150ABA">
        <w:rPr>
          <w:noProof/>
        </w:rPr>
        <w:t xml:space="preserve">Union </w:t>
      </w:r>
      <w:r w:rsidR="001A2D31" w:rsidRPr="00150ABA">
        <w:rPr>
          <w:noProof/>
        </w:rPr>
        <w:t xml:space="preserve">legal bases is, among others, a legal basis for the JIT. For all JITs based solely on international legal bases, </w:t>
      </w:r>
      <w:r w:rsidR="00EB3036" w:rsidRPr="00150ABA">
        <w:rPr>
          <w:noProof/>
        </w:rPr>
        <w:t>the</w:t>
      </w:r>
      <w:r w:rsidR="001A2D31" w:rsidRPr="00150ABA">
        <w:rPr>
          <w:noProof/>
        </w:rPr>
        <w:t xml:space="preserve"> platform</w:t>
      </w:r>
      <w:r w:rsidR="00E87992" w:rsidRPr="00150ABA">
        <w:rPr>
          <w:noProof/>
        </w:rPr>
        <w:t xml:space="preserve">, financed by the </w:t>
      </w:r>
      <w:r w:rsidR="007F1E96" w:rsidRPr="00150ABA">
        <w:rPr>
          <w:noProof/>
        </w:rPr>
        <w:t xml:space="preserve">Union </w:t>
      </w:r>
      <w:r w:rsidR="00E87992" w:rsidRPr="00150ABA">
        <w:rPr>
          <w:noProof/>
        </w:rPr>
        <w:t xml:space="preserve">budget and developed on basis of </w:t>
      </w:r>
      <w:r w:rsidR="007F1E96" w:rsidRPr="00150ABA">
        <w:rPr>
          <w:noProof/>
        </w:rPr>
        <w:t xml:space="preserve">Union </w:t>
      </w:r>
      <w:r w:rsidR="00E87992" w:rsidRPr="00150ABA">
        <w:rPr>
          <w:noProof/>
        </w:rPr>
        <w:t>legislation,</w:t>
      </w:r>
      <w:r w:rsidR="001A2D31" w:rsidRPr="00150ABA">
        <w:rPr>
          <w:noProof/>
        </w:rPr>
        <w:t xml:space="preserve"> should not be used. </w:t>
      </w:r>
      <w:r w:rsidR="00942A57" w:rsidRPr="00150ABA">
        <w:rPr>
          <w:noProof/>
        </w:rPr>
        <w:t xml:space="preserve">However, where a third </w:t>
      </w:r>
      <w:r w:rsidR="007F1E96" w:rsidRPr="00150ABA">
        <w:rPr>
          <w:noProof/>
        </w:rPr>
        <w:t xml:space="preserve">country </w:t>
      </w:r>
      <w:r w:rsidR="00942A57" w:rsidRPr="00150ABA">
        <w:rPr>
          <w:noProof/>
        </w:rPr>
        <w:t xml:space="preserve">is part of </w:t>
      </w:r>
      <w:r w:rsidR="00557702" w:rsidRPr="00150ABA">
        <w:rPr>
          <w:noProof/>
        </w:rPr>
        <w:t xml:space="preserve">a </w:t>
      </w:r>
      <w:r w:rsidR="00942A57" w:rsidRPr="00150ABA">
        <w:rPr>
          <w:noProof/>
        </w:rPr>
        <w:t>JIT agreement</w:t>
      </w:r>
      <w:r w:rsidR="00184DD7" w:rsidRPr="00150ABA">
        <w:rPr>
          <w:noProof/>
        </w:rPr>
        <w:t xml:space="preserve"> </w:t>
      </w:r>
      <w:r w:rsidR="00942A57" w:rsidRPr="00150ABA">
        <w:rPr>
          <w:noProof/>
        </w:rPr>
        <w:t xml:space="preserve">that </w:t>
      </w:r>
      <w:r w:rsidR="00267396" w:rsidRPr="00150ABA">
        <w:rPr>
          <w:noProof/>
        </w:rPr>
        <w:t xml:space="preserve">lists one of the </w:t>
      </w:r>
      <w:r w:rsidR="007F1E96" w:rsidRPr="00150ABA">
        <w:rPr>
          <w:noProof/>
        </w:rPr>
        <w:t xml:space="preserve">Union </w:t>
      </w:r>
      <w:r w:rsidR="00267396" w:rsidRPr="00150ABA">
        <w:rPr>
          <w:noProof/>
        </w:rPr>
        <w:t xml:space="preserve">legal bases </w:t>
      </w:r>
      <w:r w:rsidR="00557702" w:rsidRPr="00150ABA">
        <w:rPr>
          <w:noProof/>
        </w:rPr>
        <w:t xml:space="preserve">besides </w:t>
      </w:r>
      <w:r w:rsidR="00267396" w:rsidRPr="00150ABA">
        <w:rPr>
          <w:noProof/>
        </w:rPr>
        <w:t xml:space="preserve">an international one, its competent authorities </w:t>
      </w:r>
      <w:r w:rsidR="0007123C" w:rsidRPr="00150ABA">
        <w:rPr>
          <w:noProof/>
        </w:rPr>
        <w:t xml:space="preserve">should </w:t>
      </w:r>
      <w:r w:rsidR="00267396" w:rsidRPr="00150ABA">
        <w:rPr>
          <w:noProof/>
        </w:rPr>
        <w:t>be considered JIT members.</w:t>
      </w:r>
    </w:p>
    <w:p w14:paraId="03D0EDE4" w14:textId="4D7E949A" w:rsidR="00C664CF" w:rsidRPr="00150ABA" w:rsidRDefault="00D76D82" w:rsidP="00D76D82">
      <w:pPr>
        <w:pStyle w:val="ManualConsidrant"/>
        <w:rPr>
          <w:noProof/>
        </w:rPr>
      </w:pPr>
      <w:r w:rsidRPr="00D76D82">
        <w:t>(8)</w:t>
      </w:r>
      <w:r w:rsidRPr="00D76D82">
        <w:tab/>
      </w:r>
      <w:r w:rsidR="00C664CF" w:rsidRPr="00150ABA">
        <w:rPr>
          <w:noProof/>
        </w:rPr>
        <w:t xml:space="preserve">The </w:t>
      </w:r>
      <w:r w:rsidR="00F94D64" w:rsidRPr="00150ABA">
        <w:rPr>
          <w:noProof/>
        </w:rPr>
        <w:t xml:space="preserve">use of the </w:t>
      </w:r>
      <w:r w:rsidR="00C664CF" w:rsidRPr="00150ABA">
        <w:rPr>
          <w:noProof/>
        </w:rPr>
        <w:t xml:space="preserve">JITs collaboration platform </w:t>
      </w:r>
      <w:r w:rsidR="00557702" w:rsidRPr="00150ABA">
        <w:rPr>
          <w:noProof/>
        </w:rPr>
        <w:t xml:space="preserve">should </w:t>
      </w:r>
      <w:r w:rsidR="00C664CF" w:rsidRPr="00150ABA">
        <w:rPr>
          <w:noProof/>
        </w:rPr>
        <w:t>be on a voluntary basis. However, in view of its added value for cross-border investigations its use is strongly encouraged. The use or non-use of the JITs collaboration platform should not prejudice or affect the legality of other forms of communication or exchange</w:t>
      </w:r>
      <w:r w:rsidR="00801A82" w:rsidRPr="00150ABA">
        <w:rPr>
          <w:noProof/>
        </w:rPr>
        <w:t xml:space="preserve"> of information</w:t>
      </w:r>
      <w:r w:rsidR="00C664CF" w:rsidRPr="00150ABA">
        <w:rPr>
          <w:noProof/>
        </w:rPr>
        <w:t xml:space="preserve"> and </w:t>
      </w:r>
      <w:r w:rsidR="00557702" w:rsidRPr="00150ABA">
        <w:rPr>
          <w:noProof/>
        </w:rPr>
        <w:t>should</w:t>
      </w:r>
      <w:r w:rsidR="00C664CF" w:rsidRPr="00150ABA">
        <w:rPr>
          <w:noProof/>
        </w:rPr>
        <w:t xml:space="preserve"> not change the way the JITs are set up</w:t>
      </w:r>
      <w:r w:rsidR="00554B15" w:rsidRPr="00150ABA">
        <w:rPr>
          <w:noProof/>
        </w:rPr>
        <w:t>,</w:t>
      </w:r>
      <w:r w:rsidR="00C664CF" w:rsidRPr="00150ABA">
        <w:rPr>
          <w:noProof/>
        </w:rPr>
        <w:t xml:space="preserve"> organised or function. The establish</w:t>
      </w:r>
      <w:r w:rsidR="00271736" w:rsidRPr="00150ABA">
        <w:rPr>
          <w:noProof/>
        </w:rPr>
        <w:t>ment</w:t>
      </w:r>
      <w:r w:rsidR="00C664CF" w:rsidRPr="00150ABA">
        <w:rPr>
          <w:noProof/>
        </w:rPr>
        <w:t xml:space="preserve"> </w:t>
      </w:r>
      <w:r w:rsidR="00557702" w:rsidRPr="00150ABA">
        <w:rPr>
          <w:noProof/>
        </w:rPr>
        <w:t xml:space="preserve">of the </w:t>
      </w:r>
      <w:r w:rsidR="00C664CF" w:rsidRPr="00150ABA">
        <w:rPr>
          <w:noProof/>
        </w:rPr>
        <w:t xml:space="preserve">JITs collaboration platform </w:t>
      </w:r>
      <w:r w:rsidR="00271736" w:rsidRPr="00150ABA">
        <w:rPr>
          <w:noProof/>
        </w:rPr>
        <w:t>should</w:t>
      </w:r>
      <w:r w:rsidR="00C664CF" w:rsidRPr="00150ABA">
        <w:rPr>
          <w:noProof/>
        </w:rPr>
        <w:t xml:space="preserve"> not impact the underlying legal bases for JITs </w:t>
      </w:r>
      <w:r w:rsidR="00801A82" w:rsidRPr="00150ABA">
        <w:rPr>
          <w:noProof/>
        </w:rPr>
        <w:t xml:space="preserve">nor </w:t>
      </w:r>
      <w:r w:rsidR="00C664CF" w:rsidRPr="00150ABA">
        <w:rPr>
          <w:noProof/>
        </w:rPr>
        <w:t xml:space="preserve">the applicable national procedural </w:t>
      </w:r>
      <w:r w:rsidR="00554B15" w:rsidRPr="00150ABA">
        <w:rPr>
          <w:noProof/>
        </w:rPr>
        <w:t xml:space="preserve">legislation </w:t>
      </w:r>
      <w:r w:rsidR="00C664CF" w:rsidRPr="00150ABA">
        <w:rPr>
          <w:noProof/>
        </w:rPr>
        <w:t>regarding the collection and use of the obtained evidence</w:t>
      </w:r>
      <w:r w:rsidR="00B177D9" w:rsidRPr="00150ABA">
        <w:rPr>
          <w:noProof/>
        </w:rPr>
        <w:t>. Th</w:t>
      </w:r>
      <w:r w:rsidR="00557702" w:rsidRPr="00150ABA">
        <w:rPr>
          <w:noProof/>
        </w:rPr>
        <w:t>e</w:t>
      </w:r>
      <w:r w:rsidR="00B177D9" w:rsidRPr="00150ABA">
        <w:rPr>
          <w:noProof/>
        </w:rPr>
        <w:t xml:space="preserve"> platform </w:t>
      </w:r>
      <w:r w:rsidR="00271736" w:rsidRPr="00150ABA">
        <w:rPr>
          <w:noProof/>
        </w:rPr>
        <w:t xml:space="preserve">should </w:t>
      </w:r>
      <w:r w:rsidR="00B177D9" w:rsidRPr="00150ABA">
        <w:rPr>
          <w:noProof/>
        </w:rPr>
        <w:t>only</w:t>
      </w:r>
      <w:r w:rsidR="00C664CF" w:rsidRPr="00150ABA">
        <w:rPr>
          <w:noProof/>
        </w:rPr>
        <w:t xml:space="preserve"> provide a secure IT tool </w:t>
      </w:r>
      <w:r w:rsidR="00557702" w:rsidRPr="00150ABA">
        <w:rPr>
          <w:noProof/>
        </w:rPr>
        <w:t>to</w:t>
      </w:r>
      <w:r w:rsidR="00C664CF" w:rsidRPr="00150ABA">
        <w:rPr>
          <w:noProof/>
        </w:rPr>
        <w:t xml:space="preserve"> improve the cooperation and the effectiveness of the JITs.</w:t>
      </w:r>
    </w:p>
    <w:p w14:paraId="01430552" w14:textId="6177D6F6" w:rsidR="00124055" w:rsidRPr="00150ABA" w:rsidRDefault="00D76D82" w:rsidP="00D76D82">
      <w:pPr>
        <w:pStyle w:val="ManualConsidrant"/>
        <w:rPr>
          <w:noProof/>
          <w:lang w:eastAsia="en-GB"/>
        </w:rPr>
      </w:pPr>
      <w:r w:rsidRPr="00D76D82">
        <w:t>(9)</w:t>
      </w:r>
      <w:r w:rsidRPr="00D76D82">
        <w:tab/>
      </w:r>
      <w:r w:rsidR="00D007B7" w:rsidRPr="00150ABA">
        <w:rPr>
          <w:noProof/>
          <w:lang w:eastAsia="en-GB"/>
        </w:rPr>
        <w:t>The JITs collaboration platform should cover</w:t>
      </w:r>
      <w:r w:rsidR="00C664CF" w:rsidRPr="00150ABA">
        <w:rPr>
          <w:noProof/>
          <w:lang w:eastAsia="en-GB"/>
        </w:rPr>
        <w:t xml:space="preserve"> the operational and post-operational phases of a JIT, starting from the moment the relevant JIT agreement </w:t>
      </w:r>
      <w:r w:rsidR="00557702" w:rsidRPr="00150ABA">
        <w:rPr>
          <w:noProof/>
          <w:lang w:eastAsia="en-GB"/>
        </w:rPr>
        <w:t>is</w:t>
      </w:r>
      <w:r w:rsidR="00C664CF" w:rsidRPr="00150ABA">
        <w:rPr>
          <w:noProof/>
          <w:lang w:eastAsia="en-GB"/>
        </w:rPr>
        <w:t xml:space="preserve"> signed by its members</w:t>
      </w:r>
      <w:r w:rsidR="00D007B7" w:rsidRPr="00150ABA">
        <w:rPr>
          <w:noProof/>
          <w:lang w:eastAsia="en-GB"/>
        </w:rPr>
        <w:t>, and finishing once the JIT evaluation is over</w:t>
      </w:r>
      <w:r w:rsidR="00C664CF" w:rsidRPr="00150ABA">
        <w:rPr>
          <w:noProof/>
          <w:lang w:eastAsia="en-GB"/>
        </w:rPr>
        <w:t xml:space="preserve">. </w:t>
      </w:r>
      <w:r w:rsidR="0070791F" w:rsidRPr="00150ABA">
        <w:rPr>
          <w:noProof/>
        </w:rPr>
        <w:t xml:space="preserve">Due to the fact that the actors participating in the JIT set-up process are different </w:t>
      </w:r>
      <w:r w:rsidR="00557702" w:rsidRPr="00150ABA">
        <w:rPr>
          <w:noProof/>
        </w:rPr>
        <w:t>from</w:t>
      </w:r>
      <w:r w:rsidR="0070791F" w:rsidRPr="00150ABA">
        <w:rPr>
          <w:noProof/>
        </w:rPr>
        <w:t xml:space="preserve"> t</w:t>
      </w:r>
      <w:r w:rsidR="00C61BC1" w:rsidRPr="00150ABA">
        <w:rPr>
          <w:noProof/>
        </w:rPr>
        <w:t>he</w:t>
      </w:r>
      <w:r w:rsidR="0070791F" w:rsidRPr="00150ABA">
        <w:rPr>
          <w:noProof/>
        </w:rPr>
        <w:t xml:space="preserve"> </w:t>
      </w:r>
      <w:r w:rsidR="00557702" w:rsidRPr="00150ABA">
        <w:rPr>
          <w:noProof/>
        </w:rPr>
        <w:t xml:space="preserve">actors </w:t>
      </w:r>
      <w:r w:rsidR="0070791F" w:rsidRPr="00150ABA">
        <w:rPr>
          <w:noProof/>
        </w:rPr>
        <w:t xml:space="preserve">who are members of JIT once </w:t>
      </w:r>
      <w:r w:rsidR="00557702" w:rsidRPr="00150ABA">
        <w:rPr>
          <w:noProof/>
        </w:rPr>
        <w:t>it is</w:t>
      </w:r>
      <w:r w:rsidR="0070791F" w:rsidRPr="00150ABA">
        <w:rPr>
          <w:noProof/>
        </w:rPr>
        <w:t xml:space="preserve"> established, the </w:t>
      </w:r>
      <w:r w:rsidR="00C664CF" w:rsidRPr="00150ABA">
        <w:rPr>
          <w:noProof/>
        </w:rPr>
        <w:t>process of setting up a JIT, especially the negotiation of the content and the signature of the JIT agreement</w:t>
      </w:r>
      <w:r w:rsidR="00D007B7" w:rsidRPr="00150ABA">
        <w:rPr>
          <w:noProof/>
        </w:rPr>
        <w:t>,</w:t>
      </w:r>
      <w:r w:rsidR="00C664CF" w:rsidRPr="00150ABA">
        <w:rPr>
          <w:noProof/>
        </w:rPr>
        <w:t xml:space="preserve"> </w:t>
      </w:r>
      <w:r w:rsidR="00D007B7" w:rsidRPr="00150ABA">
        <w:rPr>
          <w:noProof/>
        </w:rPr>
        <w:t xml:space="preserve">should </w:t>
      </w:r>
      <w:r w:rsidR="00C664CF" w:rsidRPr="00150ABA">
        <w:rPr>
          <w:noProof/>
        </w:rPr>
        <w:t xml:space="preserve">not be managed by the JITs collaboration platform. </w:t>
      </w:r>
      <w:r w:rsidR="0070791F" w:rsidRPr="00150ABA">
        <w:rPr>
          <w:noProof/>
        </w:rPr>
        <w:t>However, following a need for an electronic tool to support the process of signing up a JIT, the Commission should consider covering</w:t>
      </w:r>
      <w:r w:rsidR="0070791F" w:rsidRPr="00150ABA">
        <w:rPr>
          <w:noProof/>
          <w:szCs w:val="24"/>
        </w:rPr>
        <w:t xml:space="preserve"> that process by the </w:t>
      </w:r>
      <w:r w:rsidR="0070791F" w:rsidRPr="00150ABA">
        <w:rPr>
          <w:noProof/>
        </w:rPr>
        <w:t>e-Evidence Digital Exchange System (eEDES).</w:t>
      </w:r>
    </w:p>
    <w:p w14:paraId="032FC4D4" w14:textId="4CA7EE90" w:rsidR="00124055" w:rsidRPr="00150ABA" w:rsidRDefault="00D76D82" w:rsidP="00D76D82">
      <w:pPr>
        <w:pStyle w:val="ManualConsidrant"/>
        <w:rPr>
          <w:noProof/>
        </w:rPr>
      </w:pPr>
      <w:r w:rsidRPr="00D76D82">
        <w:t>(10)</w:t>
      </w:r>
      <w:r w:rsidRPr="00D76D82">
        <w:tab/>
      </w:r>
      <w:r w:rsidR="00493A4A" w:rsidRPr="00150ABA">
        <w:rPr>
          <w:noProof/>
        </w:rPr>
        <w:t xml:space="preserve">For each JIT making use of the JITs collaboration platform, </w:t>
      </w:r>
      <w:r w:rsidR="008E7EBE" w:rsidRPr="00150ABA">
        <w:rPr>
          <w:noProof/>
        </w:rPr>
        <w:t xml:space="preserve">the </w:t>
      </w:r>
      <w:r w:rsidR="00124055" w:rsidRPr="00150ABA">
        <w:rPr>
          <w:noProof/>
        </w:rPr>
        <w:t>JIT</w:t>
      </w:r>
      <w:r w:rsidR="00932315" w:rsidRPr="00150ABA">
        <w:rPr>
          <w:noProof/>
        </w:rPr>
        <w:t xml:space="preserve"> members </w:t>
      </w:r>
      <w:r w:rsidR="00C61BC1" w:rsidRPr="00150ABA">
        <w:rPr>
          <w:noProof/>
        </w:rPr>
        <w:t>should be</w:t>
      </w:r>
      <w:r w:rsidR="00124055" w:rsidRPr="00150ABA">
        <w:rPr>
          <w:noProof/>
        </w:rPr>
        <w:t xml:space="preserve"> encouraged to conduct </w:t>
      </w:r>
      <w:r w:rsidR="00932315" w:rsidRPr="00150ABA">
        <w:rPr>
          <w:noProof/>
        </w:rPr>
        <w:t>an</w:t>
      </w:r>
      <w:r w:rsidR="00493A4A" w:rsidRPr="00150ABA">
        <w:rPr>
          <w:noProof/>
        </w:rPr>
        <w:t xml:space="preserve"> </w:t>
      </w:r>
      <w:r w:rsidR="00124055" w:rsidRPr="00150ABA">
        <w:rPr>
          <w:noProof/>
        </w:rPr>
        <w:t>evaluation</w:t>
      </w:r>
      <w:r w:rsidR="008619FF" w:rsidRPr="00150ABA">
        <w:rPr>
          <w:noProof/>
        </w:rPr>
        <w:t xml:space="preserve"> of the JIT</w:t>
      </w:r>
      <w:r w:rsidR="00493A4A" w:rsidRPr="00150ABA">
        <w:rPr>
          <w:noProof/>
        </w:rPr>
        <w:t xml:space="preserve">, either </w:t>
      </w:r>
      <w:r w:rsidR="00E00C2B" w:rsidRPr="00150ABA">
        <w:rPr>
          <w:iCs/>
          <w:noProof/>
        </w:rPr>
        <w:t>during the operational phase</w:t>
      </w:r>
      <w:r w:rsidR="00493A4A" w:rsidRPr="00150ABA">
        <w:rPr>
          <w:iCs/>
          <w:noProof/>
        </w:rPr>
        <w:t xml:space="preserve"> of the JIT or following its closure, </w:t>
      </w:r>
      <w:r w:rsidR="00493A4A" w:rsidRPr="00150ABA">
        <w:rPr>
          <w:noProof/>
        </w:rPr>
        <w:t>using the tools provided for by the JITs collaboration platform.</w:t>
      </w:r>
    </w:p>
    <w:p w14:paraId="5A9EA8AB" w14:textId="57ED7B81" w:rsidR="0070791F" w:rsidRPr="00150ABA" w:rsidRDefault="00D76D82" w:rsidP="00D76D82">
      <w:pPr>
        <w:pStyle w:val="ManualConsidrant"/>
        <w:rPr>
          <w:noProof/>
        </w:rPr>
      </w:pPr>
      <w:r w:rsidRPr="00D76D82">
        <w:t>(11)</w:t>
      </w:r>
      <w:r w:rsidRPr="00D76D82">
        <w:tab/>
      </w:r>
      <w:r w:rsidR="0070791F" w:rsidRPr="00150ABA">
        <w:rPr>
          <w:noProof/>
        </w:rPr>
        <w:t xml:space="preserve">The JIT agreement </w:t>
      </w:r>
      <w:r w:rsidR="00246491" w:rsidRPr="00150ABA">
        <w:rPr>
          <w:noProof/>
        </w:rPr>
        <w:t>should</w:t>
      </w:r>
      <w:r w:rsidR="0070791F" w:rsidRPr="00150ABA">
        <w:rPr>
          <w:noProof/>
        </w:rPr>
        <w:t xml:space="preserve"> be </w:t>
      </w:r>
      <w:r w:rsidR="00C61BC1" w:rsidRPr="00150ABA">
        <w:rPr>
          <w:noProof/>
        </w:rPr>
        <w:t>a</w:t>
      </w:r>
      <w:r w:rsidR="0070791F" w:rsidRPr="00150ABA">
        <w:rPr>
          <w:noProof/>
        </w:rPr>
        <w:t xml:space="preserve"> prerequisite for the use of </w:t>
      </w:r>
      <w:r w:rsidR="00C61BC1" w:rsidRPr="00150ABA">
        <w:rPr>
          <w:noProof/>
        </w:rPr>
        <w:t xml:space="preserve">the </w:t>
      </w:r>
      <w:r w:rsidR="0070791F" w:rsidRPr="00150ABA">
        <w:rPr>
          <w:noProof/>
        </w:rPr>
        <w:t>JITs collaboration platform.</w:t>
      </w:r>
      <w:r w:rsidR="006E16B8" w:rsidRPr="00150ABA">
        <w:rPr>
          <w:noProof/>
        </w:rPr>
        <w:t xml:space="preserve"> </w:t>
      </w:r>
      <w:r w:rsidR="00932315" w:rsidRPr="00150ABA">
        <w:rPr>
          <w:noProof/>
        </w:rPr>
        <w:t>The c</w:t>
      </w:r>
      <w:r w:rsidR="006E16B8" w:rsidRPr="00150ABA">
        <w:rPr>
          <w:noProof/>
        </w:rPr>
        <w:t>ontent of all future JIT agreements should be adapted to take into account the relevant provisions of this Regulation.</w:t>
      </w:r>
    </w:p>
    <w:p w14:paraId="13B9A18B" w14:textId="43ACD17D" w:rsidR="00BD5DC3" w:rsidRPr="00150ABA" w:rsidRDefault="00D76D82" w:rsidP="00D76D82">
      <w:pPr>
        <w:pStyle w:val="ManualConsidrant"/>
        <w:rPr>
          <w:noProof/>
          <w:lang w:eastAsia="en-GB"/>
        </w:rPr>
      </w:pPr>
      <w:r w:rsidRPr="00D76D82">
        <w:t>(12)</w:t>
      </w:r>
      <w:r w:rsidRPr="00D76D82">
        <w:tab/>
      </w:r>
      <w:r w:rsidR="00BD5DC3" w:rsidRPr="00150ABA">
        <w:rPr>
          <w:noProof/>
          <w:lang w:eastAsia="en-GB"/>
        </w:rPr>
        <w:t xml:space="preserve">From </w:t>
      </w:r>
      <w:r w:rsidR="00932315" w:rsidRPr="00150ABA">
        <w:rPr>
          <w:noProof/>
          <w:lang w:eastAsia="en-GB"/>
        </w:rPr>
        <w:t>an</w:t>
      </w:r>
      <w:r w:rsidR="00BD5DC3" w:rsidRPr="00150ABA">
        <w:rPr>
          <w:noProof/>
          <w:lang w:eastAsia="en-GB"/>
        </w:rPr>
        <w:t xml:space="preserve"> operational perspective, the JITs collaboration platform </w:t>
      </w:r>
      <w:r w:rsidR="00246491" w:rsidRPr="00150ABA">
        <w:rPr>
          <w:noProof/>
          <w:lang w:eastAsia="en-GB"/>
        </w:rPr>
        <w:t xml:space="preserve">should </w:t>
      </w:r>
      <w:r w:rsidR="00BD5DC3" w:rsidRPr="00150ABA">
        <w:rPr>
          <w:noProof/>
          <w:lang w:eastAsia="en-GB"/>
        </w:rPr>
        <w:t>be composed of isolated JIT collaboration spaces created for each individual JIT hosted by the platform.</w:t>
      </w:r>
    </w:p>
    <w:p w14:paraId="53770E90" w14:textId="6DBB40AB" w:rsidR="00C664CF" w:rsidRPr="00150ABA" w:rsidRDefault="00D76D82" w:rsidP="00D76D82">
      <w:pPr>
        <w:pStyle w:val="ManualConsidrant"/>
        <w:rPr>
          <w:noProof/>
          <w:lang w:eastAsia="en-GB"/>
        </w:rPr>
      </w:pPr>
      <w:r w:rsidRPr="00D76D82">
        <w:t>(13)</w:t>
      </w:r>
      <w:r w:rsidRPr="00D76D82">
        <w:tab/>
      </w:r>
      <w:r w:rsidR="0047059E" w:rsidRPr="00150ABA">
        <w:rPr>
          <w:noProof/>
          <w:lang w:eastAsia="en-GB"/>
        </w:rPr>
        <w:t xml:space="preserve">From </w:t>
      </w:r>
      <w:r w:rsidR="00932315" w:rsidRPr="00150ABA">
        <w:rPr>
          <w:noProof/>
          <w:lang w:eastAsia="en-GB"/>
        </w:rPr>
        <w:t>a</w:t>
      </w:r>
      <w:r w:rsidR="0047059E" w:rsidRPr="00150ABA">
        <w:rPr>
          <w:noProof/>
          <w:lang w:eastAsia="en-GB"/>
        </w:rPr>
        <w:t xml:space="preserve"> </w:t>
      </w:r>
      <w:r w:rsidR="00441844" w:rsidRPr="00150ABA">
        <w:rPr>
          <w:noProof/>
          <w:lang w:eastAsia="en-GB"/>
        </w:rPr>
        <w:t xml:space="preserve">technical </w:t>
      </w:r>
      <w:r w:rsidR="0047059E" w:rsidRPr="00150ABA">
        <w:rPr>
          <w:noProof/>
          <w:lang w:eastAsia="en-GB"/>
        </w:rPr>
        <w:t>perspective, t</w:t>
      </w:r>
      <w:r w:rsidR="00C664CF" w:rsidRPr="00150ABA">
        <w:rPr>
          <w:noProof/>
          <w:lang w:eastAsia="en-GB"/>
        </w:rPr>
        <w:t xml:space="preserve">he JITs collaboration platform </w:t>
      </w:r>
      <w:r w:rsidR="0070791F" w:rsidRPr="00150ABA">
        <w:rPr>
          <w:noProof/>
          <w:lang w:eastAsia="en-GB"/>
        </w:rPr>
        <w:t xml:space="preserve">should </w:t>
      </w:r>
      <w:r w:rsidR="00C664CF" w:rsidRPr="00150ABA">
        <w:rPr>
          <w:noProof/>
          <w:lang w:eastAsia="en-GB"/>
        </w:rPr>
        <w:t xml:space="preserve">be </w:t>
      </w:r>
      <w:r w:rsidR="00441844" w:rsidRPr="00150ABA">
        <w:rPr>
          <w:noProof/>
          <w:lang w:eastAsia="en-GB"/>
        </w:rPr>
        <w:t xml:space="preserve">accessible </w:t>
      </w:r>
      <w:r w:rsidR="00932315" w:rsidRPr="00150ABA">
        <w:rPr>
          <w:noProof/>
          <w:lang w:eastAsia="en-GB"/>
        </w:rPr>
        <w:t xml:space="preserve">via </w:t>
      </w:r>
      <w:r w:rsidR="008E7EBE" w:rsidRPr="00150ABA">
        <w:rPr>
          <w:noProof/>
          <w:lang w:eastAsia="en-GB"/>
        </w:rPr>
        <w:t xml:space="preserve">a secure connection over </w:t>
      </w:r>
      <w:r w:rsidR="00932315" w:rsidRPr="00150ABA">
        <w:rPr>
          <w:noProof/>
          <w:lang w:eastAsia="en-GB"/>
        </w:rPr>
        <w:t>the</w:t>
      </w:r>
      <w:r w:rsidR="00BA0496" w:rsidRPr="00150ABA">
        <w:rPr>
          <w:noProof/>
          <w:lang w:eastAsia="en-GB"/>
        </w:rPr>
        <w:t xml:space="preserve"> </w:t>
      </w:r>
      <w:r w:rsidR="00441844" w:rsidRPr="00150ABA">
        <w:rPr>
          <w:noProof/>
          <w:lang w:eastAsia="en-GB"/>
        </w:rPr>
        <w:t xml:space="preserve">internet and should be </w:t>
      </w:r>
      <w:r w:rsidR="00C664CF" w:rsidRPr="00150ABA">
        <w:rPr>
          <w:noProof/>
          <w:lang w:eastAsia="en-GB"/>
        </w:rPr>
        <w:t>composed of</w:t>
      </w:r>
      <w:r w:rsidR="0070791F" w:rsidRPr="00150ABA">
        <w:rPr>
          <w:noProof/>
          <w:lang w:eastAsia="en-GB"/>
        </w:rPr>
        <w:t xml:space="preserve"> </w:t>
      </w:r>
      <w:r w:rsidR="00C664CF" w:rsidRPr="00150ABA">
        <w:rPr>
          <w:noProof/>
          <w:lang w:eastAsia="en-GB"/>
        </w:rPr>
        <w:t xml:space="preserve">a centralised information system, </w:t>
      </w:r>
      <w:r w:rsidR="004C496F" w:rsidRPr="00150ABA">
        <w:rPr>
          <w:noProof/>
          <w:lang w:eastAsia="en-GB"/>
        </w:rPr>
        <w:t xml:space="preserve">accessible through a web portal, </w:t>
      </w:r>
      <w:r w:rsidR="00C664CF" w:rsidRPr="00150ABA">
        <w:rPr>
          <w:noProof/>
          <w:lang w:eastAsia="en-GB"/>
        </w:rPr>
        <w:t>communication software</w:t>
      </w:r>
      <w:r w:rsidR="0070791F" w:rsidRPr="00150ABA">
        <w:rPr>
          <w:noProof/>
          <w:lang w:eastAsia="en-GB"/>
        </w:rPr>
        <w:t xml:space="preserve"> </w:t>
      </w:r>
      <w:r w:rsidR="00401712" w:rsidRPr="00150ABA">
        <w:rPr>
          <w:noProof/>
          <w:lang w:eastAsia="en-GB"/>
        </w:rPr>
        <w:t xml:space="preserve">for mobile and desktop devices, </w:t>
      </w:r>
      <w:r w:rsidR="0070791F" w:rsidRPr="00150ABA">
        <w:rPr>
          <w:noProof/>
          <w:lang w:eastAsia="en-GB"/>
        </w:rPr>
        <w:t xml:space="preserve">and a </w:t>
      </w:r>
      <w:r w:rsidR="00C664CF" w:rsidRPr="00150ABA">
        <w:rPr>
          <w:noProof/>
          <w:lang w:eastAsia="en-GB"/>
        </w:rPr>
        <w:t xml:space="preserve">connection between the centralised information system and relevant IT tools, supporting </w:t>
      </w:r>
      <w:r w:rsidR="00C61BC1" w:rsidRPr="00150ABA">
        <w:rPr>
          <w:noProof/>
          <w:lang w:eastAsia="en-GB"/>
        </w:rPr>
        <w:t xml:space="preserve">the </w:t>
      </w:r>
      <w:r w:rsidR="00C664CF" w:rsidRPr="00150ABA">
        <w:rPr>
          <w:noProof/>
          <w:lang w:eastAsia="en-GB"/>
        </w:rPr>
        <w:t>functioning of JITs</w:t>
      </w:r>
      <w:r w:rsidR="0061472E" w:rsidRPr="00150ABA">
        <w:rPr>
          <w:noProof/>
          <w:lang w:eastAsia="en-GB"/>
        </w:rPr>
        <w:t xml:space="preserve"> and</w:t>
      </w:r>
      <w:r w:rsidR="00C664CF" w:rsidRPr="00150ABA">
        <w:rPr>
          <w:noProof/>
          <w:lang w:eastAsia="en-GB"/>
        </w:rPr>
        <w:t xml:space="preserve"> managed by the JIT Secretariat</w:t>
      </w:r>
      <w:r w:rsidR="00C349D6" w:rsidRPr="00150ABA">
        <w:rPr>
          <w:noProof/>
          <w:lang w:eastAsia="en-GB"/>
        </w:rPr>
        <w:t>.</w:t>
      </w:r>
    </w:p>
    <w:p w14:paraId="19768594" w14:textId="664E87C3" w:rsidR="00C664CF" w:rsidRPr="00150ABA" w:rsidRDefault="00D76D82" w:rsidP="00D76D82">
      <w:pPr>
        <w:pStyle w:val="ManualConsidrant"/>
        <w:rPr>
          <w:noProof/>
          <w:lang w:eastAsia="en-GB"/>
        </w:rPr>
      </w:pPr>
      <w:r w:rsidRPr="00D76D82">
        <w:t>(14)</w:t>
      </w:r>
      <w:r w:rsidRPr="00D76D82">
        <w:tab/>
      </w:r>
      <w:r w:rsidR="00C664CF" w:rsidRPr="00150ABA">
        <w:rPr>
          <w:noProof/>
          <w:lang w:eastAsia="en-GB"/>
        </w:rPr>
        <w:t xml:space="preserve">The purpose of the JITs collaboration platform </w:t>
      </w:r>
      <w:r w:rsidR="0070791F" w:rsidRPr="00150ABA">
        <w:rPr>
          <w:noProof/>
          <w:lang w:eastAsia="en-GB"/>
        </w:rPr>
        <w:t xml:space="preserve">should </w:t>
      </w:r>
      <w:r w:rsidR="00C664CF" w:rsidRPr="00150ABA">
        <w:rPr>
          <w:noProof/>
          <w:lang w:eastAsia="en-GB"/>
        </w:rPr>
        <w:t>be to facilitate</w:t>
      </w:r>
      <w:r w:rsidR="0070791F" w:rsidRPr="00150ABA">
        <w:rPr>
          <w:noProof/>
          <w:lang w:eastAsia="en-GB"/>
        </w:rPr>
        <w:t xml:space="preserve"> </w:t>
      </w:r>
      <w:r w:rsidR="00C664CF" w:rsidRPr="00150ABA">
        <w:rPr>
          <w:noProof/>
          <w:lang w:eastAsia="en-GB"/>
        </w:rPr>
        <w:t>the daily coordination and management of a JIT</w:t>
      </w:r>
      <w:r w:rsidR="0070791F" w:rsidRPr="00150ABA">
        <w:rPr>
          <w:noProof/>
          <w:lang w:eastAsia="en-GB"/>
        </w:rPr>
        <w:t xml:space="preserve">, ensure </w:t>
      </w:r>
      <w:r w:rsidR="00C664CF" w:rsidRPr="00150ABA">
        <w:rPr>
          <w:noProof/>
          <w:lang w:eastAsia="en-GB"/>
        </w:rPr>
        <w:t xml:space="preserve">the exchange and temporary storage of operational information and evidence, </w:t>
      </w:r>
      <w:r w:rsidR="0070791F" w:rsidRPr="00150ABA">
        <w:rPr>
          <w:noProof/>
          <w:lang w:eastAsia="en-GB"/>
        </w:rPr>
        <w:t xml:space="preserve">provide </w:t>
      </w:r>
      <w:r w:rsidR="00C664CF" w:rsidRPr="00150ABA">
        <w:rPr>
          <w:noProof/>
          <w:lang w:eastAsia="en-GB"/>
        </w:rPr>
        <w:t>secure communication</w:t>
      </w:r>
      <w:r w:rsidR="0070791F" w:rsidRPr="00150ABA">
        <w:rPr>
          <w:noProof/>
          <w:lang w:eastAsia="en-GB"/>
        </w:rPr>
        <w:t xml:space="preserve">, provide for </w:t>
      </w:r>
      <w:r w:rsidR="00C664CF" w:rsidRPr="00150ABA">
        <w:rPr>
          <w:noProof/>
          <w:lang w:eastAsia="en-GB"/>
        </w:rPr>
        <w:t xml:space="preserve">evidence traceability </w:t>
      </w:r>
      <w:r w:rsidR="0070791F" w:rsidRPr="00150ABA">
        <w:rPr>
          <w:noProof/>
          <w:lang w:eastAsia="en-GB"/>
        </w:rPr>
        <w:t xml:space="preserve">and support the process of </w:t>
      </w:r>
      <w:r w:rsidR="00C664CF" w:rsidRPr="00150ABA">
        <w:rPr>
          <w:noProof/>
          <w:lang w:eastAsia="en-GB"/>
        </w:rPr>
        <w:t>the evaluation of a JIT</w:t>
      </w:r>
      <w:r w:rsidR="0070791F" w:rsidRPr="00150ABA">
        <w:rPr>
          <w:noProof/>
          <w:lang w:eastAsia="en-GB"/>
        </w:rPr>
        <w:t>.</w:t>
      </w:r>
      <w:r w:rsidR="004C496F" w:rsidRPr="00150ABA">
        <w:rPr>
          <w:noProof/>
          <w:lang w:eastAsia="en-GB"/>
        </w:rPr>
        <w:t xml:space="preserve"> </w:t>
      </w:r>
      <w:r w:rsidR="004927F4" w:rsidRPr="00150ABA">
        <w:rPr>
          <w:noProof/>
          <w:lang w:eastAsia="en-GB"/>
        </w:rPr>
        <w:t xml:space="preserve">All </w:t>
      </w:r>
      <w:r w:rsidR="000E133A" w:rsidRPr="00150ABA">
        <w:rPr>
          <w:noProof/>
          <w:lang w:eastAsia="en-GB"/>
        </w:rPr>
        <w:t xml:space="preserve">entities participating in </w:t>
      </w:r>
      <w:r w:rsidR="003F78E5" w:rsidRPr="00150ABA">
        <w:rPr>
          <w:noProof/>
          <w:lang w:eastAsia="en-GB"/>
        </w:rPr>
        <w:t>JIT</w:t>
      </w:r>
      <w:r w:rsidR="000E133A" w:rsidRPr="00150ABA">
        <w:rPr>
          <w:noProof/>
          <w:lang w:eastAsia="en-GB"/>
        </w:rPr>
        <w:t>s</w:t>
      </w:r>
      <w:r w:rsidR="003F78E5" w:rsidRPr="00150ABA">
        <w:rPr>
          <w:noProof/>
          <w:lang w:eastAsia="en-GB"/>
        </w:rPr>
        <w:t xml:space="preserve"> </w:t>
      </w:r>
      <w:r w:rsidR="004C496F" w:rsidRPr="00150ABA">
        <w:rPr>
          <w:noProof/>
          <w:lang w:eastAsia="en-GB"/>
        </w:rPr>
        <w:t>should be encouraged to use all functionalities of the JITs collaboration platform and to replace as much as possible the communication and data exchange channels</w:t>
      </w:r>
      <w:r w:rsidR="00953CA7" w:rsidRPr="00150ABA">
        <w:rPr>
          <w:noProof/>
          <w:lang w:eastAsia="en-GB"/>
        </w:rPr>
        <w:t xml:space="preserve"> which are currently used</w:t>
      </w:r>
      <w:r w:rsidR="004C496F" w:rsidRPr="00150ABA">
        <w:rPr>
          <w:noProof/>
          <w:lang w:eastAsia="en-GB"/>
        </w:rPr>
        <w:t>.</w:t>
      </w:r>
    </w:p>
    <w:p w14:paraId="61331C51" w14:textId="37CA4890" w:rsidR="00C0180C" w:rsidRPr="00150ABA" w:rsidRDefault="00D76D82" w:rsidP="00D76D82">
      <w:pPr>
        <w:pStyle w:val="ManualConsidrant"/>
        <w:rPr>
          <w:noProof/>
          <w:lang w:eastAsia="en-GB"/>
        </w:rPr>
      </w:pPr>
      <w:r w:rsidRPr="00D76D82">
        <w:t>(15)</w:t>
      </w:r>
      <w:r w:rsidRPr="00D76D82">
        <w:tab/>
      </w:r>
      <w:r w:rsidR="00C0180C" w:rsidRPr="00150ABA">
        <w:rPr>
          <w:noProof/>
        </w:rPr>
        <w:t>The JITs collaboration platform complements existing tools allowing for secure exchange of data among judicial authorities and law enforcement, such as the Secure Information Exchange Network Application (SIENA).</w:t>
      </w:r>
    </w:p>
    <w:p w14:paraId="72EF3B61" w14:textId="6EE08E91" w:rsidR="004C496F" w:rsidRPr="00150ABA" w:rsidRDefault="00D76D82" w:rsidP="00D76D82">
      <w:pPr>
        <w:pStyle w:val="ManualConsidrant"/>
        <w:rPr>
          <w:noProof/>
        </w:rPr>
      </w:pPr>
      <w:r w:rsidRPr="00D76D82">
        <w:t>(16)</w:t>
      </w:r>
      <w:r w:rsidRPr="00D76D82">
        <w:tab/>
      </w:r>
      <w:r w:rsidR="004C496F" w:rsidRPr="00150ABA">
        <w:rPr>
          <w:noProof/>
        </w:rPr>
        <w:t>Communication</w:t>
      </w:r>
      <w:r w:rsidR="00932315" w:rsidRPr="00150ABA">
        <w:rPr>
          <w:noProof/>
        </w:rPr>
        <w:t>-</w:t>
      </w:r>
      <w:r w:rsidR="004C496F" w:rsidRPr="00150ABA">
        <w:rPr>
          <w:noProof/>
        </w:rPr>
        <w:t xml:space="preserve">related functionalities of the JITs collaboration platform should be </w:t>
      </w:r>
      <w:r w:rsidR="005C551F" w:rsidRPr="00150ABA">
        <w:rPr>
          <w:noProof/>
        </w:rPr>
        <w:t>provided</w:t>
      </w:r>
      <w:r w:rsidR="004C496F" w:rsidRPr="00150ABA">
        <w:rPr>
          <w:noProof/>
        </w:rPr>
        <w:t xml:space="preserve"> by a software allowing for non-traceable communication stored locally at the devices of the users.</w:t>
      </w:r>
    </w:p>
    <w:p w14:paraId="5EC5F66A" w14:textId="2FA88419" w:rsidR="004C496F" w:rsidRPr="00150ABA" w:rsidRDefault="00D76D82" w:rsidP="00D76D82">
      <w:pPr>
        <w:pStyle w:val="ManualConsidrant"/>
        <w:rPr>
          <w:noProof/>
        </w:rPr>
      </w:pPr>
      <w:r w:rsidRPr="00D76D82">
        <w:t>(17)</w:t>
      </w:r>
      <w:r w:rsidRPr="00D76D82">
        <w:tab/>
      </w:r>
      <w:r w:rsidR="00932315" w:rsidRPr="00150ABA">
        <w:rPr>
          <w:noProof/>
        </w:rPr>
        <w:t>A proper f</w:t>
      </w:r>
      <w:r w:rsidR="004C496F" w:rsidRPr="00150ABA">
        <w:rPr>
          <w:noProof/>
        </w:rPr>
        <w:t xml:space="preserve">unctionality allowing to exchange operational information and evidence, including large files, should be ensured through an upload/download </w:t>
      </w:r>
      <w:r w:rsidR="004927F4" w:rsidRPr="00150ABA">
        <w:rPr>
          <w:noProof/>
        </w:rPr>
        <w:t>mechanism</w:t>
      </w:r>
      <w:r w:rsidR="004C496F" w:rsidRPr="00150ABA">
        <w:rPr>
          <w:noProof/>
        </w:rPr>
        <w:t xml:space="preserve"> designed to store the data centrally only for </w:t>
      </w:r>
      <w:r w:rsidR="00932315" w:rsidRPr="00150ABA">
        <w:rPr>
          <w:noProof/>
        </w:rPr>
        <w:t>the</w:t>
      </w:r>
      <w:r w:rsidR="004C496F" w:rsidRPr="00150ABA">
        <w:rPr>
          <w:noProof/>
        </w:rPr>
        <w:t xml:space="preserve"> limited period of time necessary for </w:t>
      </w:r>
      <w:r w:rsidR="00953CA7" w:rsidRPr="00150ABA">
        <w:rPr>
          <w:noProof/>
        </w:rPr>
        <w:t xml:space="preserve">the </w:t>
      </w:r>
      <w:r w:rsidR="004C496F" w:rsidRPr="00150ABA">
        <w:rPr>
          <w:noProof/>
        </w:rPr>
        <w:t>technical transfer of the data</w:t>
      </w:r>
      <w:r w:rsidR="00932315" w:rsidRPr="00150ABA">
        <w:rPr>
          <w:noProof/>
        </w:rPr>
        <w:t>.</w:t>
      </w:r>
      <w:r w:rsidR="004C496F" w:rsidRPr="00150ABA">
        <w:rPr>
          <w:noProof/>
        </w:rPr>
        <w:t xml:space="preserve"> </w:t>
      </w:r>
      <w:r w:rsidR="00932315" w:rsidRPr="00150ABA">
        <w:rPr>
          <w:noProof/>
        </w:rPr>
        <w:t>A</w:t>
      </w:r>
      <w:r w:rsidR="004C496F" w:rsidRPr="00150ABA">
        <w:rPr>
          <w:noProof/>
        </w:rPr>
        <w:t xml:space="preserve">s soon as the data is downloaded by all addresses, it </w:t>
      </w:r>
      <w:r w:rsidR="00820692" w:rsidRPr="00150ABA">
        <w:rPr>
          <w:noProof/>
        </w:rPr>
        <w:t>sh</w:t>
      </w:r>
      <w:r w:rsidR="004C496F" w:rsidRPr="00150ABA">
        <w:rPr>
          <w:noProof/>
        </w:rPr>
        <w:t xml:space="preserve">ould be automatically deleted from the </w:t>
      </w:r>
      <w:r w:rsidR="00820692" w:rsidRPr="00150ABA">
        <w:rPr>
          <w:noProof/>
        </w:rPr>
        <w:t xml:space="preserve">JITs collaboration </w:t>
      </w:r>
      <w:r w:rsidR="004C496F" w:rsidRPr="00150ABA">
        <w:rPr>
          <w:noProof/>
        </w:rPr>
        <w:t>platform.</w:t>
      </w:r>
    </w:p>
    <w:p w14:paraId="6B8B3C36" w14:textId="236D3575" w:rsidR="001A2D31" w:rsidRPr="00150ABA" w:rsidRDefault="00D76D82" w:rsidP="00D76D82">
      <w:pPr>
        <w:pStyle w:val="ManualConsidrant"/>
        <w:rPr>
          <w:noProof/>
        </w:rPr>
      </w:pPr>
      <w:r w:rsidRPr="00D76D82">
        <w:t>(18)</w:t>
      </w:r>
      <w:r w:rsidRPr="00D76D82">
        <w:tab/>
      </w:r>
      <w:r w:rsidR="001C3781" w:rsidRPr="00150ABA">
        <w:rPr>
          <w:noProof/>
        </w:rPr>
        <w:t>Given its experience with managing large-scale systems in the area of justice and home affairs, t</w:t>
      </w:r>
      <w:r w:rsidR="001A2D31" w:rsidRPr="00150ABA">
        <w:rPr>
          <w:noProof/>
        </w:rPr>
        <w:t>he European Union Agency for the Operational Management of Large-Scale IT Systems in the Area of Freedom, Security and Justice (eu-LISA) established by Regulation (EU) 2018/1726 of the European Parliament and of the Council</w:t>
      </w:r>
      <w:r w:rsidR="00953CA7" w:rsidRPr="00150ABA">
        <w:rPr>
          <w:rStyle w:val="FootnoteReference"/>
          <w:noProof/>
        </w:rPr>
        <w:footnoteReference w:id="24"/>
      </w:r>
      <w:r w:rsidR="001A2D31" w:rsidRPr="00150ABA">
        <w:rPr>
          <w:noProof/>
        </w:rPr>
        <w:t xml:space="preserve"> should be entrusted with the task of designing, developing and operating the JITs collaboration platform</w:t>
      </w:r>
      <w:r w:rsidR="00BF4CDC" w:rsidRPr="00150ABA">
        <w:rPr>
          <w:noProof/>
        </w:rPr>
        <w:t xml:space="preserve"> making use of the existing functionalities of SIENA and other functionalities at Europol to ensure complementarity and interoperability</w:t>
      </w:r>
      <w:r w:rsidR="001A2D31" w:rsidRPr="00150ABA">
        <w:rPr>
          <w:noProof/>
        </w:rPr>
        <w:t xml:space="preserve">. </w:t>
      </w:r>
      <w:r w:rsidR="00575002" w:rsidRPr="00150ABA">
        <w:rPr>
          <w:noProof/>
        </w:rPr>
        <w:t>Therefore, i</w:t>
      </w:r>
      <w:r w:rsidR="001A2D31" w:rsidRPr="00150ABA">
        <w:rPr>
          <w:noProof/>
        </w:rPr>
        <w:t>ts mandate should be amended to reflect those new</w:t>
      </w:r>
      <w:r w:rsidR="00B177D9" w:rsidRPr="00150ABA">
        <w:rPr>
          <w:noProof/>
        </w:rPr>
        <w:t xml:space="preserve"> tasks</w:t>
      </w:r>
      <w:r w:rsidR="00D67AFD" w:rsidRPr="00150ABA">
        <w:rPr>
          <w:noProof/>
        </w:rPr>
        <w:t xml:space="preserve"> and it </w:t>
      </w:r>
      <w:r w:rsidR="00B177D9" w:rsidRPr="00150ABA">
        <w:rPr>
          <w:noProof/>
        </w:rPr>
        <w:t>should be provid</w:t>
      </w:r>
      <w:r w:rsidR="001A2D31" w:rsidRPr="00150ABA">
        <w:rPr>
          <w:noProof/>
        </w:rPr>
        <w:t>ed with the appropriate funding and staffing to meet its responsibilities under this Regulation</w:t>
      </w:r>
      <w:r w:rsidR="00F26D6C" w:rsidRPr="00150ABA">
        <w:rPr>
          <w:noProof/>
        </w:rPr>
        <w:t>.</w:t>
      </w:r>
      <w:r w:rsidR="00C4379A" w:rsidRPr="00150ABA">
        <w:rPr>
          <w:noProof/>
        </w:rPr>
        <w:t xml:space="preserve">  In that regard, rules should be established on the responsibilities of eu-LISA, as the Agency </w:t>
      </w:r>
      <w:r w:rsidR="002E0B09" w:rsidRPr="00150ABA">
        <w:rPr>
          <w:noProof/>
        </w:rPr>
        <w:t>entrusted with</w:t>
      </w:r>
      <w:r w:rsidR="00C4379A" w:rsidRPr="00150ABA">
        <w:rPr>
          <w:noProof/>
        </w:rPr>
        <w:t xml:space="preserve"> the development, </w:t>
      </w:r>
      <w:r w:rsidR="00DB7E84" w:rsidRPr="00150ABA">
        <w:rPr>
          <w:noProof/>
        </w:rPr>
        <w:t xml:space="preserve">technical </w:t>
      </w:r>
      <w:r w:rsidR="00C4379A" w:rsidRPr="00150ABA">
        <w:rPr>
          <w:noProof/>
        </w:rPr>
        <w:t>operation and maintenance of the JITs collaboration platform.</w:t>
      </w:r>
    </w:p>
    <w:p w14:paraId="0ACAC37C" w14:textId="24B734B1" w:rsidR="00DB7E84" w:rsidRPr="00150ABA" w:rsidRDefault="00D76D82" w:rsidP="00D76D82">
      <w:pPr>
        <w:pStyle w:val="ManualConsidrant"/>
        <w:rPr>
          <w:noProof/>
        </w:rPr>
      </w:pPr>
      <w:r w:rsidRPr="00D76D82">
        <w:t>(19)</w:t>
      </w:r>
      <w:r w:rsidRPr="00D76D82">
        <w:tab/>
      </w:r>
      <w:r w:rsidR="00DB7E84" w:rsidRPr="00150ABA">
        <w:rPr>
          <w:noProof/>
        </w:rPr>
        <w:t xml:space="preserve">When designing the JITs collaboration platform, eu-LISA should </w:t>
      </w:r>
      <w:r w:rsidR="00C968BB">
        <w:rPr>
          <w:noProof/>
        </w:rPr>
        <w:t>ensure</w:t>
      </w:r>
      <w:r w:rsidR="00DB7E84" w:rsidRPr="00150ABA">
        <w:rPr>
          <w:noProof/>
        </w:rPr>
        <w:t xml:space="preserve"> technical interoperability with SIENA.</w:t>
      </w:r>
    </w:p>
    <w:p w14:paraId="59E0D930" w14:textId="64D0436A" w:rsidR="001D502A" w:rsidRPr="00150ABA" w:rsidRDefault="00D76D82" w:rsidP="00D76D82">
      <w:pPr>
        <w:pStyle w:val="ManualConsidrant"/>
        <w:rPr>
          <w:noProof/>
        </w:rPr>
      </w:pPr>
      <w:r w:rsidRPr="00D76D82">
        <w:t>(20)</w:t>
      </w:r>
      <w:r w:rsidRPr="00D76D82">
        <w:tab/>
      </w:r>
      <w:r w:rsidR="001D502A" w:rsidRPr="00150ABA">
        <w:rPr>
          <w:noProof/>
        </w:rPr>
        <w:t>Since the establishment of the Network of National Experts on Joint Investigation Teams (the ‘JIT</w:t>
      </w:r>
      <w:r w:rsidR="00340C88" w:rsidRPr="00150ABA">
        <w:rPr>
          <w:noProof/>
        </w:rPr>
        <w:t>s</w:t>
      </w:r>
      <w:r w:rsidR="001D502A" w:rsidRPr="00150ABA">
        <w:rPr>
          <w:noProof/>
        </w:rPr>
        <w:t xml:space="preserve"> Network’) in accordance with Council Document 11037/05</w:t>
      </w:r>
      <w:r w:rsidR="001D502A" w:rsidRPr="00150ABA">
        <w:rPr>
          <w:rStyle w:val="FootnoteReference"/>
          <w:noProof/>
        </w:rPr>
        <w:footnoteReference w:id="25"/>
      </w:r>
      <w:r w:rsidR="001D502A" w:rsidRPr="00150ABA">
        <w:rPr>
          <w:noProof/>
        </w:rPr>
        <w:t>, the JIT Secretariat supports the work of the JIT</w:t>
      </w:r>
      <w:r w:rsidR="00340C88" w:rsidRPr="00150ABA">
        <w:rPr>
          <w:noProof/>
        </w:rPr>
        <w:t>s</w:t>
      </w:r>
      <w:r w:rsidR="001D502A" w:rsidRPr="00150ABA">
        <w:rPr>
          <w:noProof/>
        </w:rPr>
        <w:t xml:space="preserve"> Network by organising annual meetings, trainings, collecting and analysing the JIT evaluation reports and managing the Eurojust’s JIT funding programme. Since 2011, the JIT Secretariat is hosted by Eurojust</w:t>
      </w:r>
      <w:r w:rsidR="00C349D6" w:rsidRPr="00150ABA">
        <w:rPr>
          <w:noProof/>
        </w:rPr>
        <w:t xml:space="preserve"> </w:t>
      </w:r>
      <w:r w:rsidR="001D502A" w:rsidRPr="00150ABA">
        <w:rPr>
          <w:noProof/>
        </w:rPr>
        <w:t xml:space="preserve">as a separate unit. To allow the JIT Secretariat to support users in the practical application of the JITs collaboration platform, as well as to provide technical and administrative support to JIT space administrators, Eurojust should be provided with appropriate </w:t>
      </w:r>
      <w:r w:rsidR="001D502A" w:rsidRPr="00150ABA">
        <w:rPr>
          <w:rFonts w:eastAsia="Times New Roman"/>
          <w:noProof/>
          <w:szCs w:val="24"/>
        </w:rPr>
        <w:t>staff allocated to the JIT Secretariat.</w:t>
      </w:r>
    </w:p>
    <w:p w14:paraId="5791DF8C" w14:textId="561E55D9" w:rsidR="005C2C7A" w:rsidRPr="00150ABA" w:rsidRDefault="00D76D82" w:rsidP="00D76D82">
      <w:pPr>
        <w:pStyle w:val="ManualConsidrant"/>
        <w:rPr>
          <w:noProof/>
        </w:rPr>
      </w:pPr>
      <w:r w:rsidRPr="00D76D82">
        <w:t>(21)</w:t>
      </w:r>
      <w:r w:rsidRPr="00D76D82">
        <w:tab/>
      </w:r>
      <w:r w:rsidR="005C2C7A" w:rsidRPr="00150ABA">
        <w:rPr>
          <w:noProof/>
        </w:rPr>
        <w:t xml:space="preserve">Given the currently existing IT tools supporting operations of JITs, </w:t>
      </w:r>
      <w:r w:rsidR="00932315" w:rsidRPr="00150ABA">
        <w:rPr>
          <w:noProof/>
        </w:rPr>
        <w:t xml:space="preserve">which are </w:t>
      </w:r>
      <w:r w:rsidR="002E0B09" w:rsidRPr="00150ABA">
        <w:rPr>
          <w:noProof/>
        </w:rPr>
        <w:t xml:space="preserve">hosted at Eurojust and </w:t>
      </w:r>
      <w:r w:rsidR="005C2C7A" w:rsidRPr="00150ABA">
        <w:rPr>
          <w:noProof/>
        </w:rPr>
        <w:t xml:space="preserve">managed by the JIT Secretariat, </w:t>
      </w:r>
      <w:r w:rsidR="00D67AFD" w:rsidRPr="00150ABA">
        <w:rPr>
          <w:noProof/>
        </w:rPr>
        <w:t>it is necessary</w:t>
      </w:r>
      <w:r w:rsidR="005C2C7A" w:rsidRPr="00150ABA">
        <w:rPr>
          <w:noProof/>
        </w:rPr>
        <w:t xml:space="preserve"> to connect the JITs collaboration platform with those </w:t>
      </w:r>
      <w:r w:rsidR="00D67AFD" w:rsidRPr="00150ABA">
        <w:rPr>
          <w:noProof/>
        </w:rPr>
        <w:t xml:space="preserve">IT </w:t>
      </w:r>
      <w:r w:rsidR="005C2C7A" w:rsidRPr="00150ABA">
        <w:rPr>
          <w:noProof/>
        </w:rPr>
        <w:t xml:space="preserve">tools, in order to facilitate </w:t>
      </w:r>
      <w:r w:rsidR="001C5856" w:rsidRPr="00150ABA">
        <w:rPr>
          <w:noProof/>
        </w:rPr>
        <w:t xml:space="preserve">the </w:t>
      </w:r>
      <w:r w:rsidR="00124055" w:rsidRPr="00150ABA">
        <w:rPr>
          <w:noProof/>
        </w:rPr>
        <w:t xml:space="preserve">management </w:t>
      </w:r>
      <w:r w:rsidR="005C2C7A" w:rsidRPr="00150ABA">
        <w:rPr>
          <w:noProof/>
        </w:rPr>
        <w:t xml:space="preserve">of </w:t>
      </w:r>
      <w:r w:rsidR="00124055" w:rsidRPr="00150ABA">
        <w:rPr>
          <w:noProof/>
        </w:rPr>
        <w:t>JITs.</w:t>
      </w:r>
      <w:r w:rsidR="005C2C7A" w:rsidRPr="00150ABA">
        <w:rPr>
          <w:noProof/>
        </w:rPr>
        <w:t xml:space="preserve"> To </w:t>
      </w:r>
      <w:r w:rsidR="00D67AFD" w:rsidRPr="00150ABA">
        <w:rPr>
          <w:noProof/>
        </w:rPr>
        <w:t xml:space="preserve">that </w:t>
      </w:r>
      <w:r w:rsidR="005C2C7A" w:rsidRPr="00150ABA">
        <w:rPr>
          <w:noProof/>
        </w:rPr>
        <w:t>end, Eurojust sh</w:t>
      </w:r>
      <w:r w:rsidR="00932315" w:rsidRPr="00150ABA">
        <w:rPr>
          <w:noProof/>
        </w:rPr>
        <w:t>ould</w:t>
      </w:r>
      <w:r w:rsidR="004927F4" w:rsidRPr="00150ABA">
        <w:rPr>
          <w:noProof/>
        </w:rPr>
        <w:t xml:space="preserve"> </w:t>
      </w:r>
      <w:r w:rsidR="005C2C7A" w:rsidRPr="00150ABA">
        <w:rPr>
          <w:noProof/>
        </w:rPr>
        <w:t xml:space="preserve">ensure the necessary technical adaptation of its systems </w:t>
      </w:r>
      <w:r w:rsidR="00D67AFD" w:rsidRPr="00150ABA">
        <w:rPr>
          <w:noProof/>
        </w:rPr>
        <w:t xml:space="preserve">in order </w:t>
      </w:r>
      <w:r w:rsidR="005C2C7A" w:rsidRPr="00150ABA">
        <w:rPr>
          <w:noProof/>
        </w:rPr>
        <w:t xml:space="preserve">to establish such connection. Eurojust should be </w:t>
      </w:r>
      <w:r w:rsidR="001C5856" w:rsidRPr="00150ABA">
        <w:rPr>
          <w:noProof/>
        </w:rPr>
        <w:t>provid</w:t>
      </w:r>
      <w:r w:rsidR="005C2C7A" w:rsidRPr="00150ABA">
        <w:rPr>
          <w:noProof/>
        </w:rPr>
        <w:t xml:space="preserve">ed with the appropriate funding and staffing to meet its responsibilities </w:t>
      </w:r>
      <w:r w:rsidR="00124055" w:rsidRPr="00150ABA">
        <w:rPr>
          <w:noProof/>
        </w:rPr>
        <w:t>in that regard.</w:t>
      </w:r>
    </w:p>
    <w:p w14:paraId="44A7B6ED" w14:textId="1A980C58" w:rsidR="00493A4A" w:rsidRPr="00150ABA" w:rsidRDefault="00D76D82" w:rsidP="00D76D82">
      <w:pPr>
        <w:pStyle w:val="ManualConsidrant"/>
        <w:rPr>
          <w:noProof/>
        </w:rPr>
      </w:pPr>
      <w:r w:rsidRPr="00D76D82">
        <w:t>(22)</w:t>
      </w:r>
      <w:r w:rsidRPr="00D76D82">
        <w:tab/>
      </w:r>
      <w:r w:rsidR="00C4379A" w:rsidRPr="00150ABA">
        <w:rPr>
          <w:noProof/>
        </w:rPr>
        <w:t>In order to</w:t>
      </w:r>
      <w:r w:rsidR="00B40203" w:rsidRPr="00150ABA">
        <w:rPr>
          <w:noProof/>
        </w:rPr>
        <w:t xml:space="preserve"> ensure a clear allocation of rights and tasks, r</w:t>
      </w:r>
      <w:r w:rsidR="00493A4A" w:rsidRPr="00150ABA">
        <w:rPr>
          <w:noProof/>
        </w:rPr>
        <w:t xml:space="preserve">ules </w:t>
      </w:r>
      <w:r w:rsidR="00C4379A" w:rsidRPr="00150ABA">
        <w:rPr>
          <w:noProof/>
        </w:rPr>
        <w:t xml:space="preserve">should be established </w:t>
      </w:r>
      <w:r w:rsidR="00493A4A" w:rsidRPr="00150ABA">
        <w:rPr>
          <w:noProof/>
        </w:rPr>
        <w:t>on the responsibilities of Member States, Eurojust, Europol</w:t>
      </w:r>
      <w:r w:rsidR="006D4B18" w:rsidRPr="00150ABA">
        <w:rPr>
          <w:noProof/>
        </w:rPr>
        <w:t>, the European Public Prosecutor’s Office,</w:t>
      </w:r>
      <w:r w:rsidR="00493A4A" w:rsidRPr="00150ABA">
        <w:rPr>
          <w:noProof/>
        </w:rPr>
        <w:t xml:space="preserve"> </w:t>
      </w:r>
      <w:r w:rsidR="004F40F5" w:rsidRPr="00150ABA">
        <w:rPr>
          <w:noProof/>
        </w:rPr>
        <w:t>the European Anti-Fraud Office</w:t>
      </w:r>
      <w:r w:rsidR="00493A4A" w:rsidRPr="00150ABA">
        <w:rPr>
          <w:noProof/>
        </w:rPr>
        <w:t xml:space="preserve"> </w:t>
      </w:r>
      <w:r w:rsidR="004F40F5" w:rsidRPr="00150ABA">
        <w:rPr>
          <w:noProof/>
        </w:rPr>
        <w:t>(</w:t>
      </w:r>
      <w:r w:rsidR="00493A4A" w:rsidRPr="00150ABA">
        <w:rPr>
          <w:noProof/>
        </w:rPr>
        <w:t>OLAF</w:t>
      </w:r>
      <w:r w:rsidR="004F40F5" w:rsidRPr="00150ABA">
        <w:rPr>
          <w:noProof/>
        </w:rPr>
        <w:t>)</w:t>
      </w:r>
      <w:r w:rsidR="006D4B18" w:rsidRPr="00150ABA">
        <w:rPr>
          <w:noProof/>
        </w:rPr>
        <w:t xml:space="preserve"> and other competent Union bodies, offices and agencies</w:t>
      </w:r>
      <w:r w:rsidR="00493A4A" w:rsidRPr="00150ABA">
        <w:rPr>
          <w:noProof/>
        </w:rPr>
        <w:t>, including the conditions, under which they may use the JITs collaboration platform for operative purposes.</w:t>
      </w:r>
    </w:p>
    <w:p w14:paraId="2BF2DF7E" w14:textId="2827D160" w:rsidR="00BD5DC3" w:rsidRPr="00150ABA" w:rsidRDefault="00D76D82" w:rsidP="00D76D82">
      <w:pPr>
        <w:pStyle w:val="ManualConsidrant"/>
        <w:rPr>
          <w:noProof/>
        </w:rPr>
      </w:pPr>
      <w:r w:rsidRPr="00D76D82">
        <w:t>(23)</w:t>
      </w:r>
      <w:r w:rsidRPr="00D76D82">
        <w:tab/>
      </w:r>
      <w:r w:rsidR="00390D14" w:rsidRPr="00150ABA">
        <w:rPr>
          <w:noProof/>
        </w:rPr>
        <w:t xml:space="preserve">This Regulation </w:t>
      </w:r>
      <w:r w:rsidR="00303F00" w:rsidRPr="00150ABA">
        <w:rPr>
          <w:noProof/>
        </w:rPr>
        <w:t xml:space="preserve">sets out </w:t>
      </w:r>
      <w:r w:rsidR="00390D14" w:rsidRPr="00150ABA">
        <w:rPr>
          <w:noProof/>
        </w:rPr>
        <w:t xml:space="preserve">the </w:t>
      </w:r>
      <w:r w:rsidR="00303F00" w:rsidRPr="00150ABA">
        <w:rPr>
          <w:noProof/>
        </w:rPr>
        <w:t xml:space="preserve">details about the </w:t>
      </w:r>
      <w:r w:rsidR="00390D14" w:rsidRPr="00150ABA">
        <w:rPr>
          <w:noProof/>
        </w:rPr>
        <w:t xml:space="preserve">mandate, composition and organisational aspects of a Programme Management Board </w:t>
      </w:r>
      <w:r w:rsidR="00303F00" w:rsidRPr="00150ABA">
        <w:rPr>
          <w:noProof/>
        </w:rPr>
        <w:t>which should</w:t>
      </w:r>
      <w:r w:rsidR="00390D14" w:rsidRPr="00150ABA">
        <w:rPr>
          <w:noProof/>
        </w:rPr>
        <w:t xml:space="preserve"> be set up by the Management Board of eu-LISA. </w:t>
      </w:r>
      <w:r w:rsidR="00303F00" w:rsidRPr="00150ABA">
        <w:rPr>
          <w:noProof/>
        </w:rPr>
        <w:t xml:space="preserve">The </w:t>
      </w:r>
      <w:r w:rsidR="00932315" w:rsidRPr="00150ABA">
        <w:rPr>
          <w:noProof/>
        </w:rPr>
        <w:t>Programme Management Board should</w:t>
      </w:r>
      <w:r w:rsidR="00390D14" w:rsidRPr="00150ABA">
        <w:rPr>
          <w:noProof/>
        </w:rPr>
        <w:t xml:space="preserve"> ensure the adequate management of the design and development phase of the JITs collaboration platform. </w:t>
      </w:r>
      <w:r w:rsidR="00303F00" w:rsidRPr="00150ABA">
        <w:rPr>
          <w:noProof/>
        </w:rPr>
        <w:t>It is also necessary to set out the details of</w:t>
      </w:r>
      <w:r w:rsidR="00390D14" w:rsidRPr="00150ABA">
        <w:rPr>
          <w:noProof/>
        </w:rPr>
        <w:t xml:space="preserve"> the mandate, composition and organisation aspects of an Advisory Group to be established by eu-LISA in order to obtain expertise related to the JITs collaboration platform, in particular in the context of preparation of its annual work programme and its annual activity report.</w:t>
      </w:r>
    </w:p>
    <w:p w14:paraId="58E48B32" w14:textId="6D8BD2ED" w:rsidR="00D0296E" w:rsidRPr="00150ABA" w:rsidRDefault="00D76D82" w:rsidP="00D76D82">
      <w:pPr>
        <w:pStyle w:val="ManualConsidrant"/>
        <w:rPr>
          <w:noProof/>
        </w:rPr>
      </w:pPr>
      <w:r w:rsidRPr="00D76D82">
        <w:t>(24)</w:t>
      </w:r>
      <w:r w:rsidRPr="00D76D82">
        <w:tab/>
      </w:r>
      <w:r w:rsidR="009E5224" w:rsidRPr="00150ABA">
        <w:rPr>
          <w:noProof/>
          <w:szCs w:val="24"/>
        </w:rPr>
        <w:t xml:space="preserve">This Regulation establishes rules on access to the JITs collaboration platform and the necessary safeguards.  </w:t>
      </w:r>
      <w:r w:rsidR="00E42E6B" w:rsidRPr="00150ABA">
        <w:rPr>
          <w:noProof/>
        </w:rPr>
        <w:t>The JIT space administrator or administrators should be entrusted with the management of the a</w:t>
      </w:r>
      <w:r w:rsidR="00C61DB6" w:rsidRPr="00150ABA">
        <w:rPr>
          <w:noProof/>
        </w:rPr>
        <w:t xml:space="preserve">ccess rights to the </w:t>
      </w:r>
      <w:r w:rsidR="0047059E" w:rsidRPr="00150ABA">
        <w:rPr>
          <w:noProof/>
        </w:rPr>
        <w:t xml:space="preserve">individual </w:t>
      </w:r>
      <w:r w:rsidR="00C61DB6" w:rsidRPr="00150ABA">
        <w:rPr>
          <w:noProof/>
        </w:rPr>
        <w:t xml:space="preserve">JIT collaboration </w:t>
      </w:r>
      <w:r w:rsidR="0047059E" w:rsidRPr="00150ABA">
        <w:rPr>
          <w:noProof/>
        </w:rPr>
        <w:t>spaces</w:t>
      </w:r>
      <w:r w:rsidR="00C61DB6" w:rsidRPr="00150ABA">
        <w:rPr>
          <w:noProof/>
        </w:rPr>
        <w:t>.</w:t>
      </w:r>
      <w:r w:rsidR="004F40F5" w:rsidRPr="00150ABA">
        <w:rPr>
          <w:noProof/>
        </w:rPr>
        <w:t xml:space="preserve"> </w:t>
      </w:r>
      <w:r w:rsidR="00C61DB6" w:rsidRPr="00150ABA">
        <w:rPr>
          <w:noProof/>
        </w:rPr>
        <w:t xml:space="preserve">They </w:t>
      </w:r>
      <w:r w:rsidR="00E42E6B" w:rsidRPr="00150ABA">
        <w:rPr>
          <w:noProof/>
        </w:rPr>
        <w:t xml:space="preserve">should </w:t>
      </w:r>
      <w:r w:rsidR="00C61DB6" w:rsidRPr="00150ABA">
        <w:rPr>
          <w:noProof/>
        </w:rPr>
        <w:t xml:space="preserve">be in charge of granting access, during the operational and post-operational phases of the JIT, to </w:t>
      </w:r>
      <w:r w:rsidR="005E52D2" w:rsidRPr="00150ABA">
        <w:rPr>
          <w:noProof/>
        </w:rPr>
        <w:t>JITs collaboration platform users</w:t>
      </w:r>
      <w:r w:rsidR="00FF3B47" w:rsidRPr="00150ABA">
        <w:rPr>
          <w:noProof/>
        </w:rPr>
        <w:t>.</w:t>
      </w:r>
      <w:r w:rsidR="00BD5DC3" w:rsidRPr="00150ABA">
        <w:rPr>
          <w:noProof/>
        </w:rPr>
        <w:t xml:space="preserve"> JIT </w:t>
      </w:r>
      <w:r w:rsidR="004F40F5" w:rsidRPr="00150ABA">
        <w:rPr>
          <w:noProof/>
        </w:rPr>
        <w:t>space administrator</w:t>
      </w:r>
      <w:r w:rsidR="00E42E6B" w:rsidRPr="00150ABA">
        <w:rPr>
          <w:noProof/>
        </w:rPr>
        <w:t>s</w:t>
      </w:r>
      <w:r w:rsidR="00BD5DC3" w:rsidRPr="00150ABA">
        <w:rPr>
          <w:noProof/>
        </w:rPr>
        <w:t xml:space="preserve"> </w:t>
      </w:r>
      <w:r w:rsidR="00E42E6B" w:rsidRPr="00150ABA">
        <w:rPr>
          <w:noProof/>
        </w:rPr>
        <w:t xml:space="preserve">should be able to </w:t>
      </w:r>
      <w:r w:rsidR="0047059E" w:rsidRPr="00150ABA">
        <w:rPr>
          <w:noProof/>
        </w:rPr>
        <w:t xml:space="preserve">transfer </w:t>
      </w:r>
      <w:r w:rsidR="00E42E6B" w:rsidRPr="00150ABA">
        <w:rPr>
          <w:noProof/>
        </w:rPr>
        <w:t xml:space="preserve">their role </w:t>
      </w:r>
      <w:r w:rsidR="00BD5DC3" w:rsidRPr="00150ABA">
        <w:rPr>
          <w:noProof/>
        </w:rPr>
        <w:t>to the JIT secretariat.</w:t>
      </w:r>
    </w:p>
    <w:p w14:paraId="52BCD4C1" w14:textId="0D576A0B" w:rsidR="00441844" w:rsidRPr="00150ABA" w:rsidRDefault="00D76D82" w:rsidP="00D76D82">
      <w:pPr>
        <w:pStyle w:val="ManualConsidrant"/>
        <w:rPr>
          <w:noProof/>
        </w:rPr>
      </w:pPr>
      <w:r w:rsidRPr="00D76D82">
        <w:t>(25)</w:t>
      </w:r>
      <w:r w:rsidRPr="00D76D82">
        <w:tab/>
      </w:r>
      <w:r w:rsidR="00D0296E" w:rsidRPr="00150ABA">
        <w:rPr>
          <w:noProof/>
        </w:rPr>
        <w:t xml:space="preserve">Bearing in mind </w:t>
      </w:r>
      <w:r w:rsidR="00E42E6B" w:rsidRPr="00150ABA">
        <w:rPr>
          <w:noProof/>
        </w:rPr>
        <w:t xml:space="preserve">the </w:t>
      </w:r>
      <w:r w:rsidR="00D0296E" w:rsidRPr="00150ABA">
        <w:rPr>
          <w:noProof/>
        </w:rPr>
        <w:t>sensitivity of the operational data exchanged among the JIT</w:t>
      </w:r>
      <w:r w:rsidR="005E52D2" w:rsidRPr="00150ABA">
        <w:rPr>
          <w:noProof/>
        </w:rPr>
        <w:t>s</w:t>
      </w:r>
      <w:r w:rsidR="00D0296E" w:rsidRPr="00150ABA">
        <w:rPr>
          <w:noProof/>
        </w:rPr>
        <w:t xml:space="preserve"> </w:t>
      </w:r>
      <w:r w:rsidR="004F40F5" w:rsidRPr="00150ABA">
        <w:rPr>
          <w:noProof/>
        </w:rPr>
        <w:t>collaboration platform users</w:t>
      </w:r>
      <w:r w:rsidR="00D0296E" w:rsidRPr="00150ABA">
        <w:rPr>
          <w:noProof/>
        </w:rPr>
        <w:t>, the JIT</w:t>
      </w:r>
      <w:r w:rsidR="005E52D2" w:rsidRPr="00150ABA">
        <w:rPr>
          <w:noProof/>
        </w:rPr>
        <w:t>s</w:t>
      </w:r>
      <w:r w:rsidR="00D0296E" w:rsidRPr="00150ABA">
        <w:rPr>
          <w:noProof/>
        </w:rPr>
        <w:t xml:space="preserve"> collaboration platform </w:t>
      </w:r>
      <w:r w:rsidR="00E42E6B" w:rsidRPr="00150ABA">
        <w:rPr>
          <w:noProof/>
        </w:rPr>
        <w:t xml:space="preserve">should </w:t>
      </w:r>
      <w:r w:rsidR="00D0296E" w:rsidRPr="00150ABA">
        <w:rPr>
          <w:noProof/>
        </w:rPr>
        <w:t xml:space="preserve">guarantee </w:t>
      </w:r>
      <w:r w:rsidR="001C5856" w:rsidRPr="00150ABA">
        <w:rPr>
          <w:noProof/>
        </w:rPr>
        <w:t xml:space="preserve">a </w:t>
      </w:r>
      <w:r w:rsidR="00D0296E" w:rsidRPr="00150ABA">
        <w:rPr>
          <w:noProof/>
        </w:rPr>
        <w:t xml:space="preserve">high level of security. eu-LISA </w:t>
      </w:r>
      <w:r w:rsidR="00E42E6B" w:rsidRPr="00150ABA">
        <w:rPr>
          <w:noProof/>
        </w:rPr>
        <w:t xml:space="preserve">should </w:t>
      </w:r>
      <w:r w:rsidR="00D0296E" w:rsidRPr="00150ABA">
        <w:rPr>
          <w:noProof/>
        </w:rPr>
        <w:t xml:space="preserve">take </w:t>
      </w:r>
      <w:r w:rsidR="009E050B" w:rsidRPr="00150ABA">
        <w:rPr>
          <w:noProof/>
        </w:rPr>
        <w:t xml:space="preserve">all </w:t>
      </w:r>
      <w:r w:rsidR="00D0296E" w:rsidRPr="00150ABA">
        <w:rPr>
          <w:noProof/>
        </w:rPr>
        <w:t xml:space="preserve">necessary technical and organisational measures </w:t>
      </w:r>
      <w:r w:rsidR="009E050B" w:rsidRPr="00150ABA">
        <w:rPr>
          <w:noProof/>
        </w:rPr>
        <w:t xml:space="preserve">in order to </w:t>
      </w:r>
      <w:r w:rsidR="00441844" w:rsidRPr="00150ABA">
        <w:rPr>
          <w:noProof/>
        </w:rPr>
        <w:t xml:space="preserve">ensure the </w:t>
      </w:r>
      <w:r w:rsidR="00E42E6B" w:rsidRPr="00150ABA">
        <w:rPr>
          <w:noProof/>
        </w:rPr>
        <w:t>security of the</w:t>
      </w:r>
      <w:r w:rsidR="00C349D6" w:rsidRPr="00150ABA">
        <w:rPr>
          <w:noProof/>
        </w:rPr>
        <w:t xml:space="preserve"> </w:t>
      </w:r>
      <w:r w:rsidR="00441844" w:rsidRPr="00150ABA">
        <w:rPr>
          <w:noProof/>
        </w:rPr>
        <w:t>exchange</w:t>
      </w:r>
      <w:r w:rsidR="00E42E6B" w:rsidRPr="00150ABA">
        <w:rPr>
          <w:noProof/>
        </w:rPr>
        <w:t xml:space="preserve"> of</w:t>
      </w:r>
      <w:r w:rsidR="00441844" w:rsidRPr="00150ABA">
        <w:rPr>
          <w:noProof/>
        </w:rPr>
        <w:t xml:space="preserve"> data by using </w:t>
      </w:r>
      <w:r w:rsidR="00E42E6B" w:rsidRPr="00150ABA">
        <w:rPr>
          <w:noProof/>
        </w:rPr>
        <w:t xml:space="preserve">strong </w:t>
      </w:r>
      <w:r w:rsidR="00441844" w:rsidRPr="00150ABA">
        <w:rPr>
          <w:noProof/>
        </w:rPr>
        <w:t>end-to-end encryption algorithms to encrypt data in transit or at rest.</w:t>
      </w:r>
    </w:p>
    <w:p w14:paraId="313AD6EB" w14:textId="55D95324" w:rsidR="00D0296E" w:rsidRPr="00150ABA" w:rsidRDefault="00D76D82" w:rsidP="00D76D82">
      <w:pPr>
        <w:pStyle w:val="ManualConsidrant"/>
        <w:rPr>
          <w:noProof/>
        </w:rPr>
      </w:pPr>
      <w:r w:rsidRPr="00D76D82">
        <w:t>(26)</w:t>
      </w:r>
      <w:r w:rsidRPr="00D76D82">
        <w:tab/>
      </w:r>
      <w:r w:rsidR="00D0296E" w:rsidRPr="00150ABA">
        <w:rPr>
          <w:noProof/>
        </w:rPr>
        <w:t xml:space="preserve">This Regulation </w:t>
      </w:r>
      <w:r w:rsidR="00E42E6B" w:rsidRPr="00150ABA">
        <w:rPr>
          <w:noProof/>
        </w:rPr>
        <w:t xml:space="preserve">establishes </w:t>
      </w:r>
      <w:r w:rsidR="00D0296E" w:rsidRPr="00150ABA">
        <w:rPr>
          <w:noProof/>
        </w:rPr>
        <w:t>rules on the liability of Member States,</w:t>
      </w:r>
      <w:r w:rsidR="00E85BBB" w:rsidRPr="00150ABA">
        <w:rPr>
          <w:noProof/>
        </w:rPr>
        <w:t xml:space="preserve"> eu-LISA,</w:t>
      </w:r>
      <w:r w:rsidR="00D0296E" w:rsidRPr="00150ABA">
        <w:rPr>
          <w:noProof/>
        </w:rPr>
        <w:t xml:space="preserve"> Eurojust, Europol, </w:t>
      </w:r>
      <w:r w:rsidR="005E52D2" w:rsidRPr="00150ABA">
        <w:rPr>
          <w:noProof/>
        </w:rPr>
        <w:t xml:space="preserve">the European Public Prosecutor’s Office, </w:t>
      </w:r>
      <w:r w:rsidR="00D0296E" w:rsidRPr="00150ABA">
        <w:rPr>
          <w:noProof/>
        </w:rPr>
        <w:t>OLAF</w:t>
      </w:r>
      <w:r w:rsidR="00E85BBB" w:rsidRPr="00150ABA">
        <w:rPr>
          <w:noProof/>
        </w:rPr>
        <w:t xml:space="preserve"> and other competent Union bodies, offices and agencies,</w:t>
      </w:r>
      <w:r w:rsidR="00D0296E" w:rsidRPr="00150ABA">
        <w:rPr>
          <w:noProof/>
        </w:rPr>
        <w:t xml:space="preserve"> in respect of material or non-material damage </w:t>
      </w:r>
      <w:r w:rsidR="001C5856" w:rsidRPr="00150ABA">
        <w:rPr>
          <w:noProof/>
        </w:rPr>
        <w:t xml:space="preserve">occurring </w:t>
      </w:r>
      <w:r w:rsidR="00D0296E" w:rsidRPr="00150ABA">
        <w:rPr>
          <w:noProof/>
        </w:rPr>
        <w:t>as a result of any act incompatible with this Regulation.</w:t>
      </w:r>
      <w:r w:rsidR="00DE6312" w:rsidRPr="00150ABA">
        <w:rPr>
          <w:noProof/>
        </w:rPr>
        <w:t xml:space="preserve"> Concerning third countries, liability clauses in respect of material or non-material damage should be contained in respective JIT agreements.</w:t>
      </w:r>
    </w:p>
    <w:p w14:paraId="3953B0F1" w14:textId="64F2E8C9" w:rsidR="00C61DB6" w:rsidRPr="00150ABA" w:rsidRDefault="00D76D82" w:rsidP="00D76D82">
      <w:pPr>
        <w:pStyle w:val="ManualConsidrant"/>
        <w:rPr>
          <w:noProof/>
        </w:rPr>
      </w:pPr>
      <w:r w:rsidRPr="00D76D82">
        <w:t>(27)</w:t>
      </w:r>
      <w:r w:rsidRPr="00D76D82">
        <w:tab/>
      </w:r>
      <w:r w:rsidR="00C61DB6" w:rsidRPr="00150ABA">
        <w:rPr>
          <w:noProof/>
        </w:rPr>
        <w:t>In addition, this Regulation provide</w:t>
      </w:r>
      <w:r w:rsidR="005635A6" w:rsidRPr="00150ABA">
        <w:rPr>
          <w:noProof/>
        </w:rPr>
        <w:t>s</w:t>
      </w:r>
      <w:r w:rsidR="00C61DB6" w:rsidRPr="00150ABA">
        <w:rPr>
          <w:noProof/>
        </w:rPr>
        <w:t xml:space="preserve"> specific data protection provisions</w:t>
      </w:r>
      <w:r w:rsidR="009E050B" w:rsidRPr="00150ABA">
        <w:rPr>
          <w:noProof/>
        </w:rPr>
        <w:t xml:space="preserve">, concerning </w:t>
      </w:r>
      <w:r w:rsidR="00E42E6B" w:rsidRPr="00150ABA">
        <w:rPr>
          <w:noProof/>
        </w:rPr>
        <w:t xml:space="preserve">both </w:t>
      </w:r>
      <w:r w:rsidR="009E050B" w:rsidRPr="00150ABA">
        <w:rPr>
          <w:noProof/>
        </w:rPr>
        <w:t xml:space="preserve">operational data </w:t>
      </w:r>
      <w:r w:rsidR="00E42E6B" w:rsidRPr="00150ABA">
        <w:rPr>
          <w:noProof/>
        </w:rPr>
        <w:t>and</w:t>
      </w:r>
      <w:r w:rsidR="009E050B" w:rsidRPr="00150ABA">
        <w:rPr>
          <w:noProof/>
        </w:rPr>
        <w:t xml:space="preserve"> non-operational data, </w:t>
      </w:r>
      <w:r w:rsidR="00C61DB6" w:rsidRPr="00150ABA">
        <w:rPr>
          <w:noProof/>
        </w:rPr>
        <w:t>needed to supplement the existing data protection arrangements and to provide for an adequate overall level of data protection, data security and protection of the fundamental rights of the persons concerned</w:t>
      </w:r>
      <w:r w:rsidR="00FF3B47" w:rsidRPr="00150ABA">
        <w:rPr>
          <w:noProof/>
        </w:rPr>
        <w:t>.</w:t>
      </w:r>
    </w:p>
    <w:p w14:paraId="5AB7D089" w14:textId="699A7121" w:rsidR="00C61DB6" w:rsidRPr="00150ABA" w:rsidRDefault="00D76D82" w:rsidP="00D76D82">
      <w:pPr>
        <w:pStyle w:val="ManualConsidrant"/>
        <w:rPr>
          <w:noProof/>
        </w:rPr>
      </w:pPr>
      <w:r w:rsidRPr="00D76D82">
        <w:t>(28)</w:t>
      </w:r>
      <w:r w:rsidRPr="00D76D82">
        <w:tab/>
      </w:r>
      <w:r w:rsidR="00C61DB6" w:rsidRPr="00150ABA">
        <w:rPr>
          <w:noProof/>
        </w:rPr>
        <w:t>Directive (EU) 2016/680 of the European Parliament and of the Council</w:t>
      </w:r>
      <w:r w:rsidR="00360CE8" w:rsidRPr="00150ABA">
        <w:rPr>
          <w:rStyle w:val="FootnoteReference"/>
          <w:noProof/>
        </w:rPr>
        <w:footnoteReference w:id="26"/>
      </w:r>
      <w:r w:rsidR="00C61DB6" w:rsidRPr="00150ABA">
        <w:rPr>
          <w:noProof/>
        </w:rPr>
        <w:t xml:space="preserve"> </w:t>
      </w:r>
      <w:r w:rsidR="00EF1D08" w:rsidRPr="00150ABA">
        <w:rPr>
          <w:noProof/>
        </w:rPr>
        <w:t>applies</w:t>
      </w:r>
      <w:r w:rsidR="00C61DB6" w:rsidRPr="00150ABA">
        <w:rPr>
          <w:noProof/>
        </w:rPr>
        <w:t xml:space="preserve"> to the processing of personal data by competent national authorities for the purposes of the prevention, investigation, detection or prosecution of criminal offences or the execution of criminal penalties, including the safeguarding against and the prevention of threats to public security. </w:t>
      </w:r>
      <w:r w:rsidR="000C27B7" w:rsidRPr="00150ABA">
        <w:rPr>
          <w:noProof/>
        </w:rPr>
        <w:t xml:space="preserve">As regards the processing by Union institutions, bodies, offices and agencies, </w:t>
      </w:r>
      <w:r w:rsidR="00F9758E" w:rsidRPr="00150ABA">
        <w:rPr>
          <w:noProof/>
          <w:szCs w:val="24"/>
        </w:rPr>
        <w:t>Regulation (EU) 2018/1725 of the European Parliament and of the Council</w:t>
      </w:r>
      <w:r w:rsidR="00772464" w:rsidRPr="00150ABA">
        <w:rPr>
          <w:rStyle w:val="FootnoteReference"/>
          <w:noProof/>
          <w:szCs w:val="24"/>
        </w:rPr>
        <w:footnoteReference w:id="27"/>
      </w:r>
      <w:r w:rsidR="00F9758E" w:rsidRPr="00150ABA">
        <w:rPr>
          <w:noProof/>
          <w:szCs w:val="24"/>
        </w:rPr>
        <w:t xml:space="preserve"> should apply in the context of this Regulation. </w:t>
      </w:r>
    </w:p>
    <w:p w14:paraId="58C80071" w14:textId="19E7B86A" w:rsidR="00C61DB6" w:rsidRPr="00150ABA" w:rsidRDefault="00D76D82" w:rsidP="00D76D82">
      <w:pPr>
        <w:pStyle w:val="ManualConsidrant"/>
        <w:rPr>
          <w:noProof/>
        </w:rPr>
      </w:pPr>
      <w:r w:rsidRPr="00D76D82">
        <w:t>(29)</w:t>
      </w:r>
      <w:r w:rsidRPr="00D76D82">
        <w:tab/>
      </w:r>
      <w:r w:rsidR="00C61DB6" w:rsidRPr="00150ABA">
        <w:rPr>
          <w:noProof/>
        </w:rPr>
        <w:t xml:space="preserve">Where appropriate, </w:t>
      </w:r>
      <w:r w:rsidR="00AD2FC4" w:rsidRPr="00150ABA">
        <w:rPr>
          <w:noProof/>
        </w:rPr>
        <w:t xml:space="preserve">it should be possible for JIT space administrators to grant access to a JIT collaboration space to </w:t>
      </w:r>
      <w:r w:rsidR="00C61DB6" w:rsidRPr="00150ABA">
        <w:rPr>
          <w:noProof/>
        </w:rPr>
        <w:t xml:space="preserve">third </w:t>
      </w:r>
      <w:r w:rsidR="00AD2FC4" w:rsidRPr="00150ABA">
        <w:rPr>
          <w:noProof/>
        </w:rPr>
        <w:t>countries</w:t>
      </w:r>
      <w:r w:rsidR="00C61DB6" w:rsidRPr="00150ABA">
        <w:rPr>
          <w:noProof/>
        </w:rPr>
        <w:t xml:space="preserve"> which </w:t>
      </w:r>
      <w:r w:rsidR="006A71F8" w:rsidRPr="00150ABA">
        <w:rPr>
          <w:noProof/>
        </w:rPr>
        <w:t>are parties to a</w:t>
      </w:r>
      <w:r w:rsidR="00C61DB6" w:rsidRPr="00150ABA">
        <w:rPr>
          <w:noProof/>
        </w:rPr>
        <w:t xml:space="preserve"> JIT agreement. </w:t>
      </w:r>
      <w:r w:rsidR="00AD2FC4" w:rsidRPr="00150ABA">
        <w:rPr>
          <w:noProof/>
        </w:rPr>
        <w:t>Any t</w:t>
      </w:r>
      <w:r w:rsidR="00C61DB6" w:rsidRPr="00150ABA">
        <w:rPr>
          <w:noProof/>
        </w:rPr>
        <w:t xml:space="preserve">ransfer of personal data to third </w:t>
      </w:r>
      <w:r w:rsidR="00AD2FC4" w:rsidRPr="00150ABA">
        <w:rPr>
          <w:noProof/>
        </w:rPr>
        <w:t xml:space="preserve">countries </w:t>
      </w:r>
      <w:r w:rsidR="00C61DB6" w:rsidRPr="00150ABA">
        <w:rPr>
          <w:noProof/>
        </w:rPr>
        <w:t xml:space="preserve">or international organisations </w:t>
      </w:r>
      <w:r w:rsidR="00F9758E" w:rsidRPr="00150ABA">
        <w:rPr>
          <w:noProof/>
        </w:rPr>
        <w:t xml:space="preserve">in the context of a JIT agreement </w:t>
      </w:r>
      <w:r w:rsidR="009F1E5B" w:rsidRPr="00150ABA">
        <w:rPr>
          <w:noProof/>
        </w:rPr>
        <w:t>is</w:t>
      </w:r>
      <w:r w:rsidR="00F9758E" w:rsidRPr="00150ABA">
        <w:rPr>
          <w:noProof/>
        </w:rPr>
        <w:t xml:space="preserve"> subject to compliance with the provisions set out </w:t>
      </w:r>
      <w:r w:rsidR="00C61DB6" w:rsidRPr="00150ABA">
        <w:rPr>
          <w:noProof/>
        </w:rPr>
        <w:t>in Chapter V of Directive (EU) 2016/680</w:t>
      </w:r>
      <w:r w:rsidR="00DB0D69" w:rsidRPr="00150ABA">
        <w:rPr>
          <w:noProof/>
        </w:rPr>
        <w:t>.</w:t>
      </w:r>
      <w:r w:rsidR="00E24090" w:rsidRPr="00150ABA">
        <w:rPr>
          <w:noProof/>
        </w:rPr>
        <w:t xml:space="preserve"> </w:t>
      </w:r>
      <w:r w:rsidR="00E24090" w:rsidRPr="00150ABA">
        <w:rPr>
          <w:noProof/>
          <w:lang w:eastAsia="en-GB"/>
        </w:rPr>
        <w:t>Exchanges of operational data with third countries should be limited to those required to fulfil the purposes of the JIT agreement.</w:t>
      </w:r>
    </w:p>
    <w:p w14:paraId="0BC5E5BE" w14:textId="0BAA28B1" w:rsidR="009E050B" w:rsidRPr="00150ABA" w:rsidRDefault="00D76D82" w:rsidP="00D76D82">
      <w:pPr>
        <w:pStyle w:val="ManualConsidrant"/>
        <w:rPr>
          <w:noProof/>
        </w:rPr>
      </w:pPr>
      <w:r w:rsidRPr="00D76D82">
        <w:t>(30)</w:t>
      </w:r>
      <w:r w:rsidRPr="00D76D82">
        <w:tab/>
      </w:r>
      <w:r w:rsidR="006E16B8" w:rsidRPr="00150ABA">
        <w:rPr>
          <w:noProof/>
        </w:rPr>
        <w:t>Whe</w:t>
      </w:r>
      <w:r w:rsidR="00AD2FC4" w:rsidRPr="00150ABA">
        <w:rPr>
          <w:noProof/>
        </w:rPr>
        <w:t>n</w:t>
      </w:r>
      <w:r w:rsidR="006E16B8" w:rsidRPr="00150ABA">
        <w:rPr>
          <w:noProof/>
        </w:rPr>
        <w:t xml:space="preserve">ever a third </w:t>
      </w:r>
      <w:r w:rsidR="00AD2FC4" w:rsidRPr="00150ABA">
        <w:rPr>
          <w:noProof/>
        </w:rPr>
        <w:t xml:space="preserve">country </w:t>
      </w:r>
      <w:r w:rsidR="006E16B8" w:rsidRPr="00150ABA">
        <w:rPr>
          <w:noProof/>
        </w:rPr>
        <w:t xml:space="preserve">uploads operational information or evidence to </w:t>
      </w:r>
      <w:r w:rsidR="004F40F5" w:rsidRPr="00150ABA">
        <w:rPr>
          <w:noProof/>
        </w:rPr>
        <w:t xml:space="preserve">a </w:t>
      </w:r>
      <w:r w:rsidR="006E16B8" w:rsidRPr="00150ABA">
        <w:rPr>
          <w:noProof/>
        </w:rPr>
        <w:t xml:space="preserve">JIT collaboration </w:t>
      </w:r>
      <w:r w:rsidR="004F40F5" w:rsidRPr="00150ABA">
        <w:rPr>
          <w:noProof/>
        </w:rPr>
        <w:t>space</w:t>
      </w:r>
      <w:r w:rsidR="006E16B8" w:rsidRPr="00150ABA">
        <w:rPr>
          <w:noProof/>
        </w:rPr>
        <w:t xml:space="preserve">, </w:t>
      </w:r>
      <w:r w:rsidR="00AF41E6" w:rsidRPr="00150ABA">
        <w:rPr>
          <w:noProof/>
        </w:rPr>
        <w:t xml:space="preserve">the JIT space administrator should verify </w:t>
      </w:r>
      <w:r w:rsidR="006E16B8" w:rsidRPr="00150ABA">
        <w:rPr>
          <w:noProof/>
        </w:rPr>
        <w:t xml:space="preserve">that </w:t>
      </w:r>
      <w:r w:rsidR="00AF41E6" w:rsidRPr="00150ABA">
        <w:rPr>
          <w:noProof/>
        </w:rPr>
        <w:t xml:space="preserve">such </w:t>
      </w:r>
      <w:r w:rsidR="006E16B8" w:rsidRPr="00150ABA">
        <w:rPr>
          <w:noProof/>
        </w:rPr>
        <w:t xml:space="preserve">information or evidence </w:t>
      </w:r>
      <w:r w:rsidR="00AF41E6" w:rsidRPr="00150ABA">
        <w:rPr>
          <w:noProof/>
        </w:rPr>
        <w:t xml:space="preserve">is provided </w:t>
      </w:r>
      <w:r w:rsidR="00E24090" w:rsidRPr="00150ABA">
        <w:rPr>
          <w:noProof/>
        </w:rPr>
        <w:t>to fulfil the purpose</w:t>
      </w:r>
      <w:r w:rsidR="000020FA" w:rsidRPr="00150ABA">
        <w:rPr>
          <w:noProof/>
        </w:rPr>
        <w:t>s</w:t>
      </w:r>
      <w:r w:rsidR="00E24090" w:rsidRPr="00150ABA">
        <w:rPr>
          <w:noProof/>
        </w:rPr>
        <w:t xml:space="preserve"> </w:t>
      </w:r>
      <w:r w:rsidR="00AF41E6" w:rsidRPr="00150ABA">
        <w:rPr>
          <w:noProof/>
        </w:rPr>
        <w:t xml:space="preserve">of the JIT agreement, </w:t>
      </w:r>
      <w:r w:rsidR="006E16B8" w:rsidRPr="00150ABA">
        <w:rPr>
          <w:noProof/>
        </w:rPr>
        <w:t xml:space="preserve">before it can be </w:t>
      </w:r>
      <w:r w:rsidR="00AD2FC4" w:rsidRPr="00150ABA">
        <w:rPr>
          <w:noProof/>
        </w:rPr>
        <w:t xml:space="preserve"> </w:t>
      </w:r>
      <w:r w:rsidR="006E16B8" w:rsidRPr="00150ABA">
        <w:rPr>
          <w:noProof/>
        </w:rPr>
        <w:t xml:space="preserve">downloaded by other </w:t>
      </w:r>
      <w:r w:rsidR="000E133A" w:rsidRPr="00150ABA">
        <w:rPr>
          <w:noProof/>
        </w:rPr>
        <w:t>users of the platform.</w:t>
      </w:r>
    </w:p>
    <w:p w14:paraId="420B52B6" w14:textId="08B7BBBE" w:rsidR="00A0346D" w:rsidRPr="00150ABA" w:rsidRDefault="00D76D82" w:rsidP="00D76D82">
      <w:pPr>
        <w:pStyle w:val="ManualConsidrant"/>
        <w:rPr>
          <w:noProof/>
        </w:rPr>
      </w:pPr>
      <w:r w:rsidRPr="00D76D82">
        <w:t>(31)</w:t>
      </w:r>
      <w:r w:rsidRPr="00D76D82">
        <w:tab/>
      </w:r>
      <w:r w:rsidR="00AD2FC4" w:rsidRPr="00150ABA">
        <w:rPr>
          <w:noProof/>
        </w:rPr>
        <w:t>Where</w:t>
      </w:r>
      <w:r w:rsidR="004D6540" w:rsidRPr="00150ABA">
        <w:rPr>
          <w:noProof/>
        </w:rPr>
        <w:t xml:space="preserve"> a JIT has </w:t>
      </w:r>
      <w:r w:rsidR="006E16B8" w:rsidRPr="00150ABA">
        <w:rPr>
          <w:noProof/>
        </w:rPr>
        <w:t xml:space="preserve">multiple JIT </w:t>
      </w:r>
      <w:r w:rsidR="004F40F5" w:rsidRPr="00150ABA">
        <w:rPr>
          <w:noProof/>
        </w:rPr>
        <w:t>space administrators</w:t>
      </w:r>
      <w:r w:rsidR="006E16B8" w:rsidRPr="00150ABA">
        <w:rPr>
          <w:noProof/>
        </w:rPr>
        <w:t xml:space="preserve">, </w:t>
      </w:r>
      <w:r w:rsidR="00AE6740" w:rsidRPr="00150ABA">
        <w:rPr>
          <w:noProof/>
        </w:rPr>
        <w:t xml:space="preserve">those JIT space administrators should </w:t>
      </w:r>
      <w:r w:rsidR="00AF41E6" w:rsidRPr="00150ABA">
        <w:rPr>
          <w:noProof/>
        </w:rPr>
        <w:t>agree among themselves</w:t>
      </w:r>
      <w:r w:rsidR="00AE6740" w:rsidRPr="00150ABA">
        <w:rPr>
          <w:noProof/>
        </w:rPr>
        <w:t xml:space="preserve">, </w:t>
      </w:r>
      <w:r w:rsidR="004D6540" w:rsidRPr="00150ABA">
        <w:rPr>
          <w:noProof/>
        </w:rPr>
        <w:t xml:space="preserve">as soon as the JIT collaboration space including third </w:t>
      </w:r>
      <w:r w:rsidR="00AE6740" w:rsidRPr="00150ABA">
        <w:rPr>
          <w:noProof/>
        </w:rPr>
        <w:t xml:space="preserve">countries </w:t>
      </w:r>
      <w:r w:rsidR="004D6540" w:rsidRPr="00150ABA">
        <w:rPr>
          <w:noProof/>
        </w:rPr>
        <w:t xml:space="preserve">is established, </w:t>
      </w:r>
      <w:r w:rsidR="00AF41E6" w:rsidRPr="00150ABA">
        <w:rPr>
          <w:noProof/>
        </w:rPr>
        <w:t xml:space="preserve">about </w:t>
      </w:r>
      <w:r w:rsidR="00AE6740" w:rsidRPr="00150ABA">
        <w:rPr>
          <w:noProof/>
        </w:rPr>
        <w:t>one of them to be</w:t>
      </w:r>
      <w:r w:rsidR="004D6540" w:rsidRPr="00150ABA">
        <w:rPr>
          <w:noProof/>
        </w:rPr>
        <w:t xml:space="preserve"> controller of the data uploaded by those third </w:t>
      </w:r>
      <w:r w:rsidR="00AE6740" w:rsidRPr="00150ABA">
        <w:rPr>
          <w:noProof/>
        </w:rPr>
        <w:t>countries</w:t>
      </w:r>
      <w:r w:rsidR="004D6540" w:rsidRPr="00150ABA">
        <w:rPr>
          <w:noProof/>
        </w:rPr>
        <w:t>.</w:t>
      </w:r>
    </w:p>
    <w:p w14:paraId="4770DBCB" w14:textId="7611174C" w:rsidR="004D6540" w:rsidRPr="00150ABA" w:rsidRDefault="00D76D82" w:rsidP="00D76D82">
      <w:pPr>
        <w:pStyle w:val="ManualConsidrant"/>
        <w:rPr>
          <w:noProof/>
        </w:rPr>
      </w:pPr>
      <w:r w:rsidRPr="00D76D82">
        <w:t>(32)</w:t>
      </w:r>
      <w:r w:rsidRPr="00D76D82">
        <w:tab/>
      </w:r>
      <w:r w:rsidR="004F40F5" w:rsidRPr="00150ABA">
        <w:rPr>
          <w:noProof/>
        </w:rPr>
        <w:t>e</w:t>
      </w:r>
      <w:r w:rsidR="00A0346D" w:rsidRPr="00150ABA">
        <w:rPr>
          <w:noProof/>
        </w:rPr>
        <w:t xml:space="preserve">u-LISA </w:t>
      </w:r>
      <w:r w:rsidR="0007123C" w:rsidRPr="00150ABA">
        <w:rPr>
          <w:noProof/>
        </w:rPr>
        <w:t xml:space="preserve">should </w:t>
      </w:r>
      <w:r w:rsidR="00A0346D" w:rsidRPr="00150ABA">
        <w:rPr>
          <w:noProof/>
        </w:rPr>
        <w:t>ensure that accessing the centralised information system and all data processing operations in the centralised information system are logged for the purposes of monitoring data integrity and security</w:t>
      </w:r>
      <w:r w:rsidR="00C136A6" w:rsidRPr="00150ABA">
        <w:rPr>
          <w:noProof/>
        </w:rPr>
        <w:t>,</w:t>
      </w:r>
      <w:r w:rsidR="00A0346D" w:rsidRPr="00150ABA">
        <w:rPr>
          <w:noProof/>
        </w:rPr>
        <w:t xml:space="preserve"> the lawfulness of the data processing as well as for the purposes of self-monitoring. </w:t>
      </w:r>
    </w:p>
    <w:p w14:paraId="4FACE61E" w14:textId="61F7AF68" w:rsidR="0061713F" w:rsidRPr="00150ABA" w:rsidRDefault="00D76D82" w:rsidP="00D76D82">
      <w:pPr>
        <w:pStyle w:val="ManualConsidrant"/>
        <w:rPr>
          <w:noProof/>
        </w:rPr>
      </w:pPr>
      <w:r w:rsidRPr="00D76D82">
        <w:t>(33)</w:t>
      </w:r>
      <w:r w:rsidRPr="00D76D82">
        <w:tab/>
      </w:r>
      <w:r w:rsidR="00A0346D" w:rsidRPr="00150ABA">
        <w:rPr>
          <w:noProof/>
        </w:rPr>
        <w:t xml:space="preserve">This Regulation </w:t>
      </w:r>
      <w:r w:rsidR="0061713F" w:rsidRPr="00150ABA">
        <w:rPr>
          <w:noProof/>
        </w:rPr>
        <w:t>imposes</w:t>
      </w:r>
      <w:r w:rsidR="00A0346D" w:rsidRPr="00150ABA">
        <w:rPr>
          <w:noProof/>
        </w:rPr>
        <w:t xml:space="preserve"> reporting obligations on eu-LISA regarding the development</w:t>
      </w:r>
      <w:r w:rsidR="0061713F" w:rsidRPr="00150ABA">
        <w:rPr>
          <w:noProof/>
        </w:rPr>
        <w:t xml:space="preserve"> and functioning</w:t>
      </w:r>
      <w:r w:rsidR="00A0346D" w:rsidRPr="00150ABA">
        <w:rPr>
          <w:noProof/>
        </w:rPr>
        <w:t xml:space="preserve"> of the JITs collaboration platform in light of objectives relating to the</w:t>
      </w:r>
      <w:r w:rsidR="0061713F" w:rsidRPr="00150ABA">
        <w:rPr>
          <w:noProof/>
        </w:rPr>
        <w:t xml:space="preserve"> planning,</w:t>
      </w:r>
      <w:r w:rsidR="00A0346D" w:rsidRPr="00150ABA">
        <w:rPr>
          <w:noProof/>
        </w:rPr>
        <w:t xml:space="preserve"> technical output, cost-effectiveness, security and quality of service.</w:t>
      </w:r>
      <w:r w:rsidR="0061713F" w:rsidRPr="00150ABA">
        <w:rPr>
          <w:noProof/>
        </w:rPr>
        <w:t xml:space="preserve"> Furthermore, the</w:t>
      </w:r>
      <w:r w:rsidR="00A0346D" w:rsidRPr="00150ABA">
        <w:rPr>
          <w:noProof/>
        </w:rPr>
        <w:t xml:space="preserve"> Commission</w:t>
      </w:r>
      <w:r w:rsidR="0061713F" w:rsidRPr="00150ABA">
        <w:rPr>
          <w:noProof/>
        </w:rPr>
        <w:t xml:space="preserve"> </w:t>
      </w:r>
      <w:r w:rsidR="00AE6740" w:rsidRPr="00150ABA">
        <w:rPr>
          <w:noProof/>
        </w:rPr>
        <w:t xml:space="preserve">should </w:t>
      </w:r>
      <w:r w:rsidR="0061713F" w:rsidRPr="00150ABA">
        <w:rPr>
          <w:noProof/>
        </w:rPr>
        <w:t xml:space="preserve">conduct an overall </w:t>
      </w:r>
      <w:r w:rsidR="003D3D11" w:rsidRPr="00150ABA">
        <w:rPr>
          <w:noProof/>
        </w:rPr>
        <w:t>evaluation of</w:t>
      </w:r>
      <w:r w:rsidR="0061713F" w:rsidRPr="00150ABA">
        <w:rPr>
          <w:noProof/>
        </w:rPr>
        <w:t xml:space="preserve"> the JITs collaboration platform four years after the start of operations of the JITs collaboration platform and every four years thereafter.</w:t>
      </w:r>
    </w:p>
    <w:p w14:paraId="3704F1E7" w14:textId="32A0E82C" w:rsidR="00AE5BAA" w:rsidRPr="00150ABA" w:rsidRDefault="00D76D82" w:rsidP="00D76D82">
      <w:pPr>
        <w:pStyle w:val="ManualConsidrant"/>
        <w:rPr>
          <w:noProof/>
        </w:rPr>
      </w:pPr>
      <w:r w:rsidRPr="00D76D82">
        <w:t>(34)</w:t>
      </w:r>
      <w:r w:rsidRPr="00D76D82">
        <w:tab/>
      </w:r>
      <w:r w:rsidR="009E050B" w:rsidRPr="00150ABA">
        <w:rPr>
          <w:noProof/>
        </w:rPr>
        <w:t>E</w:t>
      </w:r>
      <w:r w:rsidR="00A928B4" w:rsidRPr="00150ABA">
        <w:rPr>
          <w:noProof/>
        </w:rPr>
        <w:t xml:space="preserve">ach Member State </w:t>
      </w:r>
      <w:r w:rsidR="009E050B" w:rsidRPr="00150ABA">
        <w:rPr>
          <w:noProof/>
        </w:rPr>
        <w:t>as well as Eurojust, Europol</w:t>
      </w:r>
      <w:r w:rsidR="000020FA" w:rsidRPr="00150ABA">
        <w:rPr>
          <w:noProof/>
        </w:rPr>
        <w:t xml:space="preserve">, the European Public Prosecutor’s Office, </w:t>
      </w:r>
      <w:r w:rsidR="009E050B" w:rsidRPr="00150ABA">
        <w:rPr>
          <w:noProof/>
        </w:rPr>
        <w:t xml:space="preserve">OLAF </w:t>
      </w:r>
      <w:r w:rsidR="000020FA" w:rsidRPr="00150ABA">
        <w:rPr>
          <w:noProof/>
        </w:rPr>
        <w:t xml:space="preserve">and any other competent Union body, office and agency </w:t>
      </w:r>
      <w:r w:rsidR="00A928B4" w:rsidRPr="00150ABA">
        <w:rPr>
          <w:noProof/>
        </w:rPr>
        <w:t xml:space="preserve">should bear its own costs arising from their </w:t>
      </w:r>
      <w:r w:rsidR="009E050B" w:rsidRPr="00150ABA">
        <w:rPr>
          <w:noProof/>
        </w:rPr>
        <w:t>us</w:t>
      </w:r>
      <w:r w:rsidR="00AE6740" w:rsidRPr="00150ABA">
        <w:rPr>
          <w:noProof/>
        </w:rPr>
        <w:t>e</w:t>
      </w:r>
      <w:r w:rsidR="009E050B" w:rsidRPr="00150ABA">
        <w:rPr>
          <w:noProof/>
        </w:rPr>
        <w:t xml:space="preserve"> of </w:t>
      </w:r>
      <w:r w:rsidR="00A928B4" w:rsidRPr="00150ABA">
        <w:rPr>
          <w:noProof/>
        </w:rPr>
        <w:t>the JIT</w:t>
      </w:r>
      <w:r w:rsidR="00FF3B47" w:rsidRPr="00150ABA">
        <w:rPr>
          <w:noProof/>
        </w:rPr>
        <w:t>s</w:t>
      </w:r>
      <w:r w:rsidR="00A928B4" w:rsidRPr="00150ABA">
        <w:rPr>
          <w:noProof/>
        </w:rPr>
        <w:t xml:space="preserve"> collaboration platform</w:t>
      </w:r>
      <w:r w:rsidR="00DB0D69" w:rsidRPr="00150ABA">
        <w:rPr>
          <w:noProof/>
        </w:rPr>
        <w:t>.</w:t>
      </w:r>
    </w:p>
    <w:p w14:paraId="53C0FF10" w14:textId="69DBDC57" w:rsidR="00AE5BAA" w:rsidRPr="00150ABA" w:rsidRDefault="00D76D82" w:rsidP="00D76D82">
      <w:pPr>
        <w:pStyle w:val="ManualConsidrant"/>
        <w:rPr>
          <w:noProof/>
        </w:rPr>
      </w:pPr>
      <w:r w:rsidRPr="00D76D82">
        <w:t>(35)</w:t>
      </w:r>
      <w:r w:rsidRPr="00D76D82">
        <w:tab/>
      </w:r>
      <w:r w:rsidR="00AE5BAA" w:rsidRPr="00150ABA">
        <w:rPr>
          <w:noProof/>
        </w:rPr>
        <w:t>In order to establish conditions for the technical development and implementation of the JITs collaboration platform, implementing powers should be conferred on the Commission. Those powers should be exercised in accordance with Regulation (EU) No 182/2011 of the European Parliament and the Council</w:t>
      </w:r>
      <w:r w:rsidR="009E5224" w:rsidRPr="00150ABA">
        <w:rPr>
          <w:rStyle w:val="FootnoteReference"/>
          <w:noProof/>
        </w:rPr>
        <w:footnoteReference w:id="28"/>
      </w:r>
      <w:r w:rsidR="00FF3B47" w:rsidRPr="00150ABA">
        <w:rPr>
          <w:noProof/>
        </w:rPr>
        <w:t>.</w:t>
      </w:r>
    </w:p>
    <w:p w14:paraId="2E05E1FB" w14:textId="7D881D60" w:rsidR="00FF3B47" w:rsidRPr="00150ABA" w:rsidRDefault="00D76D82" w:rsidP="00D76D82">
      <w:pPr>
        <w:pStyle w:val="ManualConsidrant"/>
        <w:rPr>
          <w:noProof/>
        </w:rPr>
      </w:pPr>
      <w:r w:rsidRPr="00D76D82">
        <w:t>(36)</w:t>
      </w:r>
      <w:r w:rsidRPr="00D76D82">
        <w:tab/>
      </w:r>
      <w:r w:rsidR="00A928B4" w:rsidRPr="00150ABA">
        <w:rPr>
          <w:noProof/>
        </w:rPr>
        <w:t xml:space="preserve">The Commission </w:t>
      </w:r>
      <w:r w:rsidR="00DB4D5B" w:rsidRPr="00150ABA">
        <w:rPr>
          <w:noProof/>
        </w:rPr>
        <w:t xml:space="preserve">should </w:t>
      </w:r>
      <w:r w:rsidR="00A928B4" w:rsidRPr="00150ABA">
        <w:rPr>
          <w:noProof/>
        </w:rPr>
        <w:t>determine the date of the start of operations of the JITs collaboration platform once the relevant implementing acts necessary for the technical development of the JITs collaboration platform have been adopted and eu-LISA has carried out a comprehensive test of the JITs collaboration platform, in cooperation with the Member States</w:t>
      </w:r>
      <w:r w:rsidR="00FF3B47" w:rsidRPr="00150ABA">
        <w:rPr>
          <w:noProof/>
        </w:rPr>
        <w:t>.</w:t>
      </w:r>
    </w:p>
    <w:p w14:paraId="32BB1381" w14:textId="6403B6C9" w:rsidR="00A928B4" w:rsidRPr="00150ABA" w:rsidRDefault="00D76D82" w:rsidP="00D76D82">
      <w:pPr>
        <w:pStyle w:val="ManualConsidrant"/>
        <w:rPr>
          <w:noProof/>
        </w:rPr>
      </w:pPr>
      <w:r w:rsidRPr="00D76D82">
        <w:t>(37)</w:t>
      </w:r>
      <w:r w:rsidRPr="00D76D82">
        <w:tab/>
      </w:r>
      <w:r w:rsidR="00A928B4" w:rsidRPr="00150ABA">
        <w:rPr>
          <w:noProof/>
        </w:rPr>
        <w:t xml:space="preserve">Since the objective of this Regulation, namely to enable the effective and efficient </w:t>
      </w:r>
      <w:r w:rsidR="004D6540" w:rsidRPr="00150ABA">
        <w:rPr>
          <w:noProof/>
        </w:rPr>
        <w:t xml:space="preserve">cooperation, </w:t>
      </w:r>
      <w:r w:rsidR="00A928B4" w:rsidRPr="00150ABA">
        <w:rPr>
          <w:noProof/>
        </w:rPr>
        <w:t>communication and exchange of information and evidence among JIT members,</w:t>
      </w:r>
      <w:r w:rsidR="003F78E5" w:rsidRPr="00150ABA">
        <w:rPr>
          <w:noProof/>
        </w:rPr>
        <w:t xml:space="preserve"> Eurojust, Europol</w:t>
      </w:r>
      <w:r w:rsidR="00C23E2A" w:rsidRPr="00150ABA">
        <w:rPr>
          <w:noProof/>
        </w:rPr>
        <w:t>,</w:t>
      </w:r>
      <w:r w:rsidR="00C1246E" w:rsidRPr="00150ABA">
        <w:rPr>
          <w:noProof/>
        </w:rPr>
        <w:t xml:space="preserve"> </w:t>
      </w:r>
      <w:r w:rsidR="003F78E5" w:rsidRPr="00150ABA">
        <w:rPr>
          <w:noProof/>
        </w:rPr>
        <w:t>OLAF</w:t>
      </w:r>
      <w:r w:rsidR="00C23E2A" w:rsidRPr="00150ABA">
        <w:rPr>
          <w:noProof/>
        </w:rPr>
        <w:t xml:space="preserve"> and other competent Union bodies, offices and agencies</w:t>
      </w:r>
      <w:r w:rsidR="003F78E5" w:rsidRPr="00150ABA">
        <w:rPr>
          <w:noProof/>
        </w:rPr>
        <w:t xml:space="preserve">, </w:t>
      </w:r>
      <w:r w:rsidR="00A928B4" w:rsidRPr="00150ABA">
        <w:rPr>
          <w:noProof/>
        </w:rPr>
        <w:t xml:space="preserve">cannot be sufficiently achieved by the Member States, but can rather, by </w:t>
      </w:r>
      <w:r w:rsidR="00AE6740" w:rsidRPr="00150ABA">
        <w:rPr>
          <w:noProof/>
        </w:rPr>
        <w:t>setting out</w:t>
      </w:r>
      <w:r w:rsidR="00A928B4" w:rsidRPr="00150ABA">
        <w:rPr>
          <w:noProof/>
        </w:rPr>
        <w:t xml:space="preserve"> common rules, be better achieved at Union level, the Union may adopt measures, in accordance with the principle of subsidiarity as set out in Article 5 of the Treaty on European Union (TEU). In accordance with the principle of proportionality, as set out in that Article, this Regulation does not go beyond what is necessary to achieve that objective</w:t>
      </w:r>
      <w:r w:rsidR="00FF3B47" w:rsidRPr="00150ABA">
        <w:rPr>
          <w:noProof/>
        </w:rPr>
        <w:t>.</w:t>
      </w:r>
    </w:p>
    <w:p w14:paraId="4DE813FA" w14:textId="03CCD493" w:rsidR="00A928B4" w:rsidRPr="00150ABA" w:rsidRDefault="00D76D82" w:rsidP="00D76D82">
      <w:pPr>
        <w:pStyle w:val="ManualConsidrant"/>
        <w:rPr>
          <w:noProof/>
        </w:rPr>
      </w:pPr>
      <w:r w:rsidRPr="00D76D82">
        <w:t>(38)</w:t>
      </w:r>
      <w:r w:rsidRPr="00D76D82">
        <w:tab/>
      </w:r>
      <w:r w:rsidR="00A928B4" w:rsidRPr="00150ABA">
        <w:rPr>
          <w:noProof/>
        </w:rPr>
        <w:t>In accordance with Articles 1 and 2 of Protocol No 22 on the position of Denmark, annexed to the T</w:t>
      </w:r>
      <w:r w:rsidR="00AE6740" w:rsidRPr="00150ABA">
        <w:rPr>
          <w:noProof/>
        </w:rPr>
        <w:t>reaty on European Union</w:t>
      </w:r>
      <w:r w:rsidR="00A928B4" w:rsidRPr="00150ABA">
        <w:rPr>
          <w:noProof/>
        </w:rPr>
        <w:t xml:space="preserve"> and to the T</w:t>
      </w:r>
      <w:r w:rsidR="00AE6740" w:rsidRPr="00150ABA">
        <w:rPr>
          <w:noProof/>
        </w:rPr>
        <w:t>reaty on the Functioning of the European Union</w:t>
      </w:r>
      <w:r w:rsidR="00A928B4" w:rsidRPr="00150ABA">
        <w:rPr>
          <w:noProof/>
        </w:rPr>
        <w:t>, Denmark is not taking part in the adoption of this Regulation and is not bound by it or subject to its application</w:t>
      </w:r>
      <w:r w:rsidR="00FF3B47" w:rsidRPr="00150ABA">
        <w:rPr>
          <w:noProof/>
        </w:rPr>
        <w:t>.</w:t>
      </w:r>
    </w:p>
    <w:p w14:paraId="5B534F09" w14:textId="1DB354E7" w:rsidR="003F78E5" w:rsidRPr="00150ABA" w:rsidRDefault="00D76D82" w:rsidP="00D76D82">
      <w:pPr>
        <w:pStyle w:val="ManualConsidrant"/>
        <w:rPr>
          <w:noProof/>
        </w:rPr>
      </w:pPr>
      <w:r w:rsidRPr="00D76D82">
        <w:t>(39)</w:t>
      </w:r>
      <w:r w:rsidRPr="00D76D82">
        <w:tab/>
      </w:r>
      <w:r w:rsidR="00A928B4" w:rsidRPr="00150ABA">
        <w:rPr>
          <w:noProof/>
        </w:rPr>
        <w:t>The European Data Protection Supervisor was consulted in accordance wi</w:t>
      </w:r>
      <w:r w:rsidR="00AE5BAA" w:rsidRPr="00150ABA">
        <w:rPr>
          <w:noProof/>
        </w:rPr>
        <w:t xml:space="preserve">th Article 42(1) of Regulation (EU) No 2018/1725 </w:t>
      </w:r>
      <w:r w:rsidR="00A928B4" w:rsidRPr="00150ABA">
        <w:rPr>
          <w:noProof/>
        </w:rPr>
        <w:t xml:space="preserve">and delivered an opinion on </w:t>
      </w:r>
      <w:r w:rsidR="00DB0D69" w:rsidRPr="00150ABA">
        <w:rPr>
          <w:noProof/>
        </w:rPr>
        <w:t>XXXX</w:t>
      </w:r>
      <w:r w:rsidR="00772464" w:rsidRPr="00150ABA">
        <w:rPr>
          <w:noProof/>
        </w:rPr>
        <w:t>,</w:t>
      </w:r>
      <w:r w:rsidR="00A928B4" w:rsidRPr="00150ABA">
        <w:rPr>
          <w:noProof/>
        </w:rPr>
        <w:t xml:space="preserve"> </w:t>
      </w:r>
    </w:p>
    <w:p w14:paraId="260BF7B8" w14:textId="77777777" w:rsidR="008A4348" w:rsidRPr="00150ABA" w:rsidRDefault="008A4348" w:rsidP="008A4348">
      <w:pPr>
        <w:rPr>
          <w:noProof/>
        </w:rPr>
      </w:pPr>
    </w:p>
    <w:p w14:paraId="342B1374" w14:textId="77777777" w:rsidR="008E2629" w:rsidRPr="00150ABA" w:rsidRDefault="008E2629" w:rsidP="008E2629">
      <w:pPr>
        <w:pStyle w:val="Formuledadoption"/>
        <w:rPr>
          <w:noProof/>
        </w:rPr>
      </w:pPr>
      <w:r w:rsidRPr="00150ABA">
        <w:rPr>
          <w:noProof/>
        </w:rPr>
        <w:t>HAVE ADOPTED THIS REGULATION:</w:t>
      </w:r>
    </w:p>
    <w:p w14:paraId="73961929" w14:textId="77777777" w:rsidR="00AA1970" w:rsidRPr="00150ABA" w:rsidRDefault="00AA1970" w:rsidP="00521C02">
      <w:pPr>
        <w:shd w:val="clear" w:color="auto" w:fill="FFFFFF" w:themeFill="background1"/>
        <w:spacing w:before="60" w:line="312" w:lineRule="atLeast"/>
        <w:jc w:val="center"/>
        <w:rPr>
          <w:rFonts w:eastAsia="Times New Roman"/>
          <w:b/>
          <w:bCs/>
          <w:noProof/>
          <w:szCs w:val="24"/>
          <w:lang w:eastAsia="en-GB"/>
        </w:rPr>
      </w:pPr>
    </w:p>
    <w:p w14:paraId="605039CC" w14:textId="77777777" w:rsidR="00521C02" w:rsidRPr="00150ABA" w:rsidRDefault="00521C02" w:rsidP="00521C02">
      <w:pPr>
        <w:shd w:val="clear" w:color="auto" w:fill="FFFFFF" w:themeFill="background1"/>
        <w:spacing w:before="60" w:line="312" w:lineRule="atLeast"/>
        <w:jc w:val="center"/>
        <w:rPr>
          <w:rFonts w:eastAsia="Times New Roman"/>
          <w:b/>
          <w:bCs/>
          <w:noProof/>
          <w:szCs w:val="24"/>
          <w:lang w:eastAsia="en-GB"/>
        </w:rPr>
      </w:pPr>
      <w:r w:rsidRPr="00150ABA">
        <w:rPr>
          <w:rFonts w:eastAsia="Times New Roman"/>
          <w:b/>
          <w:bCs/>
          <w:noProof/>
          <w:szCs w:val="24"/>
          <w:lang w:eastAsia="en-GB"/>
        </w:rPr>
        <w:t>CHAPTER I</w:t>
      </w:r>
    </w:p>
    <w:p w14:paraId="00C6235A" w14:textId="77777777" w:rsidR="00521C02" w:rsidRPr="00150ABA" w:rsidRDefault="00521C02" w:rsidP="00521C02">
      <w:pPr>
        <w:shd w:val="clear" w:color="auto" w:fill="FFFFFF" w:themeFill="background1"/>
        <w:spacing w:before="60" w:line="312" w:lineRule="atLeast"/>
        <w:jc w:val="center"/>
        <w:rPr>
          <w:rFonts w:eastAsia="Times New Roman"/>
          <w:b/>
          <w:bCs/>
          <w:i/>
          <w:noProof/>
          <w:szCs w:val="24"/>
          <w:lang w:eastAsia="en-GB"/>
        </w:rPr>
      </w:pPr>
      <w:r w:rsidRPr="00150ABA">
        <w:rPr>
          <w:rFonts w:eastAsia="Times New Roman"/>
          <w:b/>
          <w:bCs/>
          <w:i/>
          <w:noProof/>
          <w:szCs w:val="24"/>
          <w:lang w:eastAsia="en-GB"/>
        </w:rPr>
        <w:t xml:space="preserve">General provisions </w:t>
      </w:r>
    </w:p>
    <w:p w14:paraId="4C46D7CF" w14:textId="77777777" w:rsidR="00521C02" w:rsidRPr="00150ABA" w:rsidRDefault="00521C02" w:rsidP="00FF717F">
      <w:pPr>
        <w:pStyle w:val="Titrearticle"/>
        <w:rPr>
          <w:noProof/>
          <w:lang w:eastAsia="en-GB"/>
        </w:rPr>
      </w:pPr>
      <w:r w:rsidRPr="00150ABA">
        <w:rPr>
          <w:noProof/>
          <w:lang w:eastAsia="en-GB"/>
        </w:rPr>
        <w:t>Article 1</w:t>
      </w:r>
    </w:p>
    <w:p w14:paraId="54D20F2B" w14:textId="77777777" w:rsidR="00521C02" w:rsidRPr="00150ABA" w:rsidRDefault="00521C02" w:rsidP="00521C02">
      <w:pPr>
        <w:shd w:val="clear" w:color="auto" w:fill="FFFFFF" w:themeFill="background1"/>
        <w:spacing w:before="60" w:line="312" w:lineRule="atLeast"/>
        <w:jc w:val="center"/>
        <w:rPr>
          <w:rFonts w:eastAsia="Times New Roman"/>
          <w:b/>
          <w:bCs/>
          <w:noProof/>
          <w:szCs w:val="24"/>
          <w:lang w:eastAsia="en-GB"/>
        </w:rPr>
      </w:pPr>
      <w:r w:rsidRPr="00150ABA">
        <w:rPr>
          <w:rFonts w:eastAsia="Times New Roman"/>
          <w:b/>
          <w:bCs/>
          <w:noProof/>
          <w:szCs w:val="24"/>
          <w:lang w:eastAsia="en-GB"/>
        </w:rPr>
        <w:t xml:space="preserve">Subject matter </w:t>
      </w:r>
    </w:p>
    <w:p w14:paraId="199CCA4D" w14:textId="77777777" w:rsidR="008A4348" w:rsidRPr="00150ABA" w:rsidRDefault="00521C02" w:rsidP="008A4348">
      <w:pPr>
        <w:shd w:val="clear" w:color="auto" w:fill="FFFFFF" w:themeFill="background1"/>
        <w:spacing w:before="60" w:line="312" w:lineRule="atLeast"/>
        <w:rPr>
          <w:rFonts w:eastAsia="Times New Roman"/>
          <w:noProof/>
          <w:szCs w:val="24"/>
          <w:lang w:eastAsia="en-GB"/>
        </w:rPr>
      </w:pPr>
      <w:r w:rsidRPr="00150ABA">
        <w:rPr>
          <w:rFonts w:eastAsia="Times New Roman"/>
          <w:noProof/>
          <w:szCs w:val="24"/>
          <w:lang w:eastAsia="en-GB"/>
        </w:rPr>
        <w:t>This Regulation</w:t>
      </w:r>
      <w:r w:rsidR="002A4E9C" w:rsidRPr="00150ABA">
        <w:rPr>
          <w:rFonts w:eastAsia="Times New Roman"/>
          <w:noProof/>
          <w:szCs w:val="24"/>
          <w:lang w:eastAsia="en-GB"/>
        </w:rPr>
        <w:t>:</w:t>
      </w:r>
      <w:r w:rsidRPr="00150ABA">
        <w:rPr>
          <w:rFonts w:eastAsia="Times New Roman"/>
          <w:noProof/>
          <w:szCs w:val="24"/>
          <w:lang w:eastAsia="en-GB"/>
        </w:rPr>
        <w:t xml:space="preserve"> </w:t>
      </w:r>
    </w:p>
    <w:p w14:paraId="2F09B21B" w14:textId="3CCCF3D7" w:rsidR="00521C02" w:rsidRPr="00150ABA" w:rsidRDefault="00D76D82" w:rsidP="00D76D82">
      <w:pPr>
        <w:pStyle w:val="Point0"/>
        <w:rPr>
          <w:rFonts w:eastAsia="Times New Roman"/>
          <w:noProof/>
          <w:szCs w:val="24"/>
          <w:lang w:eastAsia="en-GB"/>
        </w:rPr>
      </w:pPr>
      <w:r w:rsidRPr="00D76D82">
        <w:t>(a)</w:t>
      </w:r>
      <w:r w:rsidRPr="00D76D82">
        <w:tab/>
      </w:r>
      <w:r w:rsidR="00CA22C6" w:rsidRPr="00150ABA">
        <w:rPr>
          <w:noProof/>
          <w:lang w:eastAsia="en-GB"/>
        </w:rPr>
        <w:t xml:space="preserve">establishes </w:t>
      </w:r>
      <w:r w:rsidR="00521C02" w:rsidRPr="00150ABA">
        <w:rPr>
          <w:noProof/>
          <w:lang w:eastAsia="en-GB"/>
        </w:rPr>
        <w:t>a</w:t>
      </w:r>
      <w:r w:rsidR="00CC3969" w:rsidRPr="00150ABA">
        <w:rPr>
          <w:noProof/>
          <w:lang w:eastAsia="en-GB"/>
        </w:rPr>
        <w:t>n IT</w:t>
      </w:r>
      <w:r w:rsidR="009E00D6" w:rsidRPr="00150ABA">
        <w:rPr>
          <w:noProof/>
          <w:lang w:eastAsia="en-GB"/>
        </w:rPr>
        <w:t xml:space="preserve"> </w:t>
      </w:r>
      <w:r w:rsidR="00761DF5" w:rsidRPr="00150ABA">
        <w:rPr>
          <w:noProof/>
          <w:lang w:eastAsia="en-GB"/>
        </w:rPr>
        <w:t xml:space="preserve">platform </w:t>
      </w:r>
      <w:r w:rsidR="00521C02" w:rsidRPr="00150ABA">
        <w:rPr>
          <w:noProof/>
          <w:lang w:eastAsia="en-GB"/>
        </w:rPr>
        <w:t>(</w:t>
      </w:r>
      <w:r w:rsidR="007F2EF5" w:rsidRPr="00150ABA">
        <w:rPr>
          <w:noProof/>
          <w:lang w:eastAsia="en-GB"/>
        </w:rPr>
        <w:t xml:space="preserve">the </w:t>
      </w:r>
      <w:r w:rsidR="00521C02" w:rsidRPr="00150ABA">
        <w:rPr>
          <w:noProof/>
          <w:lang w:eastAsia="en-GB"/>
        </w:rPr>
        <w:t>‘JITs collaboration platform’)</w:t>
      </w:r>
      <w:r w:rsidR="001C5856" w:rsidRPr="00150ABA">
        <w:rPr>
          <w:noProof/>
          <w:lang w:eastAsia="en-GB"/>
        </w:rPr>
        <w:t>,</w:t>
      </w:r>
      <w:r w:rsidR="00521C02" w:rsidRPr="00150ABA">
        <w:rPr>
          <w:noProof/>
          <w:lang w:eastAsia="en-GB"/>
        </w:rPr>
        <w:t xml:space="preserve"> </w:t>
      </w:r>
      <w:r w:rsidR="00CC3969" w:rsidRPr="00150ABA">
        <w:rPr>
          <w:noProof/>
          <w:lang w:eastAsia="en-GB"/>
        </w:rPr>
        <w:t>to be used on a</w:t>
      </w:r>
      <w:r w:rsidR="00521C02" w:rsidRPr="00150ABA">
        <w:rPr>
          <w:noProof/>
          <w:lang w:eastAsia="en-GB"/>
        </w:rPr>
        <w:t xml:space="preserve"> voluntary</w:t>
      </w:r>
      <w:r w:rsidR="00CC3969" w:rsidRPr="00150ABA">
        <w:rPr>
          <w:noProof/>
          <w:lang w:eastAsia="en-GB"/>
        </w:rPr>
        <w:t xml:space="preserve"> basis</w:t>
      </w:r>
      <w:r w:rsidR="00521C02" w:rsidRPr="00150ABA">
        <w:rPr>
          <w:noProof/>
          <w:lang w:eastAsia="en-GB"/>
        </w:rPr>
        <w:t>, to facilitate the cooperation of competent authorities participating in Joint Investigation Teams (‘JITs’)</w:t>
      </w:r>
      <w:r w:rsidR="001C5856" w:rsidRPr="00150ABA">
        <w:rPr>
          <w:noProof/>
          <w:lang w:eastAsia="en-GB"/>
        </w:rPr>
        <w:t xml:space="preserve"> </w:t>
      </w:r>
      <w:r w:rsidR="00B66B33" w:rsidRPr="00150ABA">
        <w:rPr>
          <w:noProof/>
          <w:lang w:eastAsia="en-GB"/>
        </w:rPr>
        <w:t xml:space="preserve">set up </w:t>
      </w:r>
      <w:r w:rsidR="00521C02" w:rsidRPr="00150ABA">
        <w:rPr>
          <w:noProof/>
          <w:lang w:eastAsia="en-GB"/>
        </w:rPr>
        <w:t>on</w:t>
      </w:r>
      <w:r w:rsidR="00521C02" w:rsidRPr="00150ABA">
        <w:rPr>
          <w:noProof/>
        </w:rPr>
        <w:t xml:space="preserve"> </w:t>
      </w:r>
      <w:r w:rsidR="001C5856" w:rsidRPr="00150ABA">
        <w:rPr>
          <w:noProof/>
        </w:rPr>
        <w:t xml:space="preserve">the basis of </w:t>
      </w:r>
      <w:r w:rsidR="00521C02" w:rsidRPr="00150ABA">
        <w:rPr>
          <w:noProof/>
          <w:lang w:eastAsia="en-GB"/>
        </w:rPr>
        <w:t xml:space="preserve">Article 13 of the Convention </w:t>
      </w:r>
      <w:r w:rsidR="00246491" w:rsidRPr="00150ABA">
        <w:rPr>
          <w:noProof/>
        </w:rPr>
        <w:t xml:space="preserve">established by the Council in accordance with Article 34 of the Treaty on European Union, </w:t>
      </w:r>
      <w:r w:rsidR="00521C02" w:rsidRPr="00150ABA">
        <w:rPr>
          <w:noProof/>
          <w:lang w:eastAsia="en-GB"/>
        </w:rPr>
        <w:t xml:space="preserve">on Mutual Assistance in Criminal Matters between the Member States of the European Union </w:t>
      </w:r>
      <w:r w:rsidR="00203B0D" w:rsidRPr="00150ABA">
        <w:rPr>
          <w:noProof/>
          <w:lang w:eastAsia="en-GB"/>
        </w:rPr>
        <w:t xml:space="preserve">or </w:t>
      </w:r>
      <w:r w:rsidR="00CC3969" w:rsidRPr="00150ABA">
        <w:rPr>
          <w:noProof/>
          <w:lang w:eastAsia="en-GB"/>
        </w:rPr>
        <w:t xml:space="preserve">on </w:t>
      </w:r>
      <w:r w:rsidR="00521C02" w:rsidRPr="00150ABA">
        <w:rPr>
          <w:noProof/>
          <w:lang w:eastAsia="en-GB"/>
        </w:rPr>
        <w:t>Framework Decision 2002/465/JHA</w:t>
      </w:r>
      <w:r w:rsidR="00246491" w:rsidRPr="00150ABA">
        <w:rPr>
          <w:noProof/>
          <w:lang w:eastAsia="en-GB"/>
        </w:rPr>
        <w:t>;</w:t>
      </w:r>
    </w:p>
    <w:p w14:paraId="22029040" w14:textId="0B4DA559" w:rsidR="00521C02" w:rsidRPr="00150ABA" w:rsidRDefault="00D76D82" w:rsidP="00D76D82">
      <w:pPr>
        <w:pStyle w:val="Point0"/>
        <w:rPr>
          <w:noProof/>
          <w:lang w:eastAsia="en-GB"/>
        </w:rPr>
      </w:pPr>
      <w:r w:rsidRPr="00D76D82">
        <w:t>(b)</w:t>
      </w:r>
      <w:r w:rsidRPr="00D76D82">
        <w:tab/>
      </w:r>
      <w:r w:rsidR="00CA22C6" w:rsidRPr="00150ABA">
        <w:rPr>
          <w:noProof/>
          <w:lang w:eastAsia="en-GB"/>
        </w:rPr>
        <w:t xml:space="preserve">lays down </w:t>
      </w:r>
      <w:r w:rsidR="00521C02" w:rsidRPr="00150ABA">
        <w:rPr>
          <w:noProof/>
          <w:lang w:eastAsia="en-GB"/>
        </w:rPr>
        <w:t xml:space="preserve">rules on the division of responsibilities between the </w:t>
      </w:r>
      <w:r w:rsidR="00FF3B47" w:rsidRPr="00150ABA">
        <w:rPr>
          <w:noProof/>
          <w:lang w:eastAsia="en-GB"/>
        </w:rPr>
        <w:t xml:space="preserve">JITs collaboration platform users </w:t>
      </w:r>
      <w:r w:rsidR="00521C02" w:rsidRPr="00150ABA">
        <w:rPr>
          <w:noProof/>
          <w:lang w:eastAsia="en-GB"/>
        </w:rPr>
        <w:t xml:space="preserve">and the </w:t>
      </w:r>
      <w:r w:rsidR="00CC3969" w:rsidRPr="00150ABA">
        <w:rPr>
          <w:noProof/>
          <w:lang w:eastAsia="en-GB"/>
        </w:rPr>
        <w:t>agency</w:t>
      </w:r>
      <w:r w:rsidR="00521C02" w:rsidRPr="00150ABA">
        <w:rPr>
          <w:noProof/>
          <w:lang w:eastAsia="en-GB"/>
        </w:rPr>
        <w:t xml:space="preserve"> responsible for the development and maintenance of t</w:t>
      </w:r>
      <w:r w:rsidR="002A4E9C" w:rsidRPr="00150ABA">
        <w:rPr>
          <w:noProof/>
          <w:lang w:eastAsia="en-GB"/>
        </w:rPr>
        <w:t>he JITs collaboration platform;</w:t>
      </w:r>
    </w:p>
    <w:p w14:paraId="5764A3F1" w14:textId="3FB12E65" w:rsidR="00521C02" w:rsidRPr="00150ABA" w:rsidRDefault="00D76D82" w:rsidP="00D76D82">
      <w:pPr>
        <w:pStyle w:val="Point0"/>
        <w:rPr>
          <w:noProof/>
          <w:lang w:eastAsia="en-GB"/>
        </w:rPr>
      </w:pPr>
      <w:r w:rsidRPr="00D76D82">
        <w:t>(c)</w:t>
      </w:r>
      <w:r w:rsidRPr="00D76D82">
        <w:tab/>
      </w:r>
      <w:r w:rsidR="00CA22C6" w:rsidRPr="00150ABA">
        <w:rPr>
          <w:noProof/>
          <w:lang w:eastAsia="en-GB"/>
        </w:rPr>
        <w:t xml:space="preserve">sets out </w:t>
      </w:r>
      <w:r w:rsidR="00521C02" w:rsidRPr="00150ABA">
        <w:rPr>
          <w:noProof/>
          <w:lang w:eastAsia="en-GB"/>
        </w:rPr>
        <w:t>conditions, under which</w:t>
      </w:r>
      <w:r w:rsidR="007500D8" w:rsidRPr="00150ABA">
        <w:rPr>
          <w:noProof/>
          <w:lang w:eastAsia="en-GB"/>
        </w:rPr>
        <w:t xml:space="preserve"> </w:t>
      </w:r>
      <w:r w:rsidR="0073437D" w:rsidRPr="00150ABA">
        <w:rPr>
          <w:noProof/>
          <w:lang w:eastAsia="en-GB"/>
        </w:rPr>
        <w:t xml:space="preserve">the </w:t>
      </w:r>
      <w:r w:rsidR="007500D8" w:rsidRPr="00150ABA">
        <w:rPr>
          <w:noProof/>
          <w:lang w:eastAsia="en-GB"/>
        </w:rPr>
        <w:t>JIT</w:t>
      </w:r>
      <w:r w:rsidR="00F61B7B" w:rsidRPr="00150ABA">
        <w:rPr>
          <w:noProof/>
          <w:lang w:eastAsia="en-GB"/>
        </w:rPr>
        <w:t>s</w:t>
      </w:r>
      <w:r w:rsidR="007500D8" w:rsidRPr="00150ABA">
        <w:rPr>
          <w:noProof/>
          <w:lang w:eastAsia="en-GB"/>
        </w:rPr>
        <w:t xml:space="preserve"> </w:t>
      </w:r>
      <w:r w:rsidR="00F61B7B" w:rsidRPr="00150ABA">
        <w:rPr>
          <w:noProof/>
          <w:lang w:eastAsia="en-GB"/>
        </w:rPr>
        <w:t xml:space="preserve">collaboration platform users </w:t>
      </w:r>
      <w:r w:rsidR="00521C02" w:rsidRPr="00150ABA">
        <w:rPr>
          <w:noProof/>
          <w:lang w:eastAsia="en-GB"/>
        </w:rPr>
        <w:t xml:space="preserve">may be granted access to the </w:t>
      </w:r>
      <w:r w:rsidR="002A4E9C" w:rsidRPr="00150ABA">
        <w:rPr>
          <w:noProof/>
          <w:lang w:eastAsia="en-GB"/>
        </w:rPr>
        <w:t>JITs collaboration platform;</w:t>
      </w:r>
    </w:p>
    <w:p w14:paraId="4AF23356" w14:textId="71ED826B" w:rsidR="00521C02" w:rsidRPr="00150ABA" w:rsidRDefault="00D76D82" w:rsidP="00D76D82">
      <w:pPr>
        <w:pStyle w:val="Point0"/>
        <w:rPr>
          <w:noProof/>
          <w:lang w:eastAsia="en-GB"/>
        </w:rPr>
      </w:pPr>
      <w:r w:rsidRPr="00D76D82">
        <w:t>(d)</w:t>
      </w:r>
      <w:r w:rsidRPr="00D76D82">
        <w:tab/>
      </w:r>
      <w:r w:rsidR="00CA22C6" w:rsidRPr="00150ABA">
        <w:rPr>
          <w:noProof/>
          <w:lang w:eastAsia="en-GB"/>
        </w:rPr>
        <w:t xml:space="preserve">lays down </w:t>
      </w:r>
      <w:r w:rsidR="00521C02" w:rsidRPr="00150ABA">
        <w:rPr>
          <w:noProof/>
          <w:lang w:eastAsia="en-GB"/>
        </w:rPr>
        <w:t xml:space="preserve">specific data protection provisions needed to supplement the existing data protection arrangements and to provide for an adequate overall level of data protection, data security and protection of the fundamental </w:t>
      </w:r>
      <w:r w:rsidR="002A4E9C" w:rsidRPr="00150ABA">
        <w:rPr>
          <w:noProof/>
          <w:lang w:eastAsia="en-GB"/>
        </w:rPr>
        <w:t>rights of the persons concerned.</w:t>
      </w:r>
    </w:p>
    <w:p w14:paraId="78FE1A2C" w14:textId="77777777" w:rsidR="00521C02" w:rsidRPr="00150ABA" w:rsidRDefault="00521C02" w:rsidP="00FF717F">
      <w:pPr>
        <w:pStyle w:val="Titrearticle"/>
        <w:rPr>
          <w:noProof/>
          <w:lang w:eastAsia="en-GB"/>
        </w:rPr>
      </w:pPr>
      <w:r w:rsidRPr="00150ABA">
        <w:rPr>
          <w:noProof/>
          <w:lang w:eastAsia="en-GB"/>
        </w:rPr>
        <w:t>Article 2</w:t>
      </w:r>
    </w:p>
    <w:p w14:paraId="473EF0F0" w14:textId="77777777" w:rsidR="00521C02" w:rsidRPr="00150ABA" w:rsidRDefault="00521C02" w:rsidP="00521C02">
      <w:pPr>
        <w:shd w:val="clear" w:color="auto" w:fill="FFFFFF" w:themeFill="background1"/>
        <w:spacing w:before="60" w:line="312" w:lineRule="atLeast"/>
        <w:jc w:val="center"/>
        <w:rPr>
          <w:rFonts w:eastAsia="Times New Roman"/>
          <w:b/>
          <w:bCs/>
          <w:noProof/>
          <w:szCs w:val="24"/>
          <w:lang w:eastAsia="en-GB"/>
        </w:rPr>
      </w:pPr>
      <w:r w:rsidRPr="00150ABA">
        <w:rPr>
          <w:rFonts w:eastAsia="Times New Roman"/>
          <w:b/>
          <w:bCs/>
          <w:noProof/>
          <w:szCs w:val="24"/>
          <w:lang w:eastAsia="en-GB"/>
        </w:rPr>
        <w:t xml:space="preserve">Scope  </w:t>
      </w:r>
    </w:p>
    <w:p w14:paraId="0FD4FB39" w14:textId="2022CBB4" w:rsidR="00010EF6" w:rsidRPr="00150ABA" w:rsidRDefault="00D76D82" w:rsidP="00D76D82">
      <w:pPr>
        <w:pStyle w:val="ManualNumPar1"/>
        <w:rPr>
          <w:noProof/>
          <w:lang w:eastAsia="en-GB"/>
        </w:rPr>
      </w:pPr>
      <w:r w:rsidRPr="00D76D82">
        <w:t>1.</w:t>
      </w:r>
      <w:r w:rsidRPr="00D76D82">
        <w:tab/>
      </w:r>
      <w:r w:rsidR="00521C02" w:rsidRPr="00150ABA">
        <w:rPr>
          <w:noProof/>
          <w:lang w:eastAsia="en-GB"/>
        </w:rPr>
        <w:t xml:space="preserve">This Regulation applies to </w:t>
      </w:r>
      <w:r w:rsidR="001C5856" w:rsidRPr="00150ABA">
        <w:rPr>
          <w:noProof/>
          <w:lang w:eastAsia="en-GB"/>
        </w:rPr>
        <w:t xml:space="preserve">the </w:t>
      </w:r>
      <w:r w:rsidR="00521C02" w:rsidRPr="00150ABA">
        <w:rPr>
          <w:noProof/>
          <w:lang w:eastAsia="en-GB"/>
        </w:rPr>
        <w:t>processing of information, including personal data, within the context of a</w:t>
      </w:r>
      <w:r w:rsidR="00B66B33" w:rsidRPr="00150ABA">
        <w:rPr>
          <w:noProof/>
          <w:lang w:eastAsia="en-GB"/>
        </w:rPr>
        <w:t xml:space="preserve"> JIT</w:t>
      </w:r>
      <w:r w:rsidR="00521C02" w:rsidRPr="00150ABA">
        <w:rPr>
          <w:noProof/>
          <w:lang w:eastAsia="en-GB"/>
        </w:rPr>
        <w:t xml:space="preserve">. </w:t>
      </w:r>
      <w:r w:rsidR="00CC3969" w:rsidRPr="00150ABA">
        <w:rPr>
          <w:noProof/>
          <w:lang w:eastAsia="en-GB"/>
        </w:rPr>
        <w:t xml:space="preserve">That </w:t>
      </w:r>
      <w:r w:rsidR="00521C02" w:rsidRPr="00150ABA">
        <w:rPr>
          <w:noProof/>
          <w:lang w:eastAsia="en-GB"/>
        </w:rPr>
        <w:t>includes the exchange and storage of operational information and evidence as well as non-operational information.</w:t>
      </w:r>
      <w:r w:rsidR="00521C02" w:rsidRPr="00150ABA">
        <w:rPr>
          <w:noProof/>
        </w:rPr>
        <w:t xml:space="preserve"> </w:t>
      </w:r>
      <w:r w:rsidR="00521C02" w:rsidRPr="00150ABA">
        <w:rPr>
          <w:noProof/>
          <w:lang w:eastAsia="en-GB"/>
        </w:rPr>
        <w:t xml:space="preserve">This Regulation </w:t>
      </w:r>
      <w:r w:rsidR="00CC3969" w:rsidRPr="00150ABA">
        <w:rPr>
          <w:noProof/>
          <w:lang w:eastAsia="en-GB"/>
        </w:rPr>
        <w:t xml:space="preserve">applies to </w:t>
      </w:r>
      <w:r w:rsidR="00521C02" w:rsidRPr="00150ABA">
        <w:rPr>
          <w:noProof/>
          <w:lang w:eastAsia="en-GB"/>
        </w:rPr>
        <w:t>the</w:t>
      </w:r>
      <w:r w:rsidR="00B66B33" w:rsidRPr="00150ABA">
        <w:rPr>
          <w:noProof/>
          <w:lang w:eastAsia="en-GB"/>
        </w:rPr>
        <w:t xml:space="preserve"> operational and post-operational phases of a JIT</w:t>
      </w:r>
      <w:r w:rsidR="00521C02" w:rsidRPr="00150ABA">
        <w:rPr>
          <w:noProof/>
          <w:lang w:eastAsia="en-GB"/>
        </w:rPr>
        <w:t xml:space="preserve">, starting from the moment the relevant JIT agreement </w:t>
      </w:r>
      <w:r w:rsidR="00CC3969" w:rsidRPr="00150ABA">
        <w:rPr>
          <w:noProof/>
          <w:lang w:eastAsia="en-GB"/>
        </w:rPr>
        <w:t>is</w:t>
      </w:r>
      <w:r w:rsidR="00521C02" w:rsidRPr="00150ABA">
        <w:rPr>
          <w:noProof/>
          <w:lang w:eastAsia="en-GB"/>
        </w:rPr>
        <w:t xml:space="preserve"> signed by its members. </w:t>
      </w:r>
    </w:p>
    <w:p w14:paraId="25052DFD" w14:textId="0753424A" w:rsidR="00521C02" w:rsidRPr="00150ABA" w:rsidRDefault="00D76D82" w:rsidP="00D76D82">
      <w:pPr>
        <w:pStyle w:val="ManualNumPar1"/>
        <w:rPr>
          <w:noProof/>
          <w:lang w:eastAsia="en-GB"/>
        </w:rPr>
      </w:pPr>
      <w:r w:rsidRPr="00D76D82">
        <w:t>2.</w:t>
      </w:r>
      <w:r w:rsidRPr="00D76D82">
        <w:tab/>
      </w:r>
      <w:r w:rsidR="00521C02" w:rsidRPr="00150ABA">
        <w:rPr>
          <w:noProof/>
          <w:lang w:eastAsia="en-GB"/>
        </w:rPr>
        <w:t>This Regulation does not amend or otherwise affect the existing legal provisions on the establishment, conduct or evaluation of JITs.</w:t>
      </w:r>
    </w:p>
    <w:p w14:paraId="52C20CF0" w14:textId="77777777" w:rsidR="00521C02" w:rsidRPr="00150ABA" w:rsidRDefault="00521C02" w:rsidP="00FF717F">
      <w:pPr>
        <w:pStyle w:val="Titrearticle"/>
        <w:rPr>
          <w:noProof/>
          <w:lang w:eastAsia="en-GB"/>
        </w:rPr>
      </w:pPr>
      <w:r w:rsidRPr="00150ABA">
        <w:rPr>
          <w:noProof/>
          <w:lang w:eastAsia="en-GB"/>
        </w:rPr>
        <w:t>Article 3</w:t>
      </w:r>
    </w:p>
    <w:p w14:paraId="79773EB5" w14:textId="77777777" w:rsidR="00521C02" w:rsidRPr="00150ABA" w:rsidRDefault="00521C02" w:rsidP="00521C02">
      <w:pPr>
        <w:shd w:val="clear" w:color="auto" w:fill="FFFFFF" w:themeFill="background1"/>
        <w:spacing w:before="60" w:line="312" w:lineRule="atLeast"/>
        <w:jc w:val="center"/>
        <w:rPr>
          <w:rFonts w:eastAsia="Times New Roman"/>
          <w:b/>
          <w:bCs/>
          <w:noProof/>
          <w:szCs w:val="24"/>
          <w:lang w:eastAsia="en-GB"/>
        </w:rPr>
      </w:pPr>
      <w:r w:rsidRPr="00150ABA">
        <w:rPr>
          <w:rFonts w:eastAsia="Times New Roman"/>
          <w:b/>
          <w:bCs/>
          <w:noProof/>
          <w:szCs w:val="24"/>
          <w:lang w:eastAsia="en-GB"/>
        </w:rPr>
        <w:t xml:space="preserve">Definitions </w:t>
      </w:r>
    </w:p>
    <w:p w14:paraId="6EAD98B1" w14:textId="77777777" w:rsidR="00521C02" w:rsidRPr="00150ABA" w:rsidRDefault="00521C02" w:rsidP="00521C02">
      <w:pPr>
        <w:shd w:val="clear" w:color="auto" w:fill="FFFFFF" w:themeFill="background1"/>
        <w:spacing w:before="60" w:line="312" w:lineRule="atLeast"/>
        <w:rPr>
          <w:rFonts w:eastAsia="Times New Roman"/>
          <w:noProof/>
          <w:szCs w:val="24"/>
          <w:lang w:eastAsia="en-GB"/>
        </w:rPr>
      </w:pPr>
      <w:r w:rsidRPr="00150ABA">
        <w:rPr>
          <w:rFonts w:eastAsia="Times New Roman"/>
          <w:noProof/>
          <w:szCs w:val="24"/>
          <w:lang w:eastAsia="en-GB"/>
        </w:rPr>
        <w:t>For the purposes of this Regulation, the following definitions apply:</w:t>
      </w:r>
    </w:p>
    <w:p w14:paraId="14C7B0B8" w14:textId="18A83057" w:rsidR="00521C02" w:rsidRPr="00150ABA" w:rsidRDefault="00D76D82" w:rsidP="00D76D82">
      <w:pPr>
        <w:pStyle w:val="Point0"/>
        <w:rPr>
          <w:noProof/>
          <w:lang w:eastAsia="en-GB"/>
        </w:rPr>
      </w:pPr>
      <w:r w:rsidRPr="00D76D82">
        <w:t>(1)</w:t>
      </w:r>
      <w:r w:rsidRPr="00D76D82">
        <w:tab/>
      </w:r>
      <w:r w:rsidR="0047179C" w:rsidRPr="00150ABA">
        <w:rPr>
          <w:noProof/>
          <w:lang w:eastAsia="en-GB"/>
        </w:rPr>
        <w:t>‘</w:t>
      </w:r>
      <w:r w:rsidR="00521C02" w:rsidRPr="00150ABA">
        <w:rPr>
          <w:noProof/>
          <w:lang w:eastAsia="en-GB"/>
        </w:rPr>
        <w:t>centralised information system</w:t>
      </w:r>
      <w:r w:rsidR="0047179C" w:rsidRPr="00150ABA">
        <w:rPr>
          <w:noProof/>
          <w:lang w:eastAsia="en-GB"/>
        </w:rPr>
        <w:t>’</w:t>
      </w:r>
      <w:r w:rsidR="00B94F2D" w:rsidRPr="00150ABA">
        <w:rPr>
          <w:noProof/>
          <w:lang w:eastAsia="en-GB"/>
        </w:rPr>
        <w:t xml:space="preserve"> means</w:t>
      </w:r>
      <w:r w:rsidR="00D0296E" w:rsidRPr="00150ABA">
        <w:rPr>
          <w:noProof/>
        </w:rPr>
        <w:t xml:space="preserve"> </w:t>
      </w:r>
      <w:r w:rsidR="00D0296E" w:rsidRPr="00150ABA">
        <w:rPr>
          <w:noProof/>
          <w:lang w:eastAsia="en-GB"/>
        </w:rPr>
        <w:t>a c</w:t>
      </w:r>
      <w:r w:rsidR="00521C02" w:rsidRPr="00150ABA">
        <w:rPr>
          <w:noProof/>
          <w:lang w:eastAsia="en-GB"/>
        </w:rPr>
        <w:t>entral IT system where storing and processing of JITs related data takes place;</w:t>
      </w:r>
    </w:p>
    <w:p w14:paraId="4BD34468" w14:textId="5A2D587A" w:rsidR="00521C02" w:rsidRPr="00150ABA" w:rsidRDefault="00D76D82" w:rsidP="00D76D82">
      <w:pPr>
        <w:pStyle w:val="Point0"/>
        <w:rPr>
          <w:noProof/>
          <w:lang w:eastAsia="en-GB"/>
        </w:rPr>
      </w:pPr>
      <w:r w:rsidRPr="00D76D82">
        <w:t>(2)</w:t>
      </w:r>
      <w:r w:rsidRPr="00D76D82">
        <w:tab/>
      </w:r>
      <w:r w:rsidR="0047179C" w:rsidRPr="00150ABA">
        <w:rPr>
          <w:noProof/>
          <w:lang w:eastAsia="en-GB"/>
        </w:rPr>
        <w:t>‘</w:t>
      </w:r>
      <w:r w:rsidR="00521C02" w:rsidRPr="00150ABA">
        <w:rPr>
          <w:noProof/>
          <w:lang w:eastAsia="en-GB"/>
        </w:rPr>
        <w:t>communication software</w:t>
      </w:r>
      <w:r w:rsidR="0047179C" w:rsidRPr="00150ABA">
        <w:rPr>
          <w:noProof/>
          <w:lang w:eastAsia="en-GB"/>
        </w:rPr>
        <w:t>’</w:t>
      </w:r>
      <w:r w:rsidR="00B94F2D" w:rsidRPr="00150ABA">
        <w:rPr>
          <w:noProof/>
          <w:lang w:eastAsia="en-GB"/>
        </w:rPr>
        <w:t xml:space="preserve"> means</w:t>
      </w:r>
      <w:r w:rsidR="00521C02" w:rsidRPr="00150ABA">
        <w:rPr>
          <w:noProof/>
        </w:rPr>
        <w:t xml:space="preserve"> </w:t>
      </w:r>
      <w:r w:rsidR="00D0296E" w:rsidRPr="00150ABA">
        <w:rPr>
          <w:noProof/>
          <w:lang w:eastAsia="en-GB"/>
        </w:rPr>
        <w:t>so</w:t>
      </w:r>
      <w:r w:rsidR="00521C02" w:rsidRPr="00150ABA">
        <w:rPr>
          <w:noProof/>
          <w:lang w:eastAsia="en-GB"/>
        </w:rPr>
        <w:t xml:space="preserve">ftware that facilitates remote access to systems and </w:t>
      </w:r>
      <w:r w:rsidR="0047179C" w:rsidRPr="00150ABA">
        <w:rPr>
          <w:noProof/>
          <w:lang w:eastAsia="en-GB"/>
        </w:rPr>
        <w:t xml:space="preserve">the </w:t>
      </w:r>
      <w:r w:rsidR="00521C02" w:rsidRPr="00150ABA">
        <w:rPr>
          <w:noProof/>
          <w:lang w:eastAsia="en-GB"/>
        </w:rPr>
        <w:t xml:space="preserve">exchange </w:t>
      </w:r>
      <w:r w:rsidR="0047179C" w:rsidRPr="00150ABA">
        <w:rPr>
          <w:noProof/>
          <w:lang w:eastAsia="en-GB"/>
        </w:rPr>
        <w:t xml:space="preserve">of </w:t>
      </w:r>
      <w:r w:rsidR="00521C02" w:rsidRPr="00150ABA">
        <w:rPr>
          <w:noProof/>
          <w:lang w:eastAsia="en-GB"/>
        </w:rPr>
        <w:t xml:space="preserve">files and messages in text, audio or video formats between </w:t>
      </w:r>
      <w:r w:rsidR="00DA228C" w:rsidRPr="00150ABA">
        <w:rPr>
          <w:noProof/>
          <w:lang w:eastAsia="en-GB"/>
        </w:rPr>
        <w:t>JITs collaboration platform users</w:t>
      </w:r>
      <w:r w:rsidR="00521C02" w:rsidRPr="00150ABA">
        <w:rPr>
          <w:noProof/>
          <w:lang w:eastAsia="en-GB"/>
        </w:rPr>
        <w:t>;</w:t>
      </w:r>
    </w:p>
    <w:p w14:paraId="38ABFD53" w14:textId="78B53133" w:rsidR="00736DD4" w:rsidRPr="00150ABA" w:rsidRDefault="00D76D82" w:rsidP="00D76D82">
      <w:pPr>
        <w:pStyle w:val="Point0"/>
        <w:rPr>
          <w:noProof/>
          <w:lang w:eastAsia="en-GB"/>
        </w:rPr>
      </w:pPr>
      <w:r w:rsidRPr="00D76D82">
        <w:t>(3)</w:t>
      </w:r>
      <w:r w:rsidRPr="00D76D82">
        <w:tab/>
      </w:r>
      <w:r w:rsidR="009643BD" w:rsidRPr="00150ABA">
        <w:rPr>
          <w:noProof/>
          <w:lang w:eastAsia="en-GB"/>
        </w:rPr>
        <w:t>‘</w:t>
      </w:r>
      <w:r w:rsidR="00736DD4" w:rsidRPr="00150ABA">
        <w:rPr>
          <w:noProof/>
          <w:lang w:eastAsia="en-GB"/>
        </w:rPr>
        <w:t>competent authorities</w:t>
      </w:r>
      <w:r w:rsidR="009643BD" w:rsidRPr="00150ABA">
        <w:rPr>
          <w:noProof/>
          <w:lang w:eastAsia="en-GB"/>
        </w:rPr>
        <w:t>’</w:t>
      </w:r>
      <w:r w:rsidR="00736DD4" w:rsidRPr="00150ABA">
        <w:rPr>
          <w:noProof/>
          <w:lang w:eastAsia="en-GB"/>
        </w:rPr>
        <w:t xml:space="preserve"> means the authorities competent to set up a JIT as referred to in Article 1 of Framework Decision 2002/465/JHA and Article 13 of the Convention established by the Council in accordance with Article 34 of the Treaty on European Union on Mutual Assistance in Criminal Matters between the Member States of the European Union, the European Public Prosecutor’s Office when acting pursuant to its competences as provided for by Articles 22, 23 and 25 of Council Regulation (EU) 2017/1939, as well as the competent authorities of a third country where they are party of a JIT agreement on the basis of an additional legal basis;</w:t>
      </w:r>
    </w:p>
    <w:p w14:paraId="02F42127" w14:textId="13E9502B" w:rsidR="00521C02" w:rsidRPr="00150ABA" w:rsidRDefault="00D76D82" w:rsidP="00D76D82">
      <w:pPr>
        <w:pStyle w:val="Point0"/>
        <w:rPr>
          <w:noProof/>
          <w:lang w:eastAsia="en-GB"/>
        </w:rPr>
      </w:pPr>
      <w:r w:rsidRPr="00D76D82">
        <w:t>(4)</w:t>
      </w:r>
      <w:r w:rsidRPr="00D76D82">
        <w:tab/>
      </w:r>
      <w:r w:rsidR="0047179C" w:rsidRPr="00150ABA">
        <w:rPr>
          <w:noProof/>
          <w:lang w:eastAsia="en-GB"/>
        </w:rPr>
        <w:t>‘</w:t>
      </w:r>
      <w:r w:rsidR="00521C02" w:rsidRPr="00150ABA">
        <w:rPr>
          <w:noProof/>
          <w:lang w:eastAsia="en-GB"/>
        </w:rPr>
        <w:t>JIT members</w:t>
      </w:r>
      <w:r w:rsidR="0047179C" w:rsidRPr="00150ABA">
        <w:rPr>
          <w:noProof/>
          <w:lang w:eastAsia="en-GB"/>
        </w:rPr>
        <w:t>’</w:t>
      </w:r>
      <w:r w:rsidR="00B94F2D" w:rsidRPr="00150ABA">
        <w:rPr>
          <w:noProof/>
          <w:lang w:eastAsia="en-GB"/>
        </w:rPr>
        <w:t xml:space="preserve"> means</w:t>
      </w:r>
      <w:r w:rsidR="00521C02" w:rsidRPr="00150ABA">
        <w:rPr>
          <w:noProof/>
          <w:lang w:eastAsia="en-GB"/>
        </w:rPr>
        <w:t xml:space="preserve"> </w:t>
      </w:r>
      <w:r w:rsidR="00736DD4" w:rsidRPr="00150ABA">
        <w:rPr>
          <w:noProof/>
          <w:lang w:eastAsia="en-GB"/>
        </w:rPr>
        <w:t xml:space="preserve">representatives of the competent authorities referred to in </w:t>
      </w:r>
      <w:r w:rsidR="00591527" w:rsidRPr="00150ABA">
        <w:rPr>
          <w:noProof/>
          <w:lang w:eastAsia="en-GB"/>
        </w:rPr>
        <w:t>point</w:t>
      </w:r>
      <w:r w:rsidR="00736DD4" w:rsidRPr="00150ABA">
        <w:rPr>
          <w:noProof/>
          <w:lang w:eastAsia="en-GB"/>
        </w:rPr>
        <w:t xml:space="preserve"> 3 of this Article;</w:t>
      </w:r>
    </w:p>
    <w:p w14:paraId="6AA880B3" w14:textId="396C89A5" w:rsidR="00521C02" w:rsidRPr="00150ABA" w:rsidRDefault="00D76D82" w:rsidP="00D76D82">
      <w:pPr>
        <w:pStyle w:val="Point0"/>
        <w:rPr>
          <w:noProof/>
          <w:lang w:eastAsia="en-GB"/>
        </w:rPr>
      </w:pPr>
      <w:r w:rsidRPr="00D76D82">
        <w:t>(5)</w:t>
      </w:r>
      <w:r w:rsidRPr="00D76D82">
        <w:tab/>
      </w:r>
      <w:r w:rsidR="007F2EF5" w:rsidRPr="00150ABA">
        <w:rPr>
          <w:noProof/>
          <w:lang w:eastAsia="en-GB"/>
        </w:rPr>
        <w:t>‘</w:t>
      </w:r>
      <w:r w:rsidR="00521C02" w:rsidRPr="00150ABA">
        <w:rPr>
          <w:noProof/>
          <w:lang w:eastAsia="en-GB"/>
        </w:rPr>
        <w:t>JITs collaboration platform users</w:t>
      </w:r>
      <w:r w:rsidR="007F2EF5" w:rsidRPr="00150ABA">
        <w:rPr>
          <w:noProof/>
          <w:lang w:eastAsia="en-GB"/>
        </w:rPr>
        <w:t>’</w:t>
      </w:r>
      <w:r w:rsidR="00B94F2D" w:rsidRPr="00150ABA">
        <w:rPr>
          <w:noProof/>
          <w:lang w:eastAsia="en-GB"/>
        </w:rPr>
        <w:t xml:space="preserve"> means</w:t>
      </w:r>
      <w:r w:rsidR="00521C02" w:rsidRPr="00150ABA">
        <w:rPr>
          <w:noProof/>
          <w:lang w:eastAsia="en-GB"/>
        </w:rPr>
        <w:t xml:space="preserve"> JIT members,</w:t>
      </w:r>
      <w:r w:rsidR="0073437D" w:rsidRPr="00150ABA">
        <w:rPr>
          <w:noProof/>
          <w:lang w:eastAsia="en-GB"/>
        </w:rPr>
        <w:t xml:space="preserve"> </w:t>
      </w:r>
      <w:r w:rsidR="00FF3B47" w:rsidRPr="00150ABA">
        <w:rPr>
          <w:noProof/>
          <w:lang w:eastAsia="en-GB"/>
        </w:rPr>
        <w:t xml:space="preserve">Eurojust, </w:t>
      </w:r>
      <w:r w:rsidR="00521C02" w:rsidRPr="00150ABA">
        <w:rPr>
          <w:noProof/>
          <w:lang w:eastAsia="en-GB"/>
        </w:rPr>
        <w:t>Europol</w:t>
      </w:r>
      <w:r w:rsidR="00736DD4" w:rsidRPr="00150ABA">
        <w:rPr>
          <w:noProof/>
          <w:lang w:eastAsia="en-GB"/>
        </w:rPr>
        <w:t>,</w:t>
      </w:r>
      <w:r w:rsidR="00521C02" w:rsidRPr="00150ABA">
        <w:rPr>
          <w:noProof/>
          <w:lang w:eastAsia="en-GB"/>
        </w:rPr>
        <w:t xml:space="preserve"> OLAF</w:t>
      </w:r>
      <w:r w:rsidR="00736DD4" w:rsidRPr="00150ABA">
        <w:rPr>
          <w:noProof/>
          <w:lang w:eastAsia="en-GB"/>
        </w:rPr>
        <w:t xml:space="preserve"> and </w:t>
      </w:r>
      <w:r w:rsidR="00736DD4" w:rsidRPr="00150ABA">
        <w:rPr>
          <w:noProof/>
        </w:rPr>
        <w:t>other competent Union bodies, offices and agencies</w:t>
      </w:r>
      <w:r w:rsidR="00521C02" w:rsidRPr="00150ABA">
        <w:rPr>
          <w:noProof/>
          <w:lang w:eastAsia="en-GB"/>
        </w:rPr>
        <w:t>;</w:t>
      </w:r>
    </w:p>
    <w:p w14:paraId="5D5E4153" w14:textId="276A708D" w:rsidR="00521C02" w:rsidRPr="00150ABA" w:rsidRDefault="00D76D82" w:rsidP="00D76D82">
      <w:pPr>
        <w:pStyle w:val="Point0"/>
        <w:rPr>
          <w:noProof/>
          <w:lang w:eastAsia="en-GB"/>
        </w:rPr>
      </w:pPr>
      <w:r w:rsidRPr="00D76D82">
        <w:t>(6)</w:t>
      </w:r>
      <w:r w:rsidRPr="00D76D82">
        <w:tab/>
      </w:r>
      <w:r w:rsidR="007F2EF5" w:rsidRPr="00150ABA">
        <w:rPr>
          <w:noProof/>
          <w:lang w:eastAsia="en-GB"/>
        </w:rPr>
        <w:t>‘</w:t>
      </w:r>
      <w:r w:rsidR="00521C02" w:rsidRPr="00150ABA">
        <w:rPr>
          <w:noProof/>
          <w:lang w:eastAsia="en-GB"/>
        </w:rPr>
        <w:t>JIT collaboration space</w:t>
      </w:r>
      <w:r w:rsidR="007F2EF5" w:rsidRPr="00150ABA">
        <w:rPr>
          <w:noProof/>
          <w:lang w:eastAsia="en-GB"/>
        </w:rPr>
        <w:t>’</w:t>
      </w:r>
      <w:r w:rsidR="00B94F2D" w:rsidRPr="00150ABA">
        <w:rPr>
          <w:noProof/>
          <w:lang w:eastAsia="en-GB"/>
        </w:rPr>
        <w:t xml:space="preserve"> means</w:t>
      </w:r>
      <w:r w:rsidR="00521C02" w:rsidRPr="00150ABA">
        <w:rPr>
          <w:noProof/>
          <w:lang w:eastAsia="en-GB"/>
        </w:rPr>
        <w:t xml:space="preserve"> an individual isolated space for each JIT hosted on the JITs collaboration platform;</w:t>
      </w:r>
    </w:p>
    <w:p w14:paraId="03FCE605" w14:textId="4E6C2F96" w:rsidR="007500D8" w:rsidRPr="00150ABA" w:rsidRDefault="00D76D82" w:rsidP="00D76D82">
      <w:pPr>
        <w:pStyle w:val="Point0"/>
        <w:rPr>
          <w:noProof/>
          <w:lang w:eastAsia="en-GB"/>
        </w:rPr>
      </w:pPr>
      <w:r w:rsidRPr="00D76D82">
        <w:t>(7)</w:t>
      </w:r>
      <w:r w:rsidRPr="00D76D82">
        <w:tab/>
      </w:r>
      <w:r w:rsidR="007F2EF5" w:rsidRPr="00150ABA">
        <w:rPr>
          <w:noProof/>
          <w:lang w:eastAsia="en-GB"/>
        </w:rPr>
        <w:t>‘</w:t>
      </w:r>
      <w:r w:rsidR="007500D8" w:rsidRPr="00150ABA">
        <w:rPr>
          <w:noProof/>
          <w:lang w:eastAsia="en-GB"/>
        </w:rPr>
        <w:t>JIT space administrator”</w:t>
      </w:r>
      <w:r w:rsidR="00B94F2D" w:rsidRPr="00150ABA">
        <w:rPr>
          <w:noProof/>
          <w:lang w:eastAsia="en-GB"/>
        </w:rPr>
        <w:t xml:space="preserve"> means</w:t>
      </w:r>
      <w:r w:rsidR="007500D8" w:rsidRPr="00150ABA">
        <w:rPr>
          <w:noProof/>
          <w:lang w:eastAsia="en-GB"/>
        </w:rPr>
        <w:t xml:space="preserve"> </w:t>
      </w:r>
      <w:r w:rsidR="007F2EF5" w:rsidRPr="00150ABA">
        <w:rPr>
          <w:noProof/>
          <w:lang w:eastAsia="en-GB"/>
        </w:rPr>
        <w:t xml:space="preserve">a </w:t>
      </w:r>
      <w:r w:rsidR="007500D8" w:rsidRPr="00150ABA">
        <w:rPr>
          <w:noProof/>
          <w:lang w:eastAsia="en-GB"/>
        </w:rPr>
        <w:t>representative of the competent authorit</w:t>
      </w:r>
      <w:r w:rsidR="0073437D" w:rsidRPr="00150ABA">
        <w:rPr>
          <w:noProof/>
          <w:lang w:eastAsia="en-GB"/>
        </w:rPr>
        <w:t>ies</w:t>
      </w:r>
      <w:r w:rsidR="007500D8" w:rsidRPr="00150ABA">
        <w:rPr>
          <w:noProof/>
          <w:lang w:eastAsia="en-GB"/>
        </w:rPr>
        <w:t xml:space="preserve"> </w:t>
      </w:r>
      <w:r w:rsidR="00A12D6F" w:rsidRPr="00150ABA">
        <w:rPr>
          <w:noProof/>
          <w:lang w:eastAsia="en-GB"/>
        </w:rPr>
        <w:t xml:space="preserve">of </w:t>
      </w:r>
      <w:r w:rsidR="0073437D" w:rsidRPr="00150ABA">
        <w:rPr>
          <w:noProof/>
          <w:lang w:eastAsia="en-GB"/>
        </w:rPr>
        <w:t xml:space="preserve">the </w:t>
      </w:r>
      <w:r w:rsidR="00A12D6F" w:rsidRPr="00150ABA">
        <w:rPr>
          <w:noProof/>
          <w:lang w:eastAsia="en-GB"/>
        </w:rPr>
        <w:t>Member State in charge of the JIT collaboration space;</w:t>
      </w:r>
    </w:p>
    <w:p w14:paraId="181111A1" w14:textId="1F244B5F" w:rsidR="00FB1F4F" w:rsidRPr="00150ABA" w:rsidRDefault="00D76D82" w:rsidP="00D76D82">
      <w:pPr>
        <w:pStyle w:val="Point0"/>
        <w:rPr>
          <w:noProof/>
          <w:lang w:eastAsia="en-GB"/>
        </w:rPr>
      </w:pPr>
      <w:r w:rsidRPr="00D76D82">
        <w:t>(8)</w:t>
      </w:r>
      <w:r w:rsidRPr="00D76D82">
        <w:tab/>
      </w:r>
      <w:r w:rsidR="007F2EF5" w:rsidRPr="00150ABA">
        <w:rPr>
          <w:noProof/>
          <w:lang w:eastAsia="en-GB"/>
        </w:rPr>
        <w:t>‘</w:t>
      </w:r>
      <w:r w:rsidR="00521C02" w:rsidRPr="00150ABA">
        <w:rPr>
          <w:noProof/>
          <w:lang w:eastAsia="en-GB"/>
        </w:rPr>
        <w:t>operational data</w:t>
      </w:r>
      <w:r w:rsidR="007F2EF5" w:rsidRPr="00150ABA">
        <w:rPr>
          <w:noProof/>
          <w:lang w:eastAsia="en-GB"/>
        </w:rPr>
        <w:t>’</w:t>
      </w:r>
      <w:r w:rsidR="00B94F2D" w:rsidRPr="00150ABA">
        <w:rPr>
          <w:noProof/>
          <w:lang w:eastAsia="en-GB"/>
        </w:rPr>
        <w:t xml:space="preserve"> means</w:t>
      </w:r>
      <w:r w:rsidR="00521C02" w:rsidRPr="00150ABA">
        <w:rPr>
          <w:noProof/>
          <w:lang w:eastAsia="en-GB"/>
        </w:rPr>
        <w:t xml:space="preserve"> information and evidence processed by the JITs collaboration platform </w:t>
      </w:r>
      <w:r w:rsidR="00DA228C" w:rsidRPr="00150ABA">
        <w:rPr>
          <w:noProof/>
          <w:lang w:eastAsia="en-GB"/>
        </w:rPr>
        <w:t xml:space="preserve">during the operational phase of a JIT </w:t>
      </w:r>
      <w:r w:rsidR="00521C02" w:rsidRPr="00150ABA">
        <w:rPr>
          <w:noProof/>
          <w:lang w:eastAsia="en-GB"/>
        </w:rPr>
        <w:t>to support cross-border investigations and prosecutions;</w:t>
      </w:r>
    </w:p>
    <w:p w14:paraId="61DE0FB9" w14:textId="7FEF6C8D" w:rsidR="00521C02" w:rsidRPr="00150ABA" w:rsidRDefault="00D76D82" w:rsidP="00D76D82">
      <w:pPr>
        <w:pStyle w:val="Point0"/>
        <w:rPr>
          <w:noProof/>
          <w:lang w:eastAsia="en-GB"/>
        </w:rPr>
      </w:pPr>
      <w:r w:rsidRPr="00D76D82">
        <w:t>(9)</w:t>
      </w:r>
      <w:r w:rsidRPr="00D76D82">
        <w:tab/>
      </w:r>
      <w:r w:rsidR="007F2EF5" w:rsidRPr="00150ABA">
        <w:rPr>
          <w:noProof/>
          <w:lang w:eastAsia="en-GB"/>
        </w:rPr>
        <w:t>‘</w:t>
      </w:r>
      <w:r w:rsidR="00521C02" w:rsidRPr="00150ABA">
        <w:rPr>
          <w:noProof/>
          <w:lang w:eastAsia="en-GB"/>
        </w:rPr>
        <w:t>non-operational data</w:t>
      </w:r>
      <w:r w:rsidR="007F2EF5" w:rsidRPr="00150ABA">
        <w:rPr>
          <w:noProof/>
          <w:lang w:eastAsia="en-GB"/>
        </w:rPr>
        <w:t>’</w:t>
      </w:r>
      <w:r w:rsidR="00B94F2D" w:rsidRPr="00150ABA">
        <w:rPr>
          <w:noProof/>
          <w:lang w:eastAsia="en-GB"/>
        </w:rPr>
        <w:t xml:space="preserve"> means</w:t>
      </w:r>
      <w:r w:rsidR="00521C02" w:rsidRPr="00150ABA">
        <w:rPr>
          <w:noProof/>
          <w:lang w:eastAsia="en-GB"/>
        </w:rPr>
        <w:t xml:space="preserve"> administrative data processed by the JITs collaboration platform, notably to facilitate the management of the JIT and daily cooperation between JITs</w:t>
      </w:r>
      <w:r w:rsidR="005B6A42" w:rsidRPr="00150ABA">
        <w:rPr>
          <w:noProof/>
          <w:lang w:eastAsia="en-GB"/>
        </w:rPr>
        <w:t xml:space="preserve"> collaboration platform users</w:t>
      </w:r>
      <w:r w:rsidR="00521C02" w:rsidRPr="00150ABA">
        <w:rPr>
          <w:noProof/>
          <w:lang w:eastAsia="en-GB"/>
        </w:rPr>
        <w:t>.</w:t>
      </w:r>
    </w:p>
    <w:p w14:paraId="7B522644" w14:textId="77777777" w:rsidR="00521C02" w:rsidRPr="00150ABA" w:rsidRDefault="00521C02" w:rsidP="00FF717F">
      <w:pPr>
        <w:pStyle w:val="Titrearticle"/>
        <w:rPr>
          <w:noProof/>
          <w:lang w:eastAsia="en-GB"/>
        </w:rPr>
      </w:pPr>
      <w:r w:rsidRPr="00150ABA">
        <w:rPr>
          <w:noProof/>
          <w:lang w:eastAsia="en-GB"/>
        </w:rPr>
        <w:t>Article 4</w:t>
      </w:r>
    </w:p>
    <w:p w14:paraId="1992F05F" w14:textId="77777777" w:rsidR="00521C02" w:rsidRPr="00150ABA" w:rsidRDefault="00521C02" w:rsidP="00521C02">
      <w:pPr>
        <w:shd w:val="clear" w:color="auto" w:fill="FFFFFF" w:themeFill="background1"/>
        <w:spacing w:before="60" w:line="312" w:lineRule="atLeast"/>
        <w:jc w:val="center"/>
        <w:rPr>
          <w:rFonts w:eastAsia="Times New Roman"/>
          <w:b/>
          <w:bCs/>
          <w:noProof/>
          <w:szCs w:val="24"/>
          <w:lang w:eastAsia="en-GB"/>
        </w:rPr>
      </w:pPr>
      <w:r w:rsidRPr="00150ABA">
        <w:rPr>
          <w:rFonts w:eastAsia="Times New Roman"/>
          <w:b/>
          <w:bCs/>
          <w:noProof/>
          <w:szCs w:val="24"/>
          <w:lang w:eastAsia="en-GB"/>
        </w:rPr>
        <w:t xml:space="preserve">Technical architecture of the JITs collaboration platform </w:t>
      </w:r>
    </w:p>
    <w:p w14:paraId="351C351E" w14:textId="77777777" w:rsidR="00521C02" w:rsidRPr="00150ABA" w:rsidRDefault="00521C02" w:rsidP="00521C02">
      <w:pPr>
        <w:shd w:val="clear" w:color="auto" w:fill="FFFFFF" w:themeFill="background1"/>
        <w:spacing w:before="60" w:line="312" w:lineRule="atLeast"/>
        <w:rPr>
          <w:rFonts w:eastAsia="Times New Roman"/>
          <w:noProof/>
          <w:szCs w:val="24"/>
          <w:lang w:eastAsia="en-GB"/>
        </w:rPr>
      </w:pPr>
      <w:r w:rsidRPr="00150ABA">
        <w:rPr>
          <w:rFonts w:eastAsia="Times New Roman"/>
          <w:noProof/>
          <w:szCs w:val="24"/>
          <w:lang w:eastAsia="en-GB"/>
        </w:rPr>
        <w:t xml:space="preserve">The JITs collaboration platform </w:t>
      </w:r>
      <w:r w:rsidR="00BE600C" w:rsidRPr="00150ABA">
        <w:rPr>
          <w:rFonts w:eastAsia="Times New Roman"/>
          <w:noProof/>
          <w:szCs w:val="24"/>
          <w:lang w:eastAsia="en-GB"/>
        </w:rPr>
        <w:t xml:space="preserve">shall be </w:t>
      </w:r>
      <w:r w:rsidRPr="00150ABA">
        <w:rPr>
          <w:rFonts w:eastAsia="Times New Roman"/>
          <w:noProof/>
          <w:szCs w:val="24"/>
          <w:lang w:eastAsia="en-GB"/>
        </w:rPr>
        <w:t>composed of</w:t>
      </w:r>
      <w:r w:rsidR="00B94F2D" w:rsidRPr="00150ABA">
        <w:rPr>
          <w:rFonts w:eastAsia="Times New Roman"/>
          <w:noProof/>
          <w:szCs w:val="24"/>
          <w:lang w:eastAsia="en-GB"/>
        </w:rPr>
        <w:t xml:space="preserve"> the following</w:t>
      </w:r>
      <w:r w:rsidRPr="00150ABA">
        <w:rPr>
          <w:rFonts w:eastAsia="Times New Roman"/>
          <w:noProof/>
          <w:szCs w:val="24"/>
          <w:lang w:eastAsia="en-GB"/>
        </w:rPr>
        <w:t xml:space="preserve">: </w:t>
      </w:r>
    </w:p>
    <w:p w14:paraId="162E9A1D" w14:textId="4BB528EA" w:rsidR="00243EE0" w:rsidRPr="00150ABA" w:rsidRDefault="00D76D82" w:rsidP="00D76D82">
      <w:pPr>
        <w:pStyle w:val="Point0"/>
        <w:rPr>
          <w:noProof/>
          <w:lang w:eastAsia="en-GB"/>
        </w:rPr>
      </w:pPr>
      <w:r w:rsidRPr="00D76D82">
        <w:t>(a)</w:t>
      </w:r>
      <w:r w:rsidRPr="00D76D82">
        <w:tab/>
      </w:r>
      <w:r w:rsidR="00521C02" w:rsidRPr="00150ABA">
        <w:rPr>
          <w:noProof/>
          <w:lang w:eastAsia="en-GB"/>
        </w:rPr>
        <w:t>a centralised inform</w:t>
      </w:r>
      <w:r w:rsidR="001C5856" w:rsidRPr="00150ABA">
        <w:rPr>
          <w:noProof/>
          <w:lang w:eastAsia="en-GB"/>
        </w:rPr>
        <w:t>ation system, which allows for</w:t>
      </w:r>
      <w:r w:rsidR="00521C02" w:rsidRPr="00150ABA">
        <w:rPr>
          <w:noProof/>
          <w:lang w:eastAsia="en-GB"/>
        </w:rPr>
        <w:t xml:space="preserve"> temporary central data storage; </w:t>
      </w:r>
    </w:p>
    <w:p w14:paraId="14DB18B0" w14:textId="75229B85" w:rsidR="004A5FE2" w:rsidRPr="00150ABA" w:rsidRDefault="00D76D82" w:rsidP="00D76D82">
      <w:pPr>
        <w:pStyle w:val="Point0"/>
        <w:rPr>
          <w:noProof/>
          <w:lang w:eastAsia="en-GB"/>
        </w:rPr>
      </w:pPr>
      <w:r w:rsidRPr="00D76D82">
        <w:t>(b)</w:t>
      </w:r>
      <w:r w:rsidRPr="00D76D82">
        <w:tab/>
      </w:r>
      <w:r w:rsidR="00521C02" w:rsidRPr="00150ABA">
        <w:rPr>
          <w:noProof/>
          <w:lang w:eastAsia="en-GB"/>
        </w:rPr>
        <w:t>a communication software, which allows for local storage of communication data;</w:t>
      </w:r>
    </w:p>
    <w:p w14:paraId="344EDCB9" w14:textId="29A33485" w:rsidR="00521C02" w:rsidRPr="00150ABA" w:rsidRDefault="00D76D82" w:rsidP="00D76D82">
      <w:pPr>
        <w:pStyle w:val="Point0"/>
        <w:rPr>
          <w:noProof/>
          <w:lang w:eastAsia="en-GB"/>
        </w:rPr>
      </w:pPr>
      <w:r w:rsidRPr="00D76D82">
        <w:t>(c)</w:t>
      </w:r>
      <w:r w:rsidRPr="00D76D82">
        <w:tab/>
      </w:r>
      <w:r w:rsidR="00521C02" w:rsidRPr="00150ABA">
        <w:rPr>
          <w:noProof/>
          <w:lang w:eastAsia="en-GB"/>
        </w:rPr>
        <w:t xml:space="preserve">a connection between the centralised information system and relevant IT tools, supporting </w:t>
      </w:r>
      <w:r w:rsidR="00247059" w:rsidRPr="00150ABA">
        <w:rPr>
          <w:noProof/>
          <w:lang w:eastAsia="en-GB"/>
        </w:rPr>
        <w:t xml:space="preserve">the </w:t>
      </w:r>
      <w:r w:rsidR="00521C02" w:rsidRPr="00150ABA">
        <w:rPr>
          <w:noProof/>
          <w:lang w:eastAsia="en-GB"/>
        </w:rPr>
        <w:t>functioning of JITs</w:t>
      </w:r>
      <w:r w:rsidR="00247059" w:rsidRPr="00150ABA">
        <w:rPr>
          <w:noProof/>
          <w:lang w:eastAsia="en-GB"/>
        </w:rPr>
        <w:t xml:space="preserve"> and</w:t>
      </w:r>
      <w:r w:rsidR="00521C02" w:rsidRPr="00150ABA">
        <w:rPr>
          <w:noProof/>
          <w:lang w:eastAsia="en-GB"/>
        </w:rPr>
        <w:t xml:space="preserve"> </w:t>
      </w:r>
      <w:r w:rsidR="0018580B" w:rsidRPr="00150ABA">
        <w:rPr>
          <w:noProof/>
          <w:lang w:eastAsia="en-GB"/>
        </w:rPr>
        <w:t>managed by the JIT Secretariat</w:t>
      </w:r>
      <w:r w:rsidR="00247059" w:rsidRPr="00150ABA">
        <w:rPr>
          <w:noProof/>
          <w:lang w:eastAsia="en-GB"/>
        </w:rPr>
        <w:t>.</w:t>
      </w:r>
    </w:p>
    <w:p w14:paraId="5076754E" w14:textId="77777777" w:rsidR="00521C02" w:rsidRPr="00150ABA" w:rsidRDefault="00521C02" w:rsidP="00FF717F">
      <w:pPr>
        <w:rPr>
          <w:noProof/>
          <w:lang w:eastAsia="en-GB"/>
        </w:rPr>
      </w:pPr>
    </w:p>
    <w:p w14:paraId="6B7F11D7" w14:textId="77777777" w:rsidR="00521C02" w:rsidRPr="00150ABA" w:rsidRDefault="00521C02" w:rsidP="00521C02">
      <w:pPr>
        <w:shd w:val="clear" w:color="auto" w:fill="FFFFFF" w:themeFill="background1"/>
        <w:spacing w:before="60" w:line="312" w:lineRule="atLeast"/>
        <w:jc w:val="center"/>
        <w:rPr>
          <w:rFonts w:eastAsia="Times New Roman"/>
          <w:i/>
          <w:noProof/>
          <w:szCs w:val="24"/>
          <w:lang w:eastAsia="en-GB"/>
        </w:rPr>
      </w:pPr>
      <w:r w:rsidRPr="00150ABA">
        <w:rPr>
          <w:rFonts w:eastAsia="Times New Roman"/>
          <w:i/>
          <w:noProof/>
          <w:szCs w:val="24"/>
          <w:lang w:eastAsia="en-GB"/>
        </w:rPr>
        <w:t>Article 5</w:t>
      </w:r>
    </w:p>
    <w:p w14:paraId="04DC6383" w14:textId="77777777" w:rsidR="00521C02" w:rsidRPr="00150ABA" w:rsidRDefault="00521C02" w:rsidP="00521C02">
      <w:pPr>
        <w:shd w:val="clear" w:color="auto" w:fill="FFFFFF" w:themeFill="background1"/>
        <w:spacing w:before="60" w:line="312" w:lineRule="atLeast"/>
        <w:jc w:val="center"/>
        <w:rPr>
          <w:rFonts w:eastAsia="Times New Roman"/>
          <w:b/>
          <w:noProof/>
          <w:szCs w:val="24"/>
          <w:lang w:eastAsia="en-GB"/>
        </w:rPr>
      </w:pPr>
      <w:r w:rsidRPr="00150ABA">
        <w:rPr>
          <w:rFonts w:eastAsia="Times New Roman"/>
          <w:b/>
          <w:noProof/>
          <w:szCs w:val="24"/>
          <w:lang w:eastAsia="en-GB"/>
        </w:rPr>
        <w:t>Purpose of the JITs collaboration platform</w:t>
      </w:r>
    </w:p>
    <w:p w14:paraId="15E25C8D" w14:textId="5997A509" w:rsidR="00521C02" w:rsidRPr="00150ABA" w:rsidRDefault="00D76D82" w:rsidP="00D76D82">
      <w:pPr>
        <w:pStyle w:val="ManualNumPar1"/>
        <w:rPr>
          <w:noProof/>
          <w:lang w:eastAsia="en-GB"/>
        </w:rPr>
      </w:pPr>
      <w:r w:rsidRPr="00D76D82">
        <w:t>1.</w:t>
      </w:r>
      <w:r w:rsidRPr="00D76D82">
        <w:tab/>
      </w:r>
      <w:r w:rsidR="00521C02" w:rsidRPr="00150ABA">
        <w:rPr>
          <w:noProof/>
          <w:lang w:eastAsia="en-GB"/>
        </w:rPr>
        <w:t>The purpose of the JITs collaboration platform shall be to facilitate:</w:t>
      </w:r>
    </w:p>
    <w:p w14:paraId="28055D66" w14:textId="06ED530C" w:rsidR="00521C02" w:rsidRPr="00150ABA" w:rsidRDefault="00D76D82" w:rsidP="00D76D82">
      <w:pPr>
        <w:pStyle w:val="Point0"/>
        <w:rPr>
          <w:noProof/>
          <w:lang w:eastAsia="en-GB"/>
        </w:rPr>
      </w:pPr>
      <w:r w:rsidRPr="00D76D82">
        <w:t>(a)</w:t>
      </w:r>
      <w:r w:rsidRPr="00D76D82">
        <w:tab/>
      </w:r>
      <w:r w:rsidR="00521C02" w:rsidRPr="00150ABA">
        <w:rPr>
          <w:noProof/>
          <w:lang w:eastAsia="en-GB"/>
        </w:rPr>
        <w:t>the daily coordination and management of a JIT</w:t>
      </w:r>
      <w:r w:rsidR="007F2EF5" w:rsidRPr="00150ABA">
        <w:rPr>
          <w:noProof/>
          <w:lang w:eastAsia="en-GB"/>
        </w:rPr>
        <w:t>,</w:t>
      </w:r>
      <w:r w:rsidR="00DA228C" w:rsidRPr="00150ABA">
        <w:rPr>
          <w:noProof/>
          <w:lang w:eastAsia="en-GB"/>
        </w:rPr>
        <w:t xml:space="preserve"> through a set of functionalities supporting the administrative and financial process</w:t>
      </w:r>
      <w:r w:rsidR="001C5856" w:rsidRPr="00150ABA">
        <w:rPr>
          <w:noProof/>
          <w:lang w:eastAsia="en-GB"/>
        </w:rPr>
        <w:t>es</w:t>
      </w:r>
      <w:r w:rsidR="00DA228C" w:rsidRPr="00150ABA">
        <w:rPr>
          <w:noProof/>
          <w:lang w:eastAsia="en-GB"/>
        </w:rPr>
        <w:t xml:space="preserve"> within the JIT</w:t>
      </w:r>
      <w:r w:rsidR="00521C02" w:rsidRPr="00150ABA">
        <w:rPr>
          <w:noProof/>
          <w:lang w:eastAsia="en-GB"/>
        </w:rPr>
        <w:t xml:space="preserve">; </w:t>
      </w:r>
    </w:p>
    <w:p w14:paraId="70DCD32A" w14:textId="72ECF12D" w:rsidR="00521C02" w:rsidRPr="00150ABA" w:rsidRDefault="00D76D82" w:rsidP="00D76D82">
      <w:pPr>
        <w:pStyle w:val="Point0"/>
        <w:rPr>
          <w:noProof/>
          <w:lang w:eastAsia="en-GB"/>
        </w:rPr>
      </w:pPr>
      <w:r w:rsidRPr="00D76D82">
        <w:t>(b)</w:t>
      </w:r>
      <w:r w:rsidRPr="00D76D82">
        <w:tab/>
      </w:r>
      <w:r w:rsidR="00521C02" w:rsidRPr="00150ABA">
        <w:rPr>
          <w:noProof/>
          <w:lang w:eastAsia="en-GB"/>
        </w:rPr>
        <w:t xml:space="preserve">the exchange and </w:t>
      </w:r>
      <w:r w:rsidR="00B66B33" w:rsidRPr="00150ABA">
        <w:rPr>
          <w:noProof/>
          <w:lang w:eastAsia="en-GB"/>
        </w:rPr>
        <w:t xml:space="preserve">temporary storage </w:t>
      </w:r>
      <w:r w:rsidR="00521C02" w:rsidRPr="00150ABA">
        <w:rPr>
          <w:noProof/>
          <w:lang w:eastAsia="en-GB"/>
        </w:rPr>
        <w:t>of operational information and evidence</w:t>
      </w:r>
      <w:r w:rsidR="00DA228C" w:rsidRPr="00150ABA">
        <w:rPr>
          <w:noProof/>
          <w:lang w:eastAsia="en-GB"/>
        </w:rPr>
        <w:t>, including large files, through an upload</w:t>
      </w:r>
      <w:r w:rsidR="007F2EF5" w:rsidRPr="00150ABA">
        <w:rPr>
          <w:noProof/>
          <w:lang w:eastAsia="en-GB"/>
        </w:rPr>
        <w:t xml:space="preserve"> and </w:t>
      </w:r>
      <w:r w:rsidR="00DA228C" w:rsidRPr="00150ABA">
        <w:rPr>
          <w:noProof/>
          <w:lang w:eastAsia="en-GB"/>
        </w:rPr>
        <w:t>download functionality</w:t>
      </w:r>
      <w:r w:rsidR="00521C02" w:rsidRPr="00150ABA">
        <w:rPr>
          <w:noProof/>
          <w:lang w:eastAsia="en-GB"/>
        </w:rPr>
        <w:t>;</w:t>
      </w:r>
    </w:p>
    <w:p w14:paraId="629DEC8A" w14:textId="7B51245D" w:rsidR="00521C02" w:rsidRPr="00150ABA" w:rsidRDefault="00D76D82" w:rsidP="00D76D82">
      <w:pPr>
        <w:pStyle w:val="Point0"/>
        <w:rPr>
          <w:noProof/>
          <w:lang w:eastAsia="en-GB"/>
        </w:rPr>
      </w:pPr>
      <w:r w:rsidRPr="00D76D82">
        <w:t>(c)</w:t>
      </w:r>
      <w:r w:rsidRPr="00D76D82">
        <w:tab/>
      </w:r>
      <w:r w:rsidR="00521C02" w:rsidRPr="00150ABA">
        <w:rPr>
          <w:noProof/>
          <w:lang w:eastAsia="en-GB"/>
        </w:rPr>
        <w:t>secure communications</w:t>
      </w:r>
      <w:r w:rsidR="00DA228C" w:rsidRPr="00150ABA">
        <w:rPr>
          <w:noProof/>
          <w:lang w:eastAsia="en-GB"/>
        </w:rPr>
        <w:t xml:space="preserve"> through a functionality covering instant messaging, chats, audio</w:t>
      </w:r>
      <w:r w:rsidR="007F2EF5" w:rsidRPr="00150ABA">
        <w:rPr>
          <w:noProof/>
          <w:lang w:eastAsia="en-GB"/>
        </w:rPr>
        <w:t xml:space="preserve"> and </w:t>
      </w:r>
      <w:r w:rsidR="00DA228C" w:rsidRPr="00150ABA">
        <w:rPr>
          <w:noProof/>
          <w:lang w:eastAsia="en-GB"/>
        </w:rPr>
        <w:t>video-conferencing</w:t>
      </w:r>
      <w:r w:rsidR="00521C02" w:rsidRPr="00150ABA">
        <w:rPr>
          <w:noProof/>
          <w:lang w:eastAsia="en-GB"/>
        </w:rPr>
        <w:t>;</w:t>
      </w:r>
    </w:p>
    <w:p w14:paraId="5F8854C1" w14:textId="5A1539A4" w:rsidR="00521C02" w:rsidRPr="00150ABA" w:rsidRDefault="00D76D82" w:rsidP="00D76D82">
      <w:pPr>
        <w:pStyle w:val="Point0"/>
        <w:rPr>
          <w:noProof/>
          <w:lang w:eastAsia="en-GB"/>
        </w:rPr>
      </w:pPr>
      <w:r w:rsidRPr="00D76D82">
        <w:t>(d)</w:t>
      </w:r>
      <w:r w:rsidRPr="00D76D82">
        <w:tab/>
      </w:r>
      <w:r w:rsidR="00B66B33" w:rsidRPr="00150ABA">
        <w:rPr>
          <w:noProof/>
          <w:lang w:eastAsia="en-GB"/>
        </w:rPr>
        <w:t xml:space="preserve">evidence traceability </w:t>
      </w:r>
      <w:r w:rsidR="00DA228C" w:rsidRPr="00150ABA">
        <w:rPr>
          <w:noProof/>
          <w:lang w:eastAsia="en-GB"/>
        </w:rPr>
        <w:t>through a business logging mechanism allowing to keep track of all evidence exchanged through the JITs collaboration platform</w:t>
      </w:r>
      <w:r w:rsidR="00521C02" w:rsidRPr="00150ABA">
        <w:rPr>
          <w:noProof/>
          <w:lang w:eastAsia="en-GB"/>
        </w:rPr>
        <w:t>;</w:t>
      </w:r>
    </w:p>
    <w:p w14:paraId="0C285C2A" w14:textId="4302B637" w:rsidR="00521C02" w:rsidRPr="00150ABA" w:rsidRDefault="00D76D82" w:rsidP="00D76D82">
      <w:pPr>
        <w:pStyle w:val="Point0"/>
        <w:rPr>
          <w:noProof/>
          <w:lang w:eastAsia="en-GB"/>
        </w:rPr>
      </w:pPr>
      <w:r w:rsidRPr="00D76D82">
        <w:t>(e)</w:t>
      </w:r>
      <w:r w:rsidRPr="00D76D82">
        <w:tab/>
      </w:r>
      <w:r w:rsidR="00521C02" w:rsidRPr="00150ABA">
        <w:rPr>
          <w:noProof/>
          <w:lang w:eastAsia="en-GB"/>
        </w:rPr>
        <w:t>the evaluation of a JIT</w:t>
      </w:r>
      <w:r w:rsidR="00DA228C" w:rsidRPr="00150ABA">
        <w:rPr>
          <w:noProof/>
          <w:lang w:eastAsia="en-GB"/>
        </w:rPr>
        <w:t xml:space="preserve"> through a dedicated collaborative evaluation process</w:t>
      </w:r>
      <w:r w:rsidR="00521C02" w:rsidRPr="00150ABA">
        <w:rPr>
          <w:noProof/>
          <w:lang w:eastAsia="en-GB"/>
        </w:rPr>
        <w:t>.</w:t>
      </w:r>
    </w:p>
    <w:p w14:paraId="484EE69B" w14:textId="48215D3D" w:rsidR="006A71D0" w:rsidRPr="00150ABA" w:rsidRDefault="00D76D82" w:rsidP="00D76D82">
      <w:pPr>
        <w:pStyle w:val="ManualNumPar1"/>
        <w:rPr>
          <w:noProof/>
          <w:lang w:eastAsia="en-GB"/>
        </w:rPr>
      </w:pPr>
      <w:r w:rsidRPr="00D76D82">
        <w:t>2.</w:t>
      </w:r>
      <w:r w:rsidRPr="00D76D82">
        <w:tab/>
      </w:r>
      <w:r w:rsidR="00521C02" w:rsidRPr="00150ABA">
        <w:rPr>
          <w:noProof/>
          <w:lang w:eastAsia="en-GB"/>
        </w:rPr>
        <w:t xml:space="preserve">The centralised information system shall </w:t>
      </w:r>
      <w:r w:rsidR="00FF3B47" w:rsidRPr="00150ABA">
        <w:rPr>
          <w:noProof/>
          <w:lang w:eastAsia="en-GB"/>
        </w:rPr>
        <w:t xml:space="preserve">be </w:t>
      </w:r>
      <w:r w:rsidR="00521C02" w:rsidRPr="00150ABA">
        <w:rPr>
          <w:noProof/>
          <w:lang w:eastAsia="en-GB"/>
        </w:rPr>
        <w:t>hosted by eu-LISA at its technical sites.</w:t>
      </w:r>
    </w:p>
    <w:p w14:paraId="15F1AEBD" w14:textId="77777777" w:rsidR="009721F4" w:rsidRPr="00150ABA" w:rsidRDefault="009721F4" w:rsidP="00521C02">
      <w:pPr>
        <w:shd w:val="clear" w:color="auto" w:fill="FFFFFF" w:themeFill="background1"/>
        <w:spacing w:after="0" w:line="312" w:lineRule="atLeast"/>
        <w:rPr>
          <w:rFonts w:eastAsia="Times New Roman"/>
          <w:b/>
          <w:bCs/>
          <w:i/>
          <w:iCs/>
          <w:noProof/>
          <w:szCs w:val="24"/>
          <w:lang w:eastAsia="en-GB"/>
        </w:rPr>
      </w:pPr>
    </w:p>
    <w:p w14:paraId="73C947BF" w14:textId="77777777" w:rsidR="00521C02" w:rsidRPr="00150ABA" w:rsidRDefault="00521C02" w:rsidP="00521C02">
      <w:pPr>
        <w:shd w:val="clear" w:color="auto" w:fill="FFFFFF" w:themeFill="background1"/>
        <w:spacing w:after="0" w:line="312" w:lineRule="atLeast"/>
        <w:jc w:val="center"/>
        <w:rPr>
          <w:rFonts w:eastAsia="Times New Roman"/>
          <w:b/>
          <w:bCs/>
          <w:noProof/>
          <w:szCs w:val="24"/>
          <w:lang w:eastAsia="en-GB"/>
        </w:rPr>
      </w:pPr>
      <w:r w:rsidRPr="00150ABA">
        <w:rPr>
          <w:rFonts w:eastAsia="Times New Roman"/>
          <w:b/>
          <w:bCs/>
          <w:iCs/>
          <w:noProof/>
          <w:szCs w:val="24"/>
          <w:lang w:eastAsia="en-GB"/>
        </w:rPr>
        <w:t>CHAPTER II</w:t>
      </w:r>
    </w:p>
    <w:p w14:paraId="0BD26858" w14:textId="77777777" w:rsidR="00521C02" w:rsidRPr="00150ABA" w:rsidRDefault="00521C02" w:rsidP="00521C02">
      <w:pPr>
        <w:shd w:val="clear" w:color="auto" w:fill="FFFFFF" w:themeFill="background1"/>
        <w:spacing w:after="0" w:line="312" w:lineRule="atLeast"/>
        <w:jc w:val="center"/>
        <w:rPr>
          <w:rFonts w:eastAsia="Times New Roman"/>
          <w:b/>
          <w:bCs/>
          <w:noProof/>
          <w:szCs w:val="24"/>
          <w:lang w:eastAsia="en-GB"/>
        </w:rPr>
      </w:pPr>
      <w:r w:rsidRPr="00150ABA">
        <w:rPr>
          <w:rFonts w:eastAsia="Times New Roman"/>
          <w:b/>
          <w:bCs/>
          <w:i/>
          <w:iCs/>
          <w:noProof/>
          <w:szCs w:val="24"/>
          <w:lang w:eastAsia="en-GB"/>
        </w:rPr>
        <w:t>Development and operational management</w:t>
      </w:r>
    </w:p>
    <w:p w14:paraId="21F9B87C" w14:textId="77777777" w:rsidR="00521C02" w:rsidRPr="00150ABA" w:rsidRDefault="00521C02" w:rsidP="00FF717F">
      <w:pPr>
        <w:pStyle w:val="Titrearticle"/>
        <w:rPr>
          <w:noProof/>
          <w:lang w:eastAsia="en-GB"/>
        </w:rPr>
      </w:pPr>
      <w:r w:rsidRPr="00150ABA">
        <w:rPr>
          <w:noProof/>
          <w:lang w:eastAsia="en-GB"/>
        </w:rPr>
        <w:t>Article 6</w:t>
      </w:r>
    </w:p>
    <w:p w14:paraId="04272F96" w14:textId="77777777" w:rsidR="00521C02" w:rsidRPr="00150ABA" w:rsidRDefault="00521C02" w:rsidP="00521C02">
      <w:pPr>
        <w:shd w:val="clear" w:color="auto" w:fill="FFFFFF" w:themeFill="background1"/>
        <w:spacing w:after="0" w:line="312" w:lineRule="atLeast"/>
        <w:jc w:val="center"/>
        <w:rPr>
          <w:rFonts w:eastAsia="Times New Roman"/>
          <w:b/>
          <w:noProof/>
          <w:szCs w:val="24"/>
          <w:lang w:eastAsia="en-GB"/>
        </w:rPr>
      </w:pPr>
      <w:r w:rsidRPr="00150ABA">
        <w:rPr>
          <w:rFonts w:eastAsia="Times New Roman"/>
          <w:b/>
          <w:noProof/>
          <w:szCs w:val="24"/>
          <w:lang w:eastAsia="en-GB"/>
        </w:rPr>
        <w:t>Adoption of implementing acts by the Commission</w:t>
      </w:r>
    </w:p>
    <w:p w14:paraId="6E594C5B" w14:textId="780AD831" w:rsidR="00521C02" w:rsidRPr="00150ABA" w:rsidRDefault="00521C02" w:rsidP="00521C02">
      <w:pPr>
        <w:shd w:val="clear" w:color="auto" w:fill="FFFFFF" w:themeFill="background1"/>
        <w:spacing w:after="0" w:line="312" w:lineRule="atLeast"/>
        <w:rPr>
          <w:rFonts w:eastAsia="Times New Roman"/>
          <w:noProof/>
          <w:szCs w:val="24"/>
          <w:lang w:eastAsia="en-GB"/>
        </w:rPr>
      </w:pPr>
      <w:r w:rsidRPr="00150ABA">
        <w:rPr>
          <w:rFonts w:eastAsia="Times New Roman"/>
          <w:noProof/>
          <w:szCs w:val="24"/>
          <w:lang w:eastAsia="en-GB"/>
        </w:rPr>
        <w:t>The Commission shall adopt the implementing acts necessary for the technical development</w:t>
      </w:r>
      <w:r w:rsidR="007D0C2F" w:rsidRPr="00150ABA">
        <w:rPr>
          <w:rFonts w:eastAsia="Times New Roman"/>
          <w:noProof/>
          <w:szCs w:val="24"/>
          <w:lang w:eastAsia="en-GB"/>
        </w:rPr>
        <w:t xml:space="preserve"> </w:t>
      </w:r>
      <w:r w:rsidRPr="00150ABA">
        <w:rPr>
          <w:rFonts w:eastAsia="Times New Roman"/>
          <w:noProof/>
          <w:szCs w:val="24"/>
          <w:lang w:eastAsia="en-GB"/>
        </w:rPr>
        <w:t>of the JITs collaboration platform as soon as possible, and in particular acts concerning:</w:t>
      </w:r>
    </w:p>
    <w:p w14:paraId="72D3281B" w14:textId="79B5A254" w:rsidR="00C24D2B" w:rsidRPr="00150ABA" w:rsidRDefault="00D76D82" w:rsidP="00D76D82">
      <w:pPr>
        <w:pStyle w:val="Point0"/>
        <w:rPr>
          <w:noProof/>
          <w:lang w:eastAsia="en-GB"/>
        </w:rPr>
      </w:pPr>
      <w:r w:rsidRPr="00D76D82">
        <w:t>(a)</w:t>
      </w:r>
      <w:r w:rsidRPr="00D76D82">
        <w:tab/>
      </w:r>
      <w:r w:rsidR="00521C02" w:rsidRPr="00150ABA">
        <w:rPr>
          <w:noProof/>
          <w:lang w:eastAsia="en-GB"/>
        </w:rPr>
        <w:t>the list of functionalities required for the daily coordination and management of a JIT;</w:t>
      </w:r>
    </w:p>
    <w:p w14:paraId="29B68720" w14:textId="1F9D89A1" w:rsidR="00C24D2B" w:rsidRPr="00150ABA" w:rsidRDefault="00D76D82" w:rsidP="00D76D82">
      <w:pPr>
        <w:pStyle w:val="Point0"/>
        <w:rPr>
          <w:noProof/>
          <w:lang w:eastAsia="en-GB"/>
        </w:rPr>
      </w:pPr>
      <w:r w:rsidRPr="00D76D82">
        <w:t>(b)</w:t>
      </w:r>
      <w:r w:rsidRPr="00D76D82">
        <w:tab/>
      </w:r>
      <w:r w:rsidR="00521C02" w:rsidRPr="00150ABA">
        <w:rPr>
          <w:noProof/>
          <w:lang w:eastAsia="en-GB"/>
        </w:rPr>
        <w:t>the list of functionalities required for secure communications;</w:t>
      </w:r>
    </w:p>
    <w:p w14:paraId="5A6A9F14" w14:textId="69EC0C37" w:rsidR="00C24D2B" w:rsidRPr="00150ABA" w:rsidRDefault="00D76D82" w:rsidP="00D76D82">
      <w:pPr>
        <w:pStyle w:val="Point0"/>
        <w:rPr>
          <w:noProof/>
          <w:lang w:eastAsia="en-GB"/>
        </w:rPr>
      </w:pPr>
      <w:r w:rsidRPr="00D76D82">
        <w:t>(c)</w:t>
      </w:r>
      <w:r w:rsidRPr="00D76D82">
        <w:tab/>
      </w:r>
      <w:r w:rsidR="00521C02" w:rsidRPr="00150ABA">
        <w:rPr>
          <w:noProof/>
          <w:lang w:eastAsia="en-GB"/>
        </w:rPr>
        <w:t>business specifications of the connection referred to in Article</w:t>
      </w:r>
      <w:r w:rsidR="00521C02" w:rsidRPr="00150ABA">
        <w:rPr>
          <w:b/>
          <w:noProof/>
          <w:lang w:eastAsia="en-GB"/>
        </w:rPr>
        <w:t xml:space="preserve"> </w:t>
      </w:r>
      <w:r w:rsidR="006B7969" w:rsidRPr="00150ABA">
        <w:rPr>
          <w:noProof/>
          <w:lang w:eastAsia="en-GB"/>
        </w:rPr>
        <w:t>4</w:t>
      </w:r>
      <w:r w:rsidR="00137D6B" w:rsidRPr="00150ABA">
        <w:rPr>
          <w:noProof/>
          <w:lang w:eastAsia="en-GB"/>
        </w:rPr>
        <w:t>, point (</w:t>
      </w:r>
      <w:r w:rsidR="006B7969" w:rsidRPr="00150ABA">
        <w:rPr>
          <w:noProof/>
          <w:lang w:eastAsia="en-GB"/>
        </w:rPr>
        <w:t>c</w:t>
      </w:r>
      <w:r w:rsidR="00137D6B" w:rsidRPr="00150ABA">
        <w:rPr>
          <w:noProof/>
          <w:lang w:eastAsia="en-GB"/>
        </w:rPr>
        <w:t>)</w:t>
      </w:r>
      <w:r w:rsidR="006B7969" w:rsidRPr="00150ABA">
        <w:rPr>
          <w:noProof/>
          <w:lang w:eastAsia="en-GB"/>
        </w:rPr>
        <w:t>;</w:t>
      </w:r>
      <w:r w:rsidR="006B7969" w:rsidRPr="00150ABA">
        <w:rPr>
          <w:b/>
          <w:noProof/>
          <w:lang w:eastAsia="en-GB"/>
        </w:rPr>
        <w:t xml:space="preserve"> </w:t>
      </w:r>
    </w:p>
    <w:p w14:paraId="4765B4E8" w14:textId="02008B48" w:rsidR="00C24D2B" w:rsidRPr="00150ABA" w:rsidRDefault="00D76D82" w:rsidP="00D76D82">
      <w:pPr>
        <w:pStyle w:val="Point0"/>
        <w:rPr>
          <w:noProof/>
          <w:lang w:eastAsia="en-GB"/>
        </w:rPr>
      </w:pPr>
      <w:r w:rsidRPr="00D76D82">
        <w:t>(d)</w:t>
      </w:r>
      <w:r w:rsidRPr="00D76D82">
        <w:tab/>
      </w:r>
      <w:r w:rsidR="00720867" w:rsidRPr="00150ABA">
        <w:rPr>
          <w:noProof/>
          <w:lang w:eastAsia="en-GB"/>
        </w:rPr>
        <w:t>security in accordance with Article 1</w:t>
      </w:r>
      <w:r w:rsidR="006B7969" w:rsidRPr="00150ABA">
        <w:rPr>
          <w:noProof/>
          <w:lang w:eastAsia="en-GB"/>
        </w:rPr>
        <w:t>5;</w:t>
      </w:r>
    </w:p>
    <w:p w14:paraId="23D9FEAD" w14:textId="6F71F63E" w:rsidR="00C24D2B" w:rsidRPr="00150ABA" w:rsidRDefault="00D76D82" w:rsidP="00D76D82">
      <w:pPr>
        <w:pStyle w:val="Point0"/>
        <w:rPr>
          <w:noProof/>
          <w:lang w:eastAsia="en-GB"/>
        </w:rPr>
      </w:pPr>
      <w:r w:rsidRPr="00D76D82">
        <w:t>(e)</w:t>
      </w:r>
      <w:r w:rsidRPr="00D76D82">
        <w:tab/>
      </w:r>
      <w:r w:rsidR="00521C02" w:rsidRPr="00150ABA">
        <w:rPr>
          <w:noProof/>
          <w:lang w:eastAsia="en-GB"/>
        </w:rPr>
        <w:t xml:space="preserve">technical logs in accordance with Article </w:t>
      </w:r>
      <w:r w:rsidR="006B7969" w:rsidRPr="00150ABA">
        <w:rPr>
          <w:noProof/>
          <w:lang w:eastAsia="en-GB"/>
        </w:rPr>
        <w:t>21;</w:t>
      </w:r>
    </w:p>
    <w:p w14:paraId="7D0BF6E1" w14:textId="3B2AAE6A" w:rsidR="00C24D2B" w:rsidRPr="00150ABA" w:rsidRDefault="00D76D82" w:rsidP="00D76D82">
      <w:pPr>
        <w:pStyle w:val="Point0"/>
        <w:rPr>
          <w:noProof/>
          <w:lang w:eastAsia="en-GB"/>
        </w:rPr>
      </w:pPr>
      <w:r w:rsidRPr="00D76D82">
        <w:t>(f)</w:t>
      </w:r>
      <w:r w:rsidRPr="00D76D82">
        <w:tab/>
      </w:r>
      <w:r w:rsidR="00720867" w:rsidRPr="00150ABA">
        <w:rPr>
          <w:noProof/>
          <w:lang w:eastAsia="en-GB"/>
        </w:rPr>
        <w:t xml:space="preserve">technical statistics in accordance with Article </w:t>
      </w:r>
      <w:r w:rsidR="006B7969" w:rsidRPr="00150ABA">
        <w:rPr>
          <w:noProof/>
          <w:lang w:eastAsia="en-GB"/>
        </w:rPr>
        <w:t>2</w:t>
      </w:r>
      <w:r w:rsidR="00591527" w:rsidRPr="00150ABA">
        <w:rPr>
          <w:noProof/>
          <w:lang w:eastAsia="en-GB"/>
        </w:rPr>
        <w:t>2</w:t>
      </w:r>
      <w:r w:rsidR="00720867" w:rsidRPr="00150ABA">
        <w:rPr>
          <w:noProof/>
          <w:lang w:eastAsia="en-GB"/>
        </w:rPr>
        <w:t>;</w:t>
      </w:r>
    </w:p>
    <w:p w14:paraId="4F0B133E" w14:textId="7578ED0B" w:rsidR="00521C02" w:rsidRPr="00150ABA" w:rsidRDefault="00D76D82" w:rsidP="00D76D82">
      <w:pPr>
        <w:pStyle w:val="Point0"/>
        <w:rPr>
          <w:noProof/>
          <w:lang w:eastAsia="en-GB"/>
        </w:rPr>
      </w:pPr>
      <w:r w:rsidRPr="00D76D82">
        <w:t>(g)</w:t>
      </w:r>
      <w:r w:rsidRPr="00D76D82">
        <w:tab/>
      </w:r>
      <w:r w:rsidR="00521C02" w:rsidRPr="00150ABA">
        <w:rPr>
          <w:noProof/>
          <w:lang w:eastAsia="en-GB"/>
        </w:rPr>
        <w:t>performance and availability requirements of the JITs collaboration platform.</w:t>
      </w:r>
    </w:p>
    <w:p w14:paraId="76EE14F3" w14:textId="49A369F8" w:rsidR="00521C02" w:rsidRPr="00150ABA" w:rsidRDefault="00521C02" w:rsidP="00510586">
      <w:pPr>
        <w:shd w:val="clear" w:color="auto" w:fill="FFFFFF" w:themeFill="background1"/>
        <w:spacing w:after="0" w:line="312" w:lineRule="atLeast"/>
        <w:rPr>
          <w:noProof/>
          <w:lang w:eastAsia="en-GB"/>
        </w:rPr>
      </w:pPr>
      <w:r w:rsidRPr="00150ABA">
        <w:rPr>
          <w:noProof/>
          <w:lang w:eastAsia="en-GB"/>
        </w:rPr>
        <w:t xml:space="preserve">The </w:t>
      </w:r>
      <w:r w:rsidRPr="00150ABA">
        <w:rPr>
          <w:rFonts w:eastAsia="Times New Roman"/>
          <w:noProof/>
          <w:szCs w:val="24"/>
          <w:lang w:eastAsia="en-GB"/>
        </w:rPr>
        <w:t>implementing</w:t>
      </w:r>
      <w:r w:rsidRPr="00150ABA">
        <w:rPr>
          <w:noProof/>
          <w:lang w:eastAsia="en-GB"/>
        </w:rPr>
        <w:t xml:space="preserve"> acts referred to in</w:t>
      </w:r>
      <w:r w:rsidR="00137D6B" w:rsidRPr="00150ABA">
        <w:rPr>
          <w:noProof/>
          <w:lang w:eastAsia="en-GB"/>
        </w:rPr>
        <w:t xml:space="preserve"> the first</w:t>
      </w:r>
      <w:r w:rsidRPr="00150ABA">
        <w:rPr>
          <w:noProof/>
          <w:lang w:eastAsia="en-GB"/>
        </w:rPr>
        <w:t xml:space="preserve"> </w:t>
      </w:r>
      <w:r w:rsidR="00137D6B" w:rsidRPr="00150ABA">
        <w:rPr>
          <w:noProof/>
          <w:lang w:eastAsia="en-GB"/>
        </w:rPr>
        <w:t>subparagraph of this Article</w:t>
      </w:r>
      <w:r w:rsidRPr="00150ABA">
        <w:rPr>
          <w:noProof/>
          <w:lang w:eastAsia="en-GB"/>
        </w:rPr>
        <w:t xml:space="preserve"> shall be adopted in accordance with the examination procedure referred to in Article </w:t>
      </w:r>
      <w:r w:rsidR="006B7969" w:rsidRPr="00150ABA">
        <w:rPr>
          <w:noProof/>
          <w:lang w:eastAsia="en-GB"/>
        </w:rPr>
        <w:t>2</w:t>
      </w:r>
      <w:r w:rsidR="00591527" w:rsidRPr="00150ABA">
        <w:rPr>
          <w:noProof/>
          <w:lang w:eastAsia="en-GB"/>
        </w:rPr>
        <w:t>5</w:t>
      </w:r>
      <w:r w:rsidRPr="00150ABA">
        <w:rPr>
          <w:noProof/>
          <w:lang w:eastAsia="en-GB"/>
        </w:rPr>
        <w:t>.</w:t>
      </w:r>
    </w:p>
    <w:p w14:paraId="63B7140C" w14:textId="77777777" w:rsidR="00521C02" w:rsidRPr="00150ABA" w:rsidRDefault="00521C02" w:rsidP="00FF717F">
      <w:pPr>
        <w:pStyle w:val="Titrearticle"/>
        <w:rPr>
          <w:noProof/>
          <w:lang w:eastAsia="en-GB"/>
        </w:rPr>
      </w:pPr>
      <w:r w:rsidRPr="00150ABA">
        <w:rPr>
          <w:noProof/>
          <w:lang w:eastAsia="en-GB"/>
        </w:rPr>
        <w:t>Article 7</w:t>
      </w:r>
    </w:p>
    <w:p w14:paraId="0188F61E" w14:textId="77777777" w:rsidR="00521C02" w:rsidRPr="00150ABA" w:rsidRDefault="00521C02" w:rsidP="00A70E68">
      <w:pPr>
        <w:spacing w:line="360" w:lineRule="auto"/>
        <w:jc w:val="center"/>
        <w:rPr>
          <w:rFonts w:eastAsia="Times New Roman"/>
          <w:b/>
          <w:bCs/>
          <w:noProof/>
          <w:szCs w:val="24"/>
          <w:lang w:eastAsia="en-GB"/>
        </w:rPr>
      </w:pPr>
      <w:r w:rsidRPr="00150ABA">
        <w:rPr>
          <w:rFonts w:eastAsia="Times New Roman"/>
          <w:b/>
          <w:bCs/>
          <w:noProof/>
          <w:szCs w:val="24"/>
          <w:lang w:eastAsia="en-GB"/>
        </w:rPr>
        <w:t>Responsibilities of eu-LISA</w:t>
      </w:r>
    </w:p>
    <w:p w14:paraId="7E5683A2" w14:textId="7796F66F" w:rsidR="00521C02" w:rsidRPr="00150ABA" w:rsidRDefault="00D76D82" w:rsidP="00D76D82">
      <w:pPr>
        <w:pStyle w:val="ManualNumPar1"/>
        <w:rPr>
          <w:noProof/>
        </w:rPr>
      </w:pPr>
      <w:r w:rsidRPr="00D76D82">
        <w:t>1.</w:t>
      </w:r>
      <w:r w:rsidRPr="00D76D82">
        <w:tab/>
      </w:r>
      <w:r w:rsidR="007D0C2F" w:rsidRPr="00150ABA">
        <w:rPr>
          <w:noProof/>
        </w:rPr>
        <w:t>The European Union Agency for the Operational Management of Large-Scale IT Systems in the Area of Freedom, Security and Justice (‘</w:t>
      </w:r>
      <w:r w:rsidR="00521C02" w:rsidRPr="00150ABA">
        <w:rPr>
          <w:noProof/>
        </w:rPr>
        <w:t>eu-LISA</w:t>
      </w:r>
      <w:r w:rsidR="007D0C2F" w:rsidRPr="00150ABA">
        <w:rPr>
          <w:noProof/>
        </w:rPr>
        <w:t>’)</w:t>
      </w:r>
      <w:r w:rsidR="00521C02" w:rsidRPr="00150ABA">
        <w:rPr>
          <w:noProof/>
        </w:rPr>
        <w:t xml:space="preserve"> shall </w:t>
      </w:r>
      <w:r w:rsidR="007D0C2F" w:rsidRPr="00150ABA">
        <w:rPr>
          <w:noProof/>
        </w:rPr>
        <w:t xml:space="preserve">establish </w:t>
      </w:r>
      <w:r w:rsidR="00521C02" w:rsidRPr="00150ABA">
        <w:rPr>
          <w:noProof/>
        </w:rPr>
        <w:t xml:space="preserve">the design of the physical architecture of the JITs collaboration platform including its technical specifications and evolution. That design shall be </w:t>
      </w:r>
      <w:r w:rsidR="00AF0B66" w:rsidRPr="00150ABA">
        <w:rPr>
          <w:noProof/>
        </w:rPr>
        <w:t xml:space="preserve">approved </w:t>
      </w:r>
      <w:r w:rsidR="00521C02" w:rsidRPr="00150ABA">
        <w:rPr>
          <w:noProof/>
        </w:rPr>
        <w:t>by its Management Board, subject to a favourable opinion of the Commission.</w:t>
      </w:r>
    </w:p>
    <w:p w14:paraId="5804DA88" w14:textId="4A995677" w:rsidR="00521C02" w:rsidRPr="00150ABA" w:rsidRDefault="00D76D82" w:rsidP="00D76D82">
      <w:pPr>
        <w:pStyle w:val="ManualNumPar1"/>
        <w:rPr>
          <w:noProof/>
        </w:rPr>
      </w:pPr>
      <w:r w:rsidRPr="00D76D82">
        <w:t>2.</w:t>
      </w:r>
      <w:r w:rsidRPr="00D76D82">
        <w:tab/>
      </w:r>
      <w:r w:rsidR="00521C02" w:rsidRPr="00150ABA">
        <w:rPr>
          <w:noProof/>
        </w:rPr>
        <w:t>eu-LISA shall be responsible for the development of the JITs collaboration platform in accordance with the principle of data protection by design and by default. The development shall consist of the elaboration and implementation of the technical specifications, testing and overall project coordination.</w:t>
      </w:r>
    </w:p>
    <w:p w14:paraId="4D408260" w14:textId="55FF9F91" w:rsidR="00521C02" w:rsidRPr="00150ABA" w:rsidRDefault="00D76D82" w:rsidP="00D76D82">
      <w:pPr>
        <w:pStyle w:val="ManualNumPar1"/>
        <w:rPr>
          <w:noProof/>
        </w:rPr>
      </w:pPr>
      <w:r w:rsidRPr="00D76D82">
        <w:t>3.</w:t>
      </w:r>
      <w:r w:rsidRPr="00D76D82">
        <w:tab/>
      </w:r>
      <w:r w:rsidR="00521C02" w:rsidRPr="00150ABA">
        <w:rPr>
          <w:noProof/>
        </w:rPr>
        <w:t xml:space="preserve">eu-LISA shall make the communication software available to the </w:t>
      </w:r>
      <w:r w:rsidR="00E27052" w:rsidRPr="00150ABA">
        <w:rPr>
          <w:noProof/>
        </w:rPr>
        <w:t>JIT</w:t>
      </w:r>
      <w:r w:rsidR="00DA228C" w:rsidRPr="00150ABA">
        <w:rPr>
          <w:noProof/>
        </w:rPr>
        <w:t>s collaboration platform users</w:t>
      </w:r>
      <w:r w:rsidR="00521C02" w:rsidRPr="00150ABA">
        <w:rPr>
          <w:noProof/>
        </w:rPr>
        <w:t>.</w:t>
      </w:r>
    </w:p>
    <w:p w14:paraId="07DE51CD" w14:textId="7EE944C1" w:rsidR="00510586" w:rsidRPr="00150ABA" w:rsidRDefault="00D76D82" w:rsidP="00D76D82">
      <w:pPr>
        <w:pStyle w:val="ManualNumPar1"/>
        <w:rPr>
          <w:noProof/>
        </w:rPr>
      </w:pPr>
      <w:r w:rsidRPr="00D76D82">
        <w:t>4.</w:t>
      </w:r>
      <w:r w:rsidRPr="00D76D82">
        <w:tab/>
      </w:r>
      <w:r w:rsidR="00521C02" w:rsidRPr="00150ABA">
        <w:rPr>
          <w:noProof/>
        </w:rPr>
        <w:t>eu-LISA shall develop and implement the JITs collaboration platform as soon as possible after the entry into force of this Regulation</w:t>
      </w:r>
      <w:r w:rsidR="00761DF5" w:rsidRPr="00150ABA">
        <w:rPr>
          <w:noProof/>
        </w:rPr>
        <w:t xml:space="preserve"> </w:t>
      </w:r>
      <w:r w:rsidR="00521C02" w:rsidRPr="00150ABA">
        <w:rPr>
          <w:noProof/>
        </w:rPr>
        <w:t>and following the adoption by the Commission of the implementing</w:t>
      </w:r>
      <w:r w:rsidR="0042623A" w:rsidRPr="00150ABA">
        <w:rPr>
          <w:noProof/>
        </w:rPr>
        <w:t xml:space="preserve"> acts</w:t>
      </w:r>
      <w:r w:rsidR="00521C02" w:rsidRPr="00150ABA">
        <w:rPr>
          <w:noProof/>
        </w:rPr>
        <w:t xml:space="preserve"> </w:t>
      </w:r>
      <w:r w:rsidR="0042623A" w:rsidRPr="00150ABA">
        <w:rPr>
          <w:noProof/>
        </w:rPr>
        <w:t>pursuant</w:t>
      </w:r>
      <w:r w:rsidR="007D0C2F" w:rsidRPr="00150ABA">
        <w:rPr>
          <w:noProof/>
        </w:rPr>
        <w:t xml:space="preserve"> to</w:t>
      </w:r>
      <w:r w:rsidR="00521C02" w:rsidRPr="00150ABA">
        <w:rPr>
          <w:noProof/>
        </w:rPr>
        <w:t xml:space="preserve"> Article 6. </w:t>
      </w:r>
    </w:p>
    <w:p w14:paraId="4EC5EF03" w14:textId="1D025E53" w:rsidR="00521C02" w:rsidRPr="00150ABA" w:rsidRDefault="00D76D82" w:rsidP="00D76D82">
      <w:pPr>
        <w:pStyle w:val="ManualNumPar1"/>
        <w:rPr>
          <w:noProof/>
        </w:rPr>
      </w:pPr>
      <w:r w:rsidRPr="00D76D82">
        <w:t>5.</w:t>
      </w:r>
      <w:r w:rsidRPr="00D76D82">
        <w:tab/>
      </w:r>
      <w:r w:rsidR="00521C02" w:rsidRPr="00150ABA">
        <w:rPr>
          <w:noProof/>
        </w:rPr>
        <w:t>eu-LISA shall ensure that the JITs collaboration platform is operated in accordance with this Regulation, with the implementing act referred to in Article 6, as well as in accordance with Regulation (EU) 2018/1725.</w:t>
      </w:r>
    </w:p>
    <w:p w14:paraId="1A6F1631" w14:textId="2FA661CA" w:rsidR="00521C02" w:rsidRPr="00150ABA" w:rsidRDefault="00D76D82" w:rsidP="00D76D82">
      <w:pPr>
        <w:pStyle w:val="ManualNumPar1"/>
        <w:rPr>
          <w:noProof/>
        </w:rPr>
      </w:pPr>
      <w:r w:rsidRPr="00D76D82">
        <w:t>6.</w:t>
      </w:r>
      <w:r w:rsidRPr="00D76D82">
        <w:tab/>
      </w:r>
      <w:r w:rsidR="00DD006B" w:rsidRPr="00150ABA">
        <w:rPr>
          <w:noProof/>
        </w:rPr>
        <w:t xml:space="preserve">eu-LISA shall be responsible for the operational management of the JITs collaboration platform. </w:t>
      </w:r>
      <w:r w:rsidR="00521C02" w:rsidRPr="00150ABA">
        <w:rPr>
          <w:noProof/>
        </w:rPr>
        <w:t xml:space="preserve">The operational management of the JITs collaboration platform shall consist of all the tasks necessary to keep the JITs collaboration platform operational in accordance with this Regulation, and in particular the maintenance work and technical developments necessary to ensure that the JITs collaboration platform functions at a satisfactory level in accordance with the technical specifications. </w:t>
      </w:r>
    </w:p>
    <w:p w14:paraId="32B30FF2" w14:textId="5850D273" w:rsidR="00521C02" w:rsidRPr="00150ABA" w:rsidRDefault="00D76D82" w:rsidP="00D76D82">
      <w:pPr>
        <w:pStyle w:val="ManualNumPar1"/>
        <w:rPr>
          <w:noProof/>
        </w:rPr>
      </w:pPr>
      <w:r w:rsidRPr="00D76D82">
        <w:t>7.</w:t>
      </w:r>
      <w:r w:rsidRPr="00D76D82">
        <w:tab/>
      </w:r>
      <w:r w:rsidR="00521C02" w:rsidRPr="00150ABA">
        <w:rPr>
          <w:noProof/>
        </w:rPr>
        <w:t xml:space="preserve">eu-LISA shall </w:t>
      </w:r>
      <w:r w:rsidR="001C4D4F" w:rsidRPr="00150ABA">
        <w:rPr>
          <w:noProof/>
        </w:rPr>
        <w:t xml:space="preserve">ensure </w:t>
      </w:r>
      <w:r w:rsidR="00521C02" w:rsidRPr="00150ABA">
        <w:rPr>
          <w:noProof/>
        </w:rPr>
        <w:t xml:space="preserve"> </w:t>
      </w:r>
      <w:r w:rsidR="00874F12" w:rsidRPr="00150ABA">
        <w:rPr>
          <w:noProof/>
        </w:rPr>
        <w:t xml:space="preserve">the provision of </w:t>
      </w:r>
      <w:r w:rsidR="00521C02" w:rsidRPr="00150ABA">
        <w:rPr>
          <w:noProof/>
        </w:rPr>
        <w:t>training on the practical use of the JITs collaboration platform.</w:t>
      </w:r>
    </w:p>
    <w:p w14:paraId="1A778EF5" w14:textId="59637A1F" w:rsidR="00521C02" w:rsidRPr="00150ABA" w:rsidRDefault="00D76D82" w:rsidP="00D76D82">
      <w:pPr>
        <w:pStyle w:val="ManualNumPar1"/>
        <w:rPr>
          <w:noProof/>
        </w:rPr>
      </w:pPr>
      <w:r w:rsidRPr="00D76D82">
        <w:t>8.</w:t>
      </w:r>
      <w:r w:rsidRPr="00D76D82">
        <w:tab/>
      </w:r>
      <w:r w:rsidR="00521C02" w:rsidRPr="00150ABA">
        <w:rPr>
          <w:noProof/>
        </w:rPr>
        <w:t>eu-LISA shall not have access to the JIT collaboration spaces.</w:t>
      </w:r>
    </w:p>
    <w:p w14:paraId="77B410E3" w14:textId="77322287" w:rsidR="00521C02" w:rsidRPr="00150ABA" w:rsidRDefault="00D76D82" w:rsidP="00D76D82">
      <w:pPr>
        <w:pStyle w:val="ManualNumPar1"/>
        <w:rPr>
          <w:noProof/>
        </w:rPr>
      </w:pPr>
      <w:r w:rsidRPr="00D76D82">
        <w:t>9.</w:t>
      </w:r>
      <w:r w:rsidRPr="00D76D82">
        <w:tab/>
      </w:r>
      <w:r w:rsidR="00521C02" w:rsidRPr="00150ABA">
        <w:rPr>
          <w:noProof/>
        </w:rPr>
        <w:t>Without prejudice to Article 17 of the Staff Regulations of Officials of the European Union, laid down in Council Regulation (EEC, Euratom, ECSC) No 259/68</w:t>
      </w:r>
      <w:r w:rsidR="00521C02" w:rsidRPr="00150ABA">
        <w:rPr>
          <w:rStyle w:val="FootnoteReference"/>
          <w:noProof/>
        </w:rPr>
        <w:footnoteReference w:id="29"/>
      </w:r>
      <w:r w:rsidR="00521C02" w:rsidRPr="00150ABA">
        <w:rPr>
          <w:noProof/>
        </w:rPr>
        <w:t>, eu-LISA shall apply appropriate rules of professional secrecy or other equivalent duties of confidentiality to its entire staff required to work with data registered in the centralised information system. That obligation shall also apply after such staff leave office or employment or after the termination of their activities.</w:t>
      </w:r>
    </w:p>
    <w:p w14:paraId="4F855294" w14:textId="77777777" w:rsidR="00521C02" w:rsidRPr="00150ABA" w:rsidRDefault="00521C02" w:rsidP="00FF717F">
      <w:pPr>
        <w:pStyle w:val="Titrearticle"/>
        <w:rPr>
          <w:noProof/>
          <w:lang w:eastAsia="en-GB"/>
        </w:rPr>
      </w:pPr>
      <w:r w:rsidRPr="00150ABA">
        <w:rPr>
          <w:noProof/>
          <w:lang w:eastAsia="en-GB"/>
        </w:rPr>
        <w:t>Article 8</w:t>
      </w:r>
    </w:p>
    <w:p w14:paraId="48BDD247" w14:textId="77777777" w:rsidR="00521C02" w:rsidRPr="00150ABA" w:rsidRDefault="00521C02" w:rsidP="00521C02">
      <w:pPr>
        <w:spacing w:before="60"/>
        <w:ind w:firstLine="720"/>
        <w:jc w:val="center"/>
        <w:rPr>
          <w:rFonts w:eastAsia="Times New Roman"/>
          <w:b/>
          <w:bCs/>
          <w:noProof/>
          <w:szCs w:val="24"/>
          <w:lang w:eastAsia="en-GB"/>
        </w:rPr>
      </w:pPr>
      <w:r w:rsidRPr="00150ABA">
        <w:rPr>
          <w:rFonts w:eastAsia="Times New Roman"/>
          <w:b/>
          <w:bCs/>
          <w:noProof/>
          <w:szCs w:val="24"/>
          <w:lang w:eastAsia="en-GB"/>
        </w:rPr>
        <w:t>Responsibilities of the Member States</w:t>
      </w:r>
    </w:p>
    <w:p w14:paraId="3538D7D1" w14:textId="3F755C17" w:rsidR="00521C02" w:rsidRPr="00150ABA" w:rsidRDefault="00521C02" w:rsidP="00521C02">
      <w:pPr>
        <w:spacing w:before="60"/>
        <w:rPr>
          <w:rFonts w:eastAsia="Times New Roman"/>
          <w:bCs/>
          <w:noProof/>
          <w:szCs w:val="24"/>
          <w:lang w:eastAsia="en-GB"/>
        </w:rPr>
      </w:pPr>
      <w:r w:rsidRPr="00150ABA">
        <w:rPr>
          <w:rFonts w:eastAsia="Times New Roman"/>
          <w:bCs/>
          <w:noProof/>
          <w:szCs w:val="24"/>
          <w:lang w:eastAsia="en-GB"/>
        </w:rPr>
        <w:t xml:space="preserve">Each Member State shall </w:t>
      </w:r>
      <w:r w:rsidR="00874F12" w:rsidRPr="00150ABA">
        <w:rPr>
          <w:rFonts w:eastAsia="Times New Roman"/>
          <w:bCs/>
          <w:noProof/>
          <w:szCs w:val="24"/>
          <w:lang w:eastAsia="en-GB"/>
        </w:rPr>
        <w:t xml:space="preserve">make the </w:t>
      </w:r>
      <w:r w:rsidR="00DA228C" w:rsidRPr="00150ABA">
        <w:rPr>
          <w:rFonts w:eastAsia="Times New Roman"/>
          <w:bCs/>
          <w:noProof/>
          <w:szCs w:val="24"/>
          <w:lang w:eastAsia="en-GB"/>
        </w:rPr>
        <w:t xml:space="preserve">technical </w:t>
      </w:r>
      <w:r w:rsidR="00B66B33" w:rsidRPr="00150ABA">
        <w:rPr>
          <w:rFonts w:eastAsia="Times New Roman"/>
          <w:bCs/>
          <w:noProof/>
          <w:szCs w:val="24"/>
          <w:lang w:eastAsia="en-GB"/>
        </w:rPr>
        <w:t xml:space="preserve">arrangements </w:t>
      </w:r>
      <w:r w:rsidR="00874F12" w:rsidRPr="00150ABA">
        <w:rPr>
          <w:rFonts w:eastAsia="Times New Roman"/>
          <w:bCs/>
          <w:noProof/>
          <w:szCs w:val="24"/>
          <w:lang w:eastAsia="en-GB"/>
        </w:rPr>
        <w:t xml:space="preserve">necessary </w:t>
      </w:r>
      <w:r w:rsidRPr="00150ABA">
        <w:rPr>
          <w:rFonts w:eastAsia="Times New Roman"/>
          <w:bCs/>
          <w:noProof/>
          <w:szCs w:val="24"/>
          <w:lang w:eastAsia="en-GB"/>
        </w:rPr>
        <w:t xml:space="preserve">for access of </w:t>
      </w:r>
      <w:r w:rsidR="00A12D6F" w:rsidRPr="00150ABA">
        <w:rPr>
          <w:rFonts w:eastAsia="Times New Roman"/>
          <w:bCs/>
          <w:noProof/>
          <w:szCs w:val="24"/>
          <w:lang w:eastAsia="en-GB"/>
        </w:rPr>
        <w:t xml:space="preserve">its </w:t>
      </w:r>
      <w:r w:rsidRPr="00150ABA">
        <w:rPr>
          <w:rFonts w:eastAsia="Times New Roman"/>
          <w:bCs/>
          <w:noProof/>
          <w:szCs w:val="24"/>
          <w:lang w:eastAsia="en-GB"/>
        </w:rPr>
        <w:t>competent authorities to the JITs collaboration platform in accordance with this Regulation.</w:t>
      </w:r>
    </w:p>
    <w:p w14:paraId="32133D74" w14:textId="77777777" w:rsidR="00521C02" w:rsidRPr="00150ABA" w:rsidRDefault="00521C02" w:rsidP="00FF717F">
      <w:pPr>
        <w:pStyle w:val="Titrearticle"/>
        <w:rPr>
          <w:noProof/>
          <w:lang w:eastAsia="en-GB"/>
        </w:rPr>
      </w:pPr>
      <w:r w:rsidRPr="00150ABA">
        <w:rPr>
          <w:noProof/>
          <w:lang w:eastAsia="en-GB"/>
        </w:rPr>
        <w:t>Article 9</w:t>
      </w:r>
    </w:p>
    <w:p w14:paraId="27295D90" w14:textId="1CDD068C" w:rsidR="00521C02" w:rsidRPr="00150ABA" w:rsidRDefault="00521C02" w:rsidP="00510586">
      <w:pPr>
        <w:jc w:val="center"/>
        <w:rPr>
          <w:b/>
          <w:noProof/>
          <w:lang w:eastAsia="en-GB"/>
        </w:rPr>
      </w:pPr>
      <w:r w:rsidRPr="00150ABA">
        <w:rPr>
          <w:b/>
          <w:noProof/>
          <w:lang w:eastAsia="en-GB"/>
        </w:rPr>
        <w:t xml:space="preserve">Responsibilities of </w:t>
      </w:r>
      <w:r w:rsidR="00A2464B" w:rsidRPr="00150ABA">
        <w:rPr>
          <w:b/>
          <w:noProof/>
          <w:lang w:eastAsia="en-GB"/>
        </w:rPr>
        <w:t>competent Union bodies, offices and agencies</w:t>
      </w:r>
    </w:p>
    <w:p w14:paraId="78F72FA8" w14:textId="658D4237" w:rsidR="00F82EBF" w:rsidRPr="00150ABA" w:rsidRDefault="00D76D82" w:rsidP="00D76D82">
      <w:pPr>
        <w:pStyle w:val="ManualNumPar1"/>
        <w:rPr>
          <w:noProof/>
        </w:rPr>
      </w:pPr>
      <w:r w:rsidRPr="00D76D82">
        <w:t>1.</w:t>
      </w:r>
      <w:r w:rsidRPr="00D76D82">
        <w:tab/>
      </w:r>
      <w:r w:rsidR="00720867" w:rsidRPr="00150ABA">
        <w:rPr>
          <w:noProof/>
          <w:lang w:eastAsia="en-GB"/>
        </w:rPr>
        <w:t>Eurojust</w:t>
      </w:r>
      <w:r w:rsidR="00720867" w:rsidRPr="00150ABA">
        <w:rPr>
          <w:noProof/>
        </w:rPr>
        <w:t>, Europol</w:t>
      </w:r>
      <w:r w:rsidR="00A2464B" w:rsidRPr="00150ABA">
        <w:rPr>
          <w:noProof/>
        </w:rPr>
        <w:t>,</w:t>
      </w:r>
      <w:r w:rsidR="00720867" w:rsidRPr="00150ABA">
        <w:rPr>
          <w:noProof/>
        </w:rPr>
        <w:t xml:space="preserve"> </w:t>
      </w:r>
      <w:r w:rsidR="00A2464B" w:rsidRPr="00150ABA">
        <w:rPr>
          <w:noProof/>
        </w:rPr>
        <w:t xml:space="preserve">the European Public Prosecutor’s Office, </w:t>
      </w:r>
      <w:r w:rsidR="00720867" w:rsidRPr="00150ABA">
        <w:rPr>
          <w:noProof/>
        </w:rPr>
        <w:t xml:space="preserve">OLAF </w:t>
      </w:r>
      <w:r w:rsidR="00A2464B" w:rsidRPr="00150ABA">
        <w:rPr>
          <w:noProof/>
        </w:rPr>
        <w:t xml:space="preserve">and other competent Union bodies, offices and agencies </w:t>
      </w:r>
      <w:r w:rsidR="00720867" w:rsidRPr="00150ABA">
        <w:rPr>
          <w:noProof/>
        </w:rPr>
        <w:t xml:space="preserve">shall </w:t>
      </w:r>
      <w:r w:rsidR="00874F12" w:rsidRPr="00150ABA">
        <w:rPr>
          <w:noProof/>
        </w:rPr>
        <w:t>make the</w:t>
      </w:r>
      <w:r w:rsidR="00720867" w:rsidRPr="00150ABA">
        <w:rPr>
          <w:noProof/>
        </w:rPr>
        <w:t xml:space="preserve"> </w:t>
      </w:r>
      <w:r w:rsidR="006E16B8" w:rsidRPr="00150ABA">
        <w:rPr>
          <w:noProof/>
        </w:rPr>
        <w:t xml:space="preserve">necessary </w:t>
      </w:r>
      <w:r w:rsidR="00720867" w:rsidRPr="00150ABA">
        <w:rPr>
          <w:noProof/>
        </w:rPr>
        <w:t xml:space="preserve">technical arrangements </w:t>
      </w:r>
      <w:r w:rsidR="00874F12" w:rsidRPr="00150ABA">
        <w:rPr>
          <w:noProof/>
        </w:rPr>
        <w:t>to enable them to</w:t>
      </w:r>
      <w:r w:rsidR="00720867" w:rsidRPr="00150ABA">
        <w:rPr>
          <w:noProof/>
        </w:rPr>
        <w:t xml:space="preserve"> access the JITs collaboration platform.</w:t>
      </w:r>
    </w:p>
    <w:p w14:paraId="3DEC31C6" w14:textId="1DC339CD" w:rsidR="00521C02" w:rsidRPr="00150ABA" w:rsidRDefault="00D76D82" w:rsidP="00D76D82">
      <w:pPr>
        <w:pStyle w:val="ManualNumPar1"/>
        <w:rPr>
          <w:noProof/>
          <w:lang w:eastAsia="en-GB"/>
        </w:rPr>
      </w:pPr>
      <w:r w:rsidRPr="00D76D82">
        <w:t>2.</w:t>
      </w:r>
      <w:r w:rsidRPr="00D76D82">
        <w:tab/>
      </w:r>
      <w:r w:rsidR="00521C02" w:rsidRPr="00150ABA">
        <w:rPr>
          <w:noProof/>
        </w:rPr>
        <w:t>Eurojust</w:t>
      </w:r>
      <w:r w:rsidR="00521C02" w:rsidRPr="00150ABA">
        <w:rPr>
          <w:noProof/>
          <w:lang w:eastAsia="en-GB"/>
        </w:rPr>
        <w:t xml:space="preserve"> shall be responsible for the necessary technical adaptation of its systems</w:t>
      </w:r>
      <w:r w:rsidR="00874F12" w:rsidRPr="00150ABA">
        <w:rPr>
          <w:noProof/>
          <w:lang w:eastAsia="en-GB"/>
        </w:rPr>
        <w:t>,</w:t>
      </w:r>
      <w:r w:rsidR="00521C02" w:rsidRPr="00150ABA">
        <w:rPr>
          <w:noProof/>
          <w:lang w:eastAsia="en-GB"/>
        </w:rPr>
        <w:t xml:space="preserve"> required to establish </w:t>
      </w:r>
      <w:r w:rsidR="00874F12" w:rsidRPr="00150ABA">
        <w:rPr>
          <w:noProof/>
          <w:lang w:eastAsia="en-GB"/>
        </w:rPr>
        <w:t>the</w:t>
      </w:r>
      <w:r w:rsidR="00521C02" w:rsidRPr="00150ABA">
        <w:rPr>
          <w:noProof/>
          <w:lang w:eastAsia="en-GB"/>
        </w:rPr>
        <w:t xml:space="preserve"> connection referred to in Article 4</w:t>
      </w:r>
      <w:r w:rsidR="00DD006B" w:rsidRPr="00150ABA">
        <w:rPr>
          <w:noProof/>
          <w:lang w:eastAsia="en-GB"/>
        </w:rPr>
        <w:t xml:space="preserve">, point </w:t>
      </w:r>
      <w:r w:rsidR="00874F12" w:rsidRPr="00150ABA">
        <w:rPr>
          <w:noProof/>
          <w:lang w:eastAsia="en-GB"/>
        </w:rPr>
        <w:t>(c)</w:t>
      </w:r>
      <w:r w:rsidR="00521C02" w:rsidRPr="00150ABA">
        <w:rPr>
          <w:noProof/>
          <w:lang w:eastAsia="en-GB"/>
        </w:rPr>
        <w:t>.</w:t>
      </w:r>
    </w:p>
    <w:p w14:paraId="557332D3" w14:textId="77777777" w:rsidR="00521C02" w:rsidRPr="00150ABA" w:rsidRDefault="00521C02" w:rsidP="00FF717F">
      <w:pPr>
        <w:pStyle w:val="Titrearticle"/>
        <w:rPr>
          <w:noProof/>
          <w:lang w:eastAsia="en-GB"/>
        </w:rPr>
      </w:pPr>
      <w:r w:rsidRPr="00150ABA">
        <w:rPr>
          <w:noProof/>
          <w:lang w:eastAsia="en-GB"/>
        </w:rPr>
        <w:t>Article 10</w:t>
      </w:r>
    </w:p>
    <w:p w14:paraId="3F71B96B" w14:textId="77777777" w:rsidR="00521C02" w:rsidRPr="00150ABA" w:rsidRDefault="00521C02" w:rsidP="00521C02">
      <w:pPr>
        <w:spacing w:before="60"/>
        <w:ind w:left="2160" w:firstLine="720"/>
        <w:rPr>
          <w:rFonts w:eastAsia="Times New Roman"/>
          <w:b/>
          <w:bCs/>
          <w:noProof/>
          <w:szCs w:val="24"/>
          <w:lang w:eastAsia="en-GB"/>
        </w:rPr>
      </w:pPr>
      <w:r w:rsidRPr="00150ABA">
        <w:rPr>
          <w:rFonts w:eastAsia="Times New Roman"/>
          <w:b/>
          <w:bCs/>
          <w:noProof/>
          <w:szCs w:val="24"/>
          <w:lang w:eastAsia="en-GB"/>
        </w:rPr>
        <w:t>Programme Management Board</w:t>
      </w:r>
    </w:p>
    <w:p w14:paraId="709F035A" w14:textId="7DFAE8D5" w:rsidR="001C4D4F" w:rsidRPr="00150ABA" w:rsidRDefault="00D76D82" w:rsidP="00D76D82">
      <w:pPr>
        <w:pStyle w:val="ManualNumPar1"/>
        <w:rPr>
          <w:noProof/>
        </w:rPr>
      </w:pPr>
      <w:r w:rsidRPr="00D76D82">
        <w:t>1.</w:t>
      </w:r>
      <w:r w:rsidRPr="00D76D82">
        <w:tab/>
      </w:r>
      <w:r w:rsidR="00521C02" w:rsidRPr="00150ABA">
        <w:rPr>
          <w:noProof/>
          <w:lang w:eastAsia="en-GB"/>
        </w:rPr>
        <w:t xml:space="preserve">Prior to the design and development phase of the JITs collaboration platform, the </w:t>
      </w:r>
      <w:r w:rsidR="00521C02" w:rsidRPr="00150ABA">
        <w:rPr>
          <w:noProof/>
        </w:rPr>
        <w:t xml:space="preserve">Management Board of eu-LISA shall establish a Programme Management Board. </w:t>
      </w:r>
    </w:p>
    <w:p w14:paraId="446B3C7C" w14:textId="67493173" w:rsidR="001C4D4F" w:rsidRPr="00150ABA" w:rsidRDefault="00D76D82" w:rsidP="00D76D82">
      <w:pPr>
        <w:pStyle w:val="ManualNumPar1"/>
        <w:rPr>
          <w:noProof/>
        </w:rPr>
      </w:pPr>
      <w:r w:rsidRPr="00D76D82">
        <w:t>2.</w:t>
      </w:r>
      <w:r w:rsidRPr="00D76D82">
        <w:tab/>
      </w:r>
      <w:r w:rsidR="00521C02" w:rsidRPr="00150ABA">
        <w:rPr>
          <w:noProof/>
        </w:rPr>
        <w:t xml:space="preserve">The Programme Management Board shall be composed of </w:t>
      </w:r>
      <w:r w:rsidR="001C4D4F" w:rsidRPr="00150ABA">
        <w:rPr>
          <w:noProof/>
        </w:rPr>
        <w:t>ten members as follows:</w:t>
      </w:r>
    </w:p>
    <w:p w14:paraId="7CE46789" w14:textId="00F23789" w:rsidR="001C4D4F" w:rsidRPr="00150ABA" w:rsidRDefault="00D76D82" w:rsidP="00D76D82">
      <w:pPr>
        <w:pStyle w:val="Point0"/>
        <w:rPr>
          <w:noProof/>
        </w:rPr>
      </w:pPr>
      <w:r w:rsidRPr="00D76D82">
        <w:t>(a)</w:t>
      </w:r>
      <w:r w:rsidRPr="00D76D82">
        <w:tab/>
      </w:r>
      <w:r w:rsidR="00521C02" w:rsidRPr="00150ABA">
        <w:rPr>
          <w:noProof/>
        </w:rPr>
        <w:t>eight members appointed by the Management Board</w:t>
      </w:r>
      <w:r w:rsidR="001C4D4F" w:rsidRPr="00150ABA">
        <w:rPr>
          <w:noProof/>
        </w:rPr>
        <w:t>;</w:t>
      </w:r>
      <w:r w:rsidR="00521C02" w:rsidRPr="00150ABA">
        <w:rPr>
          <w:noProof/>
        </w:rPr>
        <w:t xml:space="preserve"> </w:t>
      </w:r>
    </w:p>
    <w:p w14:paraId="332F1BA5" w14:textId="7054D166" w:rsidR="001C4D4F" w:rsidRPr="00150ABA" w:rsidRDefault="00D76D82" w:rsidP="00D76D82">
      <w:pPr>
        <w:pStyle w:val="Point0"/>
        <w:rPr>
          <w:noProof/>
        </w:rPr>
      </w:pPr>
      <w:r w:rsidRPr="00D76D82">
        <w:t>(b)</w:t>
      </w:r>
      <w:r w:rsidRPr="00D76D82">
        <w:tab/>
      </w:r>
      <w:r w:rsidR="00521C02" w:rsidRPr="00150ABA">
        <w:rPr>
          <w:noProof/>
        </w:rPr>
        <w:t>the Chair of the Advisory Group referred to in Article 11</w:t>
      </w:r>
      <w:r w:rsidR="001C4D4F" w:rsidRPr="00150ABA">
        <w:rPr>
          <w:noProof/>
        </w:rPr>
        <w:t>;</w:t>
      </w:r>
      <w:r w:rsidR="00521C02" w:rsidRPr="00150ABA">
        <w:rPr>
          <w:noProof/>
        </w:rPr>
        <w:t xml:space="preserve"> </w:t>
      </w:r>
    </w:p>
    <w:p w14:paraId="1C28E386" w14:textId="52CBD26F" w:rsidR="001C4D4F" w:rsidRPr="00150ABA" w:rsidRDefault="00D76D82" w:rsidP="00D76D82">
      <w:pPr>
        <w:pStyle w:val="Point0"/>
        <w:rPr>
          <w:noProof/>
        </w:rPr>
      </w:pPr>
      <w:r w:rsidRPr="00D76D82">
        <w:t>(c)</w:t>
      </w:r>
      <w:r w:rsidRPr="00D76D82">
        <w:tab/>
      </w:r>
      <w:r w:rsidR="00521C02" w:rsidRPr="00150ABA">
        <w:rPr>
          <w:noProof/>
        </w:rPr>
        <w:t xml:space="preserve">one member appointed by the Commission. </w:t>
      </w:r>
    </w:p>
    <w:p w14:paraId="08E325E0" w14:textId="0F65E340" w:rsidR="00521C02" w:rsidRPr="00150ABA" w:rsidRDefault="00D76D82" w:rsidP="00D76D82">
      <w:pPr>
        <w:pStyle w:val="ManualNumPar1"/>
        <w:rPr>
          <w:noProof/>
        </w:rPr>
      </w:pPr>
      <w:r w:rsidRPr="00D76D82">
        <w:t>3.</w:t>
      </w:r>
      <w:r w:rsidRPr="00D76D82">
        <w:tab/>
      </w:r>
      <w:r w:rsidR="00521C02" w:rsidRPr="00150ABA">
        <w:rPr>
          <w:noProof/>
        </w:rPr>
        <w:t>The Management Board</w:t>
      </w:r>
      <w:r w:rsidR="00DD006B" w:rsidRPr="00150ABA">
        <w:rPr>
          <w:noProof/>
        </w:rPr>
        <w:t xml:space="preserve"> of eu-LISA</w:t>
      </w:r>
      <w:r w:rsidR="00521C02" w:rsidRPr="00150ABA">
        <w:rPr>
          <w:noProof/>
        </w:rPr>
        <w:t xml:space="preserve"> shall ensure that the members it appoints to the Programme Management Board have the necessary experience and expertise in the development and management of IT systems supporting judicial authorities. </w:t>
      </w:r>
    </w:p>
    <w:p w14:paraId="0D30BA5A" w14:textId="4D213E75" w:rsidR="00521C02" w:rsidRPr="00150ABA" w:rsidRDefault="00D76D82" w:rsidP="00D76D82">
      <w:pPr>
        <w:pStyle w:val="ManualNumPar1"/>
        <w:rPr>
          <w:noProof/>
        </w:rPr>
      </w:pPr>
      <w:r w:rsidRPr="00D76D82">
        <w:t>4.</w:t>
      </w:r>
      <w:r w:rsidRPr="00D76D82">
        <w:tab/>
      </w:r>
      <w:r w:rsidR="00521C02" w:rsidRPr="00150ABA">
        <w:rPr>
          <w:noProof/>
        </w:rPr>
        <w:t xml:space="preserve">eu-LISA shall participate in the work of the Programme Management Board. To that end, representatives of eu-LISA shall attend the meetings of the Programme Management Board in order to report on work regarding the design and development of the JITs collaboration platform and on any other related work and activities. </w:t>
      </w:r>
    </w:p>
    <w:p w14:paraId="2169B61C" w14:textId="52F6477C" w:rsidR="00521C02" w:rsidRPr="00150ABA" w:rsidRDefault="00D76D82" w:rsidP="00D76D82">
      <w:pPr>
        <w:pStyle w:val="ManualNumPar1"/>
        <w:rPr>
          <w:noProof/>
        </w:rPr>
      </w:pPr>
      <w:r w:rsidRPr="00D76D82">
        <w:t>5.</w:t>
      </w:r>
      <w:r w:rsidRPr="00D76D82">
        <w:tab/>
      </w:r>
      <w:r w:rsidR="00521C02" w:rsidRPr="00150ABA">
        <w:rPr>
          <w:noProof/>
        </w:rPr>
        <w:t xml:space="preserve">The Programme Management Board shall meet at least once every three months, and more often </w:t>
      </w:r>
      <w:r w:rsidR="00C75CE5" w:rsidRPr="00150ABA">
        <w:rPr>
          <w:noProof/>
        </w:rPr>
        <w:t xml:space="preserve">as </w:t>
      </w:r>
      <w:r w:rsidR="00521C02" w:rsidRPr="00150ABA">
        <w:rPr>
          <w:noProof/>
        </w:rPr>
        <w:t xml:space="preserve">necessary. It shall ensure the adequate management of the design and development phase of the JITs collaboration platform. The Programme Management Board shall submit written reports regularly </w:t>
      </w:r>
      <w:r w:rsidR="00C75CE5" w:rsidRPr="00150ABA">
        <w:rPr>
          <w:noProof/>
        </w:rPr>
        <w:t xml:space="preserve">to the Management Board of eu-LISA, </w:t>
      </w:r>
      <w:r w:rsidR="00521C02" w:rsidRPr="00150ABA">
        <w:rPr>
          <w:noProof/>
        </w:rPr>
        <w:t xml:space="preserve">and </w:t>
      </w:r>
      <w:r w:rsidR="00C75CE5" w:rsidRPr="00150ABA">
        <w:rPr>
          <w:noProof/>
        </w:rPr>
        <w:t>where</w:t>
      </w:r>
      <w:r w:rsidR="00521C02" w:rsidRPr="00150ABA">
        <w:rPr>
          <w:noProof/>
        </w:rPr>
        <w:t xml:space="preserve"> possible every month</w:t>
      </w:r>
      <w:r w:rsidR="00C75CE5" w:rsidRPr="00150ABA">
        <w:rPr>
          <w:noProof/>
        </w:rPr>
        <w:t>,</w:t>
      </w:r>
      <w:r w:rsidR="00521C02" w:rsidRPr="00150ABA">
        <w:rPr>
          <w:noProof/>
        </w:rPr>
        <w:t xml:space="preserve"> on the progress of the project. The Programme Management Board shall have no decision-making power nor any mandate to represent the members of the </w:t>
      </w:r>
      <w:r w:rsidR="00C75CE5" w:rsidRPr="00150ABA">
        <w:rPr>
          <w:noProof/>
        </w:rPr>
        <w:t xml:space="preserve">eu-LISA </w:t>
      </w:r>
      <w:r w:rsidR="00521C02" w:rsidRPr="00150ABA">
        <w:rPr>
          <w:noProof/>
        </w:rPr>
        <w:t>Management Board.</w:t>
      </w:r>
    </w:p>
    <w:p w14:paraId="6F7C187A" w14:textId="3CEC5E9B" w:rsidR="00521C02" w:rsidRPr="00150ABA" w:rsidRDefault="00D76D82" w:rsidP="00D76D82">
      <w:pPr>
        <w:pStyle w:val="ManualNumPar1"/>
        <w:rPr>
          <w:noProof/>
        </w:rPr>
      </w:pPr>
      <w:r w:rsidRPr="00D76D82">
        <w:t>6.</w:t>
      </w:r>
      <w:r w:rsidRPr="00D76D82">
        <w:tab/>
      </w:r>
      <w:r w:rsidR="00521C02" w:rsidRPr="00150ABA">
        <w:rPr>
          <w:noProof/>
        </w:rPr>
        <w:t>The Programme Management Board shall establish its rules of procedure which shall include in particular rules on chairmanship</w:t>
      </w:r>
      <w:r w:rsidR="00C75CE5" w:rsidRPr="00150ABA">
        <w:rPr>
          <w:noProof/>
        </w:rPr>
        <w:t>,</w:t>
      </w:r>
      <w:r w:rsidR="00521C02" w:rsidRPr="00150ABA">
        <w:rPr>
          <w:noProof/>
        </w:rPr>
        <w:t xml:space="preserve"> meeting venues</w:t>
      </w:r>
      <w:r w:rsidR="00C75CE5" w:rsidRPr="00150ABA">
        <w:rPr>
          <w:noProof/>
        </w:rPr>
        <w:t>,</w:t>
      </w:r>
      <w:r w:rsidR="00521C02" w:rsidRPr="00150ABA">
        <w:rPr>
          <w:noProof/>
        </w:rPr>
        <w:t xml:space="preserve"> preparation of meetings</w:t>
      </w:r>
      <w:r w:rsidR="00C75CE5" w:rsidRPr="00150ABA">
        <w:rPr>
          <w:noProof/>
        </w:rPr>
        <w:t>,</w:t>
      </w:r>
      <w:r w:rsidR="00521C02" w:rsidRPr="00150ABA">
        <w:rPr>
          <w:noProof/>
        </w:rPr>
        <w:t xml:space="preserve"> admission of experts to the meetings</w:t>
      </w:r>
      <w:r w:rsidR="00C75CE5" w:rsidRPr="00150ABA">
        <w:rPr>
          <w:noProof/>
        </w:rPr>
        <w:t>,</w:t>
      </w:r>
      <w:r w:rsidR="00521C02" w:rsidRPr="00150ABA">
        <w:rPr>
          <w:noProof/>
        </w:rPr>
        <w:t xml:space="preserve"> communication plans ensuring that non-participating Members of the </w:t>
      </w:r>
      <w:r w:rsidR="00D12BC9" w:rsidRPr="00150ABA">
        <w:rPr>
          <w:noProof/>
        </w:rPr>
        <w:t xml:space="preserve">eu-LISA </w:t>
      </w:r>
      <w:r w:rsidR="00521C02" w:rsidRPr="00150ABA">
        <w:rPr>
          <w:noProof/>
        </w:rPr>
        <w:t xml:space="preserve">Management Board are kept fully informed. </w:t>
      </w:r>
    </w:p>
    <w:p w14:paraId="06C3E507" w14:textId="08D05F80" w:rsidR="00521C02" w:rsidRPr="00150ABA" w:rsidRDefault="00D76D82" w:rsidP="00D76D82">
      <w:pPr>
        <w:pStyle w:val="ManualNumPar1"/>
        <w:rPr>
          <w:noProof/>
        </w:rPr>
      </w:pPr>
      <w:r w:rsidRPr="00D76D82">
        <w:t>7.</w:t>
      </w:r>
      <w:r w:rsidRPr="00D76D82">
        <w:tab/>
      </w:r>
      <w:r w:rsidR="00521C02" w:rsidRPr="00150ABA">
        <w:rPr>
          <w:noProof/>
        </w:rPr>
        <w:t>The chairmanship of the Programme Management Board shall be held by a Member State.</w:t>
      </w:r>
    </w:p>
    <w:p w14:paraId="2435F5D1" w14:textId="13178830" w:rsidR="00521C02" w:rsidRPr="00150ABA" w:rsidRDefault="00D76D82" w:rsidP="00D76D82">
      <w:pPr>
        <w:pStyle w:val="ManualNumPar1"/>
        <w:rPr>
          <w:noProof/>
          <w:lang w:eastAsia="en-GB"/>
        </w:rPr>
      </w:pPr>
      <w:r w:rsidRPr="00D76D82">
        <w:t>8.</w:t>
      </w:r>
      <w:r w:rsidRPr="00D76D82">
        <w:tab/>
      </w:r>
      <w:r w:rsidR="00521C02" w:rsidRPr="00150ABA">
        <w:rPr>
          <w:noProof/>
          <w:lang w:eastAsia="en-GB"/>
        </w:rPr>
        <w:t>The Programme Management Board's secretariat shall be ensured by eu-LISA.</w:t>
      </w:r>
    </w:p>
    <w:p w14:paraId="1474F3CE" w14:textId="77777777" w:rsidR="00521C02" w:rsidRPr="00150ABA" w:rsidRDefault="00521C02" w:rsidP="00FF717F">
      <w:pPr>
        <w:pStyle w:val="Titrearticle"/>
        <w:rPr>
          <w:noProof/>
          <w:lang w:eastAsia="en-GB"/>
        </w:rPr>
      </w:pPr>
      <w:r w:rsidRPr="00150ABA">
        <w:rPr>
          <w:noProof/>
          <w:lang w:eastAsia="en-GB"/>
        </w:rPr>
        <w:t>Article 11</w:t>
      </w:r>
    </w:p>
    <w:p w14:paraId="65B9E5AC" w14:textId="77777777" w:rsidR="00521C02" w:rsidRPr="00150ABA" w:rsidRDefault="00521C02" w:rsidP="00521C02">
      <w:pPr>
        <w:spacing w:before="60"/>
        <w:jc w:val="center"/>
        <w:rPr>
          <w:rFonts w:eastAsia="Times New Roman"/>
          <w:b/>
          <w:noProof/>
          <w:szCs w:val="24"/>
          <w:lang w:eastAsia="en-GB"/>
        </w:rPr>
      </w:pPr>
      <w:r w:rsidRPr="00150ABA">
        <w:rPr>
          <w:rFonts w:eastAsia="Times New Roman"/>
          <w:b/>
          <w:noProof/>
          <w:szCs w:val="24"/>
          <w:lang w:eastAsia="en-GB"/>
        </w:rPr>
        <w:t>Advisory Group</w:t>
      </w:r>
    </w:p>
    <w:p w14:paraId="27ACEE66" w14:textId="678FCF7B" w:rsidR="00521C02" w:rsidRPr="00150ABA" w:rsidRDefault="00D76D82" w:rsidP="00D76D82">
      <w:pPr>
        <w:pStyle w:val="ManualNumPar1"/>
        <w:rPr>
          <w:noProof/>
        </w:rPr>
      </w:pPr>
      <w:r w:rsidRPr="00D76D82">
        <w:t>1.</w:t>
      </w:r>
      <w:r w:rsidRPr="00D76D82">
        <w:tab/>
      </w:r>
      <w:r w:rsidR="00521C02" w:rsidRPr="00150ABA">
        <w:rPr>
          <w:noProof/>
          <w:lang w:eastAsia="en-GB"/>
        </w:rPr>
        <w:t xml:space="preserve">eu-LISA </w:t>
      </w:r>
      <w:r w:rsidR="00521C02" w:rsidRPr="00150ABA">
        <w:rPr>
          <w:noProof/>
        </w:rPr>
        <w:t xml:space="preserve">shall establish an Advisory Group in order to obtain expertise related to the JITs collaboration platform, in particular in the context of preparation of its annual work programme and its annual activity report. </w:t>
      </w:r>
    </w:p>
    <w:p w14:paraId="30427CA6" w14:textId="08134D79" w:rsidR="00A72E34" w:rsidRPr="00150ABA" w:rsidRDefault="00D76D82" w:rsidP="00D76D82">
      <w:pPr>
        <w:pStyle w:val="ManualNumPar1"/>
        <w:rPr>
          <w:noProof/>
          <w:lang w:eastAsia="en-GB"/>
        </w:rPr>
      </w:pPr>
      <w:r w:rsidRPr="00D76D82">
        <w:t>2.</w:t>
      </w:r>
      <w:r w:rsidRPr="00D76D82">
        <w:tab/>
      </w:r>
      <w:r w:rsidR="00521C02" w:rsidRPr="00150ABA">
        <w:rPr>
          <w:noProof/>
        </w:rPr>
        <w:t>During the design and development phase</w:t>
      </w:r>
      <w:r w:rsidR="00290ECE" w:rsidRPr="00150ABA">
        <w:rPr>
          <w:noProof/>
        </w:rPr>
        <w:t xml:space="preserve"> of the JITs collaboration platform</w:t>
      </w:r>
      <w:r w:rsidR="00521C02" w:rsidRPr="00150ABA">
        <w:rPr>
          <w:noProof/>
        </w:rPr>
        <w:t>, the Advisory Group shall be composed of the representatives</w:t>
      </w:r>
      <w:r w:rsidR="00521C02" w:rsidRPr="00150ABA">
        <w:rPr>
          <w:noProof/>
          <w:lang w:eastAsia="en-GB"/>
        </w:rPr>
        <w:t xml:space="preserve"> of the Member States</w:t>
      </w:r>
      <w:r w:rsidR="0030009B" w:rsidRPr="00150ABA">
        <w:rPr>
          <w:noProof/>
          <w:lang w:eastAsia="en-GB"/>
        </w:rPr>
        <w:t xml:space="preserve">, the Commission and the </w:t>
      </w:r>
      <w:r w:rsidR="00804AAC" w:rsidRPr="00150ABA">
        <w:rPr>
          <w:noProof/>
          <w:lang w:eastAsia="en-GB"/>
        </w:rPr>
        <w:t>JIT Secretariat</w:t>
      </w:r>
      <w:r w:rsidR="0030009B" w:rsidRPr="00150ABA">
        <w:rPr>
          <w:noProof/>
          <w:lang w:eastAsia="en-GB"/>
        </w:rPr>
        <w:t>.</w:t>
      </w:r>
      <w:r w:rsidR="00804AAC" w:rsidRPr="00150ABA">
        <w:rPr>
          <w:noProof/>
          <w:lang w:eastAsia="en-GB"/>
        </w:rPr>
        <w:t xml:space="preserve"> </w:t>
      </w:r>
      <w:r w:rsidR="0030009B" w:rsidRPr="00150ABA">
        <w:rPr>
          <w:noProof/>
          <w:lang w:eastAsia="en-GB"/>
        </w:rPr>
        <w:t xml:space="preserve">It shall </w:t>
      </w:r>
      <w:r w:rsidR="00521C02" w:rsidRPr="00150ABA">
        <w:rPr>
          <w:noProof/>
          <w:lang w:eastAsia="en-GB"/>
        </w:rPr>
        <w:t xml:space="preserve">be chaired by eu-LISA. </w:t>
      </w:r>
      <w:r w:rsidR="00290ECE" w:rsidRPr="00150ABA">
        <w:rPr>
          <w:noProof/>
          <w:lang w:eastAsia="en-GB"/>
        </w:rPr>
        <w:t>I</w:t>
      </w:r>
      <w:r w:rsidR="00A72E34" w:rsidRPr="00150ABA">
        <w:rPr>
          <w:noProof/>
          <w:lang w:eastAsia="en-GB"/>
        </w:rPr>
        <w:t>t shall:</w:t>
      </w:r>
      <w:r w:rsidR="00521C02" w:rsidRPr="00150ABA">
        <w:rPr>
          <w:noProof/>
          <w:lang w:eastAsia="en-GB"/>
        </w:rPr>
        <w:t xml:space="preserve"> </w:t>
      </w:r>
    </w:p>
    <w:p w14:paraId="01B4ABA0" w14:textId="7E7C77F7" w:rsidR="00C24D2B" w:rsidRPr="00150ABA" w:rsidRDefault="00D76D82" w:rsidP="00D76D82">
      <w:pPr>
        <w:pStyle w:val="Point0"/>
        <w:rPr>
          <w:noProof/>
          <w:lang w:eastAsia="en-GB"/>
        </w:rPr>
      </w:pPr>
      <w:r w:rsidRPr="00D76D82">
        <w:t>(a)</w:t>
      </w:r>
      <w:r w:rsidRPr="00D76D82">
        <w:tab/>
      </w:r>
      <w:r w:rsidR="00521C02" w:rsidRPr="00150ABA">
        <w:rPr>
          <w:bCs/>
          <w:noProof/>
          <w:lang w:eastAsia="en-GB"/>
        </w:rPr>
        <w:t>meet</w:t>
      </w:r>
      <w:r w:rsidR="00521C02" w:rsidRPr="00150ABA">
        <w:rPr>
          <w:noProof/>
          <w:lang w:eastAsia="en-GB"/>
        </w:rPr>
        <w:t xml:space="preserve"> regularly, </w:t>
      </w:r>
      <w:r w:rsidR="00290ECE" w:rsidRPr="00150ABA">
        <w:rPr>
          <w:noProof/>
          <w:lang w:eastAsia="en-GB"/>
        </w:rPr>
        <w:t>where</w:t>
      </w:r>
      <w:r w:rsidR="00521C02" w:rsidRPr="00150ABA">
        <w:rPr>
          <w:noProof/>
          <w:lang w:eastAsia="en-GB"/>
        </w:rPr>
        <w:t xml:space="preserve"> possible at least once a month, until the start of operations of the JITs collaboration platform</w:t>
      </w:r>
      <w:r w:rsidR="00A72E34" w:rsidRPr="00150ABA">
        <w:rPr>
          <w:noProof/>
          <w:lang w:eastAsia="en-GB"/>
        </w:rPr>
        <w:t>;</w:t>
      </w:r>
      <w:r w:rsidR="00521C02" w:rsidRPr="00150ABA">
        <w:rPr>
          <w:noProof/>
          <w:lang w:eastAsia="en-GB"/>
        </w:rPr>
        <w:t xml:space="preserve"> </w:t>
      </w:r>
    </w:p>
    <w:p w14:paraId="0B28B8E6" w14:textId="51F9FD6F" w:rsidR="00C24D2B" w:rsidRPr="00150ABA" w:rsidRDefault="00D76D82" w:rsidP="00D76D82">
      <w:pPr>
        <w:pStyle w:val="Point0"/>
        <w:rPr>
          <w:noProof/>
          <w:lang w:eastAsia="en-GB"/>
        </w:rPr>
      </w:pPr>
      <w:r w:rsidRPr="00D76D82">
        <w:t>(b)</w:t>
      </w:r>
      <w:r w:rsidRPr="00D76D82">
        <w:tab/>
      </w:r>
      <w:r w:rsidR="00521C02" w:rsidRPr="00150ABA">
        <w:rPr>
          <w:noProof/>
          <w:lang w:eastAsia="en-GB"/>
        </w:rPr>
        <w:t>report after each meeting to the Programme Management Board</w:t>
      </w:r>
      <w:r w:rsidR="00A72E34" w:rsidRPr="00150ABA">
        <w:rPr>
          <w:noProof/>
          <w:lang w:eastAsia="en-GB"/>
        </w:rPr>
        <w:t>;</w:t>
      </w:r>
      <w:r w:rsidR="00521C02" w:rsidRPr="00150ABA">
        <w:rPr>
          <w:noProof/>
          <w:lang w:eastAsia="en-GB"/>
        </w:rPr>
        <w:t xml:space="preserve"> </w:t>
      </w:r>
    </w:p>
    <w:p w14:paraId="344A03A2" w14:textId="4C401888" w:rsidR="00521C02" w:rsidRPr="00150ABA" w:rsidRDefault="00D76D82" w:rsidP="00D76D82">
      <w:pPr>
        <w:pStyle w:val="Point0"/>
        <w:rPr>
          <w:noProof/>
          <w:lang w:eastAsia="en-GB"/>
        </w:rPr>
      </w:pPr>
      <w:r w:rsidRPr="00D76D82">
        <w:t>(c)</w:t>
      </w:r>
      <w:r w:rsidRPr="00D76D82">
        <w:tab/>
      </w:r>
      <w:r w:rsidR="00521C02" w:rsidRPr="00150ABA">
        <w:rPr>
          <w:noProof/>
          <w:lang w:eastAsia="en-GB"/>
        </w:rPr>
        <w:t>provide the technical expertise to support the tasks of the Programme Management Board.</w:t>
      </w:r>
    </w:p>
    <w:p w14:paraId="167A318A" w14:textId="77777777" w:rsidR="00521C02" w:rsidRPr="00150ABA" w:rsidRDefault="00521C02" w:rsidP="00521C02">
      <w:pPr>
        <w:spacing w:before="60"/>
        <w:rPr>
          <w:rFonts w:eastAsia="Times New Roman"/>
          <w:bCs/>
          <w:noProof/>
          <w:szCs w:val="24"/>
          <w:lang w:eastAsia="en-GB"/>
        </w:rPr>
      </w:pPr>
    </w:p>
    <w:p w14:paraId="68CB419A" w14:textId="77777777" w:rsidR="00521C02" w:rsidRPr="00150ABA" w:rsidRDefault="00521C02" w:rsidP="00521C02">
      <w:pPr>
        <w:spacing w:before="60"/>
        <w:jc w:val="center"/>
        <w:rPr>
          <w:rFonts w:eastAsia="Times New Roman"/>
          <w:b/>
          <w:bCs/>
          <w:iCs/>
          <w:noProof/>
          <w:szCs w:val="24"/>
          <w:lang w:eastAsia="en-GB"/>
        </w:rPr>
      </w:pPr>
      <w:r w:rsidRPr="00150ABA">
        <w:rPr>
          <w:rFonts w:eastAsia="Times New Roman"/>
          <w:b/>
          <w:bCs/>
          <w:iCs/>
          <w:noProof/>
          <w:szCs w:val="24"/>
          <w:lang w:eastAsia="en-GB"/>
        </w:rPr>
        <w:t>CHAPTER III</w:t>
      </w:r>
    </w:p>
    <w:p w14:paraId="58A0978F" w14:textId="77777777" w:rsidR="00521C02" w:rsidRPr="00150ABA" w:rsidRDefault="00521C02" w:rsidP="00521C02">
      <w:pPr>
        <w:spacing w:before="60"/>
        <w:jc w:val="center"/>
        <w:rPr>
          <w:rFonts w:eastAsia="Times New Roman"/>
          <w:b/>
          <w:bCs/>
          <w:i/>
          <w:iCs/>
          <w:noProof/>
          <w:szCs w:val="24"/>
          <w:lang w:eastAsia="en-GB"/>
        </w:rPr>
      </w:pPr>
      <w:r w:rsidRPr="00150ABA">
        <w:rPr>
          <w:rFonts w:eastAsia="Times New Roman"/>
          <w:b/>
          <w:bCs/>
          <w:i/>
          <w:iCs/>
          <w:noProof/>
          <w:szCs w:val="24"/>
          <w:lang w:eastAsia="en-GB"/>
        </w:rPr>
        <w:t>Access to the JITs collaboration platform</w:t>
      </w:r>
    </w:p>
    <w:p w14:paraId="23E32C9B" w14:textId="77777777" w:rsidR="00521C02" w:rsidRPr="00150ABA" w:rsidRDefault="00521C02" w:rsidP="00FF717F">
      <w:pPr>
        <w:pStyle w:val="Titrearticle"/>
        <w:rPr>
          <w:noProof/>
          <w:lang w:eastAsia="en-GB"/>
        </w:rPr>
      </w:pPr>
      <w:r w:rsidRPr="00150ABA">
        <w:rPr>
          <w:noProof/>
          <w:lang w:eastAsia="en-GB"/>
        </w:rPr>
        <w:t>Article 1</w:t>
      </w:r>
      <w:r w:rsidR="006B7969" w:rsidRPr="00150ABA">
        <w:rPr>
          <w:noProof/>
          <w:lang w:eastAsia="en-GB"/>
        </w:rPr>
        <w:t>2</w:t>
      </w:r>
    </w:p>
    <w:p w14:paraId="5D33001D" w14:textId="77777777" w:rsidR="00521C02" w:rsidRPr="00150ABA" w:rsidRDefault="00521C02" w:rsidP="00521C02">
      <w:pPr>
        <w:shd w:val="clear" w:color="auto" w:fill="FFFFFF" w:themeFill="background1"/>
        <w:spacing w:before="60" w:line="312" w:lineRule="atLeast"/>
        <w:jc w:val="center"/>
        <w:rPr>
          <w:rFonts w:eastAsia="Times New Roman"/>
          <w:b/>
          <w:bCs/>
          <w:noProof/>
          <w:szCs w:val="24"/>
          <w:lang w:eastAsia="en-GB"/>
        </w:rPr>
      </w:pPr>
      <w:r w:rsidRPr="00150ABA">
        <w:rPr>
          <w:rFonts w:eastAsia="Times New Roman"/>
          <w:b/>
          <w:bCs/>
          <w:noProof/>
          <w:szCs w:val="24"/>
          <w:lang w:eastAsia="en-GB"/>
        </w:rPr>
        <w:t xml:space="preserve">Access to the JIT collaboration </w:t>
      </w:r>
      <w:r w:rsidR="00023350" w:rsidRPr="00150ABA">
        <w:rPr>
          <w:rFonts w:eastAsia="Times New Roman"/>
          <w:b/>
          <w:bCs/>
          <w:noProof/>
          <w:szCs w:val="24"/>
          <w:lang w:eastAsia="en-GB"/>
        </w:rPr>
        <w:t xml:space="preserve">spaces </w:t>
      </w:r>
      <w:r w:rsidRPr="00150ABA">
        <w:rPr>
          <w:rFonts w:eastAsia="Times New Roman"/>
          <w:b/>
          <w:bCs/>
          <w:noProof/>
          <w:szCs w:val="24"/>
          <w:lang w:eastAsia="en-GB"/>
        </w:rPr>
        <w:t>by Member States’ competent authorities</w:t>
      </w:r>
    </w:p>
    <w:p w14:paraId="08982F28" w14:textId="76DE611A" w:rsidR="00521C02" w:rsidRPr="00150ABA" w:rsidRDefault="00D76D82" w:rsidP="00D76D82">
      <w:pPr>
        <w:pStyle w:val="ManualNumPar1"/>
        <w:rPr>
          <w:noProof/>
          <w:lang w:eastAsia="en-GB"/>
        </w:rPr>
      </w:pPr>
      <w:r w:rsidRPr="00D76D82">
        <w:t>1.</w:t>
      </w:r>
      <w:r w:rsidRPr="00D76D82">
        <w:tab/>
      </w:r>
      <w:r w:rsidR="00BA5EB3" w:rsidRPr="00150ABA">
        <w:rPr>
          <w:noProof/>
          <w:lang w:eastAsia="en-GB"/>
        </w:rPr>
        <w:t xml:space="preserve">Following the signature of </w:t>
      </w:r>
      <w:r w:rsidR="00290ECE" w:rsidRPr="00150ABA">
        <w:rPr>
          <w:noProof/>
          <w:lang w:eastAsia="en-GB"/>
        </w:rPr>
        <w:t xml:space="preserve">a </w:t>
      </w:r>
      <w:r w:rsidR="00BA5EB3" w:rsidRPr="00150ABA">
        <w:rPr>
          <w:noProof/>
          <w:lang w:eastAsia="en-GB"/>
        </w:rPr>
        <w:t>JIT agreement</w:t>
      </w:r>
      <w:r w:rsidR="00E550BA" w:rsidRPr="00150ABA">
        <w:rPr>
          <w:noProof/>
          <w:lang w:eastAsia="en-GB"/>
        </w:rPr>
        <w:t>,</w:t>
      </w:r>
      <w:r w:rsidR="00BA5EB3" w:rsidRPr="00150ABA">
        <w:rPr>
          <w:noProof/>
          <w:lang w:eastAsia="en-GB"/>
        </w:rPr>
        <w:t xml:space="preserve"> </w:t>
      </w:r>
      <w:r w:rsidR="00521C02" w:rsidRPr="00150ABA">
        <w:rPr>
          <w:noProof/>
          <w:lang w:eastAsia="en-GB"/>
        </w:rPr>
        <w:t>a JIT collaboration space shall be created within the JIT</w:t>
      </w:r>
      <w:r w:rsidR="00160ED8" w:rsidRPr="00150ABA">
        <w:rPr>
          <w:noProof/>
          <w:lang w:eastAsia="en-GB"/>
        </w:rPr>
        <w:t>s</w:t>
      </w:r>
      <w:r w:rsidR="00521C02" w:rsidRPr="00150ABA">
        <w:rPr>
          <w:noProof/>
          <w:lang w:eastAsia="en-GB"/>
        </w:rPr>
        <w:t xml:space="preserve"> collaboration platform</w:t>
      </w:r>
      <w:r w:rsidR="00BA5EB3" w:rsidRPr="00150ABA">
        <w:rPr>
          <w:noProof/>
          <w:lang w:eastAsia="en-GB"/>
        </w:rPr>
        <w:t xml:space="preserve"> for each JIT</w:t>
      </w:r>
      <w:r w:rsidR="00521C02" w:rsidRPr="00150ABA">
        <w:rPr>
          <w:noProof/>
          <w:lang w:eastAsia="en-GB"/>
        </w:rPr>
        <w:t>.</w:t>
      </w:r>
    </w:p>
    <w:p w14:paraId="5155C41B" w14:textId="1DCDAFCF" w:rsidR="00521C02" w:rsidRPr="00150ABA" w:rsidRDefault="00D76D82" w:rsidP="00D76D82">
      <w:pPr>
        <w:pStyle w:val="ManualNumPar1"/>
        <w:rPr>
          <w:noProof/>
          <w:lang w:eastAsia="en-GB"/>
        </w:rPr>
      </w:pPr>
      <w:r w:rsidRPr="00D76D82">
        <w:t>2.</w:t>
      </w:r>
      <w:r w:rsidRPr="00D76D82">
        <w:tab/>
      </w:r>
      <w:r w:rsidR="00BA5EB3" w:rsidRPr="00150ABA">
        <w:rPr>
          <w:noProof/>
          <w:lang w:eastAsia="en-GB"/>
        </w:rPr>
        <w:t>The JIT collaboration space</w:t>
      </w:r>
      <w:r w:rsidR="00BA5EB3" w:rsidRPr="00150ABA" w:rsidDel="00BA5EB3">
        <w:rPr>
          <w:noProof/>
          <w:lang w:eastAsia="en-GB"/>
        </w:rPr>
        <w:t xml:space="preserve"> </w:t>
      </w:r>
      <w:r w:rsidR="00BA5EB3" w:rsidRPr="00150ABA">
        <w:rPr>
          <w:noProof/>
          <w:lang w:eastAsia="en-GB"/>
        </w:rPr>
        <w:t xml:space="preserve">shall be opened by </w:t>
      </w:r>
      <w:r w:rsidR="00521C02" w:rsidRPr="00150ABA">
        <w:rPr>
          <w:noProof/>
          <w:lang w:eastAsia="en-GB"/>
        </w:rPr>
        <w:t xml:space="preserve">the JIT </w:t>
      </w:r>
      <w:r w:rsidR="00A12D6F" w:rsidRPr="00150ABA">
        <w:rPr>
          <w:noProof/>
          <w:lang w:eastAsia="en-GB"/>
        </w:rPr>
        <w:t>space administrator</w:t>
      </w:r>
      <w:r w:rsidR="00290ECE" w:rsidRPr="00150ABA">
        <w:rPr>
          <w:noProof/>
          <w:lang w:eastAsia="en-GB"/>
        </w:rPr>
        <w:t xml:space="preserve"> or administrator</w:t>
      </w:r>
      <w:r w:rsidR="00521C02" w:rsidRPr="00150ABA">
        <w:rPr>
          <w:noProof/>
          <w:lang w:eastAsia="en-GB"/>
        </w:rPr>
        <w:t>s, with the technical support of eu-LISA</w:t>
      </w:r>
      <w:r w:rsidR="00BA5EB3" w:rsidRPr="00150ABA">
        <w:rPr>
          <w:noProof/>
          <w:lang w:eastAsia="en-GB"/>
        </w:rPr>
        <w:t>.</w:t>
      </w:r>
    </w:p>
    <w:p w14:paraId="625130F3" w14:textId="54C4D289" w:rsidR="00521C02" w:rsidRPr="00150ABA" w:rsidRDefault="00D76D82" w:rsidP="00D76D82">
      <w:pPr>
        <w:pStyle w:val="ManualNumPar1"/>
        <w:rPr>
          <w:noProof/>
          <w:lang w:eastAsia="en-GB"/>
        </w:rPr>
      </w:pPr>
      <w:r w:rsidRPr="00D76D82">
        <w:t>3.</w:t>
      </w:r>
      <w:r w:rsidRPr="00D76D82">
        <w:tab/>
      </w:r>
      <w:r w:rsidR="00290ECE" w:rsidRPr="00150ABA">
        <w:rPr>
          <w:noProof/>
          <w:lang w:eastAsia="en-GB"/>
        </w:rPr>
        <w:t>T</w:t>
      </w:r>
      <w:r w:rsidR="00521C02" w:rsidRPr="00150ABA">
        <w:rPr>
          <w:noProof/>
          <w:lang w:eastAsia="en-GB"/>
        </w:rPr>
        <w:t xml:space="preserve">he JIT </w:t>
      </w:r>
      <w:r w:rsidR="00A12D6F" w:rsidRPr="00150ABA">
        <w:rPr>
          <w:noProof/>
          <w:lang w:eastAsia="en-GB"/>
        </w:rPr>
        <w:t>space administrator</w:t>
      </w:r>
      <w:r w:rsidR="00290ECE" w:rsidRPr="00150ABA">
        <w:rPr>
          <w:noProof/>
          <w:lang w:eastAsia="en-GB"/>
        </w:rPr>
        <w:t xml:space="preserve"> or administrator</w:t>
      </w:r>
      <w:r w:rsidR="00521C02" w:rsidRPr="00150ABA">
        <w:rPr>
          <w:noProof/>
          <w:lang w:eastAsia="en-GB"/>
        </w:rPr>
        <w:t xml:space="preserve">s shall </w:t>
      </w:r>
      <w:r w:rsidR="00290ECE" w:rsidRPr="00150ABA">
        <w:rPr>
          <w:noProof/>
          <w:lang w:eastAsia="en-GB"/>
        </w:rPr>
        <w:t xml:space="preserve">establish the </w:t>
      </w:r>
      <w:r w:rsidR="00521C02" w:rsidRPr="00150ABA">
        <w:rPr>
          <w:noProof/>
          <w:lang w:eastAsia="en-GB"/>
        </w:rPr>
        <w:t>access rights of the JIT</w:t>
      </w:r>
      <w:r w:rsidR="00E27052" w:rsidRPr="00150ABA">
        <w:rPr>
          <w:noProof/>
          <w:lang w:eastAsia="en-GB"/>
        </w:rPr>
        <w:t>s</w:t>
      </w:r>
      <w:r w:rsidR="00521C02" w:rsidRPr="00150ABA">
        <w:rPr>
          <w:noProof/>
          <w:lang w:eastAsia="en-GB"/>
        </w:rPr>
        <w:t xml:space="preserve"> collaboration platform users to the JIT collaboration space</w:t>
      </w:r>
      <w:r w:rsidR="00290ECE" w:rsidRPr="00150ABA">
        <w:rPr>
          <w:noProof/>
          <w:lang w:eastAsia="en-GB"/>
        </w:rPr>
        <w:t>, on the basis of the JIT agreement</w:t>
      </w:r>
      <w:r w:rsidR="00521C02" w:rsidRPr="00150ABA">
        <w:rPr>
          <w:noProof/>
          <w:lang w:eastAsia="en-GB"/>
        </w:rPr>
        <w:t xml:space="preserve">. </w:t>
      </w:r>
    </w:p>
    <w:p w14:paraId="3FD5E235" w14:textId="77777777" w:rsidR="00521C02" w:rsidRPr="00150ABA" w:rsidRDefault="00521C02" w:rsidP="00FF717F">
      <w:pPr>
        <w:pStyle w:val="Titrearticle"/>
        <w:rPr>
          <w:noProof/>
          <w:lang w:eastAsia="en-GB"/>
        </w:rPr>
      </w:pPr>
      <w:r w:rsidRPr="00150ABA">
        <w:rPr>
          <w:noProof/>
          <w:lang w:eastAsia="en-GB"/>
        </w:rPr>
        <w:t>Article 1</w:t>
      </w:r>
      <w:r w:rsidR="006B7969" w:rsidRPr="00150ABA">
        <w:rPr>
          <w:noProof/>
          <w:lang w:eastAsia="en-GB"/>
        </w:rPr>
        <w:t>3</w:t>
      </w:r>
    </w:p>
    <w:p w14:paraId="0B53DAE8" w14:textId="534F6E21" w:rsidR="00521C02" w:rsidRPr="00150ABA" w:rsidRDefault="00521C02" w:rsidP="00521C02">
      <w:pPr>
        <w:shd w:val="clear" w:color="auto" w:fill="FFFFFF" w:themeFill="background1"/>
        <w:spacing w:before="60" w:line="312" w:lineRule="atLeast"/>
        <w:jc w:val="center"/>
        <w:rPr>
          <w:b/>
          <w:bCs/>
          <w:noProof/>
          <w:szCs w:val="24"/>
          <w:lang w:eastAsia="en-GB"/>
        </w:rPr>
      </w:pPr>
      <w:r w:rsidRPr="00150ABA">
        <w:rPr>
          <w:b/>
          <w:bCs/>
          <w:noProof/>
          <w:szCs w:val="24"/>
          <w:lang w:eastAsia="en-GB"/>
        </w:rPr>
        <w:t xml:space="preserve">Access to the JIT collaboration </w:t>
      </w:r>
      <w:r w:rsidR="00023350" w:rsidRPr="00150ABA">
        <w:rPr>
          <w:b/>
          <w:bCs/>
          <w:noProof/>
          <w:szCs w:val="24"/>
          <w:lang w:eastAsia="en-GB"/>
        </w:rPr>
        <w:t xml:space="preserve">spaces </w:t>
      </w:r>
      <w:r w:rsidRPr="00150ABA">
        <w:rPr>
          <w:b/>
          <w:bCs/>
          <w:noProof/>
          <w:szCs w:val="24"/>
          <w:lang w:eastAsia="en-GB"/>
        </w:rPr>
        <w:t xml:space="preserve">by </w:t>
      </w:r>
      <w:r w:rsidR="006C7F91" w:rsidRPr="00150ABA">
        <w:rPr>
          <w:b/>
          <w:bCs/>
          <w:noProof/>
          <w:szCs w:val="24"/>
          <w:lang w:eastAsia="en-GB"/>
        </w:rPr>
        <w:t xml:space="preserve">competent </w:t>
      </w:r>
      <w:r w:rsidR="006C7F91" w:rsidRPr="00150ABA">
        <w:rPr>
          <w:rFonts w:eastAsia="Times New Roman"/>
          <w:b/>
          <w:bCs/>
          <w:noProof/>
          <w:szCs w:val="24"/>
          <w:lang w:eastAsia="en-GB"/>
        </w:rPr>
        <w:t>Union bodies, offices and agencies</w:t>
      </w:r>
      <w:r w:rsidR="006C7F91" w:rsidRPr="00150ABA">
        <w:rPr>
          <w:b/>
          <w:bCs/>
          <w:noProof/>
          <w:szCs w:val="24"/>
          <w:lang w:eastAsia="en-GB"/>
        </w:rPr>
        <w:t xml:space="preserve"> </w:t>
      </w:r>
    </w:p>
    <w:p w14:paraId="2B01ACFB" w14:textId="033CF662" w:rsidR="00AD558C" w:rsidRPr="00150ABA" w:rsidRDefault="00D76D82" w:rsidP="00D76D82">
      <w:pPr>
        <w:pStyle w:val="ManualNumPar1"/>
        <w:rPr>
          <w:noProof/>
          <w:lang w:eastAsia="en-GB"/>
        </w:rPr>
      </w:pPr>
      <w:r w:rsidRPr="00D76D82">
        <w:t>1.</w:t>
      </w:r>
      <w:r w:rsidRPr="00D76D82">
        <w:tab/>
      </w:r>
      <w:r w:rsidR="00521C02" w:rsidRPr="00150ABA">
        <w:rPr>
          <w:noProof/>
          <w:lang w:eastAsia="en-GB"/>
        </w:rPr>
        <w:t xml:space="preserve">The JIT </w:t>
      </w:r>
      <w:r w:rsidR="00A12D6F" w:rsidRPr="00150ABA">
        <w:rPr>
          <w:noProof/>
          <w:lang w:eastAsia="en-GB"/>
        </w:rPr>
        <w:t>space administrator</w:t>
      </w:r>
      <w:r w:rsidR="00DE07FA" w:rsidRPr="00150ABA">
        <w:rPr>
          <w:noProof/>
          <w:lang w:eastAsia="en-GB"/>
        </w:rPr>
        <w:t xml:space="preserve"> or administrator</w:t>
      </w:r>
      <w:r w:rsidR="00521C02" w:rsidRPr="00150ABA">
        <w:rPr>
          <w:noProof/>
          <w:lang w:eastAsia="en-GB"/>
        </w:rPr>
        <w:t>s may decide to grant Eurojust</w:t>
      </w:r>
      <w:r w:rsidR="003521F6" w:rsidRPr="00150ABA">
        <w:rPr>
          <w:noProof/>
          <w:lang w:eastAsia="en-GB"/>
        </w:rPr>
        <w:t>, including the JIT Secretariat,</w:t>
      </w:r>
      <w:r w:rsidR="00521C02" w:rsidRPr="00150ABA">
        <w:rPr>
          <w:noProof/>
          <w:lang w:eastAsia="en-GB"/>
        </w:rPr>
        <w:t xml:space="preserve"> access to </w:t>
      </w:r>
      <w:r w:rsidR="00C2677A" w:rsidRPr="00150ABA">
        <w:rPr>
          <w:noProof/>
          <w:lang w:eastAsia="en-GB"/>
        </w:rPr>
        <w:t xml:space="preserve">a </w:t>
      </w:r>
      <w:r w:rsidR="00521C02" w:rsidRPr="00150ABA">
        <w:rPr>
          <w:noProof/>
          <w:lang w:eastAsia="en-GB"/>
        </w:rPr>
        <w:t xml:space="preserve">JIT collaboration </w:t>
      </w:r>
      <w:r w:rsidR="00C2677A" w:rsidRPr="00150ABA">
        <w:rPr>
          <w:noProof/>
          <w:lang w:eastAsia="en-GB"/>
        </w:rPr>
        <w:t xml:space="preserve">space </w:t>
      </w:r>
      <w:r w:rsidR="00521C02" w:rsidRPr="00150ABA">
        <w:rPr>
          <w:noProof/>
          <w:lang w:eastAsia="en-GB"/>
        </w:rPr>
        <w:t>for the purpose of fulfilling its tasks</w:t>
      </w:r>
      <w:r w:rsidR="0009491D" w:rsidRPr="00150ABA">
        <w:rPr>
          <w:noProof/>
          <w:lang w:eastAsia="en-GB"/>
        </w:rPr>
        <w:t xml:space="preserve"> set out in </w:t>
      </w:r>
      <w:r w:rsidR="0009491D" w:rsidRPr="00150ABA">
        <w:rPr>
          <w:noProof/>
        </w:rPr>
        <w:t>Regulation (EU) 2018/1727 of the European Parliament and of the Council</w:t>
      </w:r>
      <w:r w:rsidR="00521C02" w:rsidRPr="00150ABA">
        <w:rPr>
          <w:rStyle w:val="FootnoteReference"/>
          <w:noProof/>
        </w:rPr>
        <w:footnoteReference w:id="30"/>
      </w:r>
      <w:r w:rsidR="0009491D" w:rsidRPr="00150ABA">
        <w:rPr>
          <w:noProof/>
          <w:lang w:eastAsia="en-GB"/>
        </w:rPr>
        <w:t>.</w:t>
      </w:r>
      <w:r w:rsidR="00102D67" w:rsidRPr="00150ABA">
        <w:rPr>
          <w:noProof/>
          <w:lang w:eastAsia="en-GB"/>
        </w:rPr>
        <w:t xml:space="preserve"> </w:t>
      </w:r>
      <w:r w:rsidR="00517B27" w:rsidRPr="00150ABA">
        <w:rPr>
          <w:noProof/>
          <w:lang w:eastAsia="en-GB"/>
        </w:rPr>
        <w:t>In particular, t</w:t>
      </w:r>
      <w:r w:rsidR="0045101D" w:rsidRPr="00150ABA">
        <w:rPr>
          <w:noProof/>
          <w:lang w:eastAsia="en-GB"/>
        </w:rPr>
        <w:t xml:space="preserve">he JIT </w:t>
      </w:r>
      <w:r w:rsidR="00A12D6F" w:rsidRPr="00150ABA">
        <w:rPr>
          <w:noProof/>
          <w:lang w:eastAsia="en-GB"/>
        </w:rPr>
        <w:t>space administrator</w:t>
      </w:r>
      <w:r w:rsidR="00DE07FA" w:rsidRPr="00150ABA">
        <w:rPr>
          <w:noProof/>
          <w:lang w:eastAsia="en-GB"/>
        </w:rPr>
        <w:t xml:space="preserve"> or administrator</w:t>
      </w:r>
      <w:r w:rsidR="0045101D" w:rsidRPr="00150ABA">
        <w:rPr>
          <w:noProof/>
          <w:lang w:eastAsia="en-GB"/>
        </w:rPr>
        <w:t xml:space="preserve">s may decide to grant the JIT </w:t>
      </w:r>
      <w:r w:rsidR="002F002D" w:rsidRPr="00150ABA">
        <w:rPr>
          <w:noProof/>
          <w:lang w:eastAsia="en-GB"/>
        </w:rPr>
        <w:t>S</w:t>
      </w:r>
      <w:r w:rsidR="0045101D" w:rsidRPr="00150ABA">
        <w:rPr>
          <w:noProof/>
          <w:lang w:eastAsia="en-GB"/>
        </w:rPr>
        <w:t>ecretariat access to a JIT collaboration space for the purpose of technical and administrative support, including access rights management.</w:t>
      </w:r>
    </w:p>
    <w:p w14:paraId="7A55E396" w14:textId="0C005156" w:rsidR="00AD558C" w:rsidRPr="00150ABA" w:rsidRDefault="00D76D82" w:rsidP="00D76D82">
      <w:pPr>
        <w:pStyle w:val="ManualNumPar1"/>
        <w:rPr>
          <w:noProof/>
          <w:lang w:eastAsia="en-GB"/>
        </w:rPr>
      </w:pPr>
      <w:r w:rsidRPr="00D76D82">
        <w:t>2.</w:t>
      </w:r>
      <w:r w:rsidRPr="00D76D82">
        <w:tab/>
      </w:r>
      <w:r w:rsidR="00521C02" w:rsidRPr="00150ABA">
        <w:rPr>
          <w:noProof/>
          <w:lang w:eastAsia="en-GB"/>
        </w:rPr>
        <w:t xml:space="preserve">The JIT </w:t>
      </w:r>
      <w:r w:rsidR="00A12D6F" w:rsidRPr="00150ABA">
        <w:rPr>
          <w:noProof/>
          <w:lang w:eastAsia="en-GB"/>
        </w:rPr>
        <w:t>space administrator</w:t>
      </w:r>
      <w:r w:rsidR="00DE07FA" w:rsidRPr="00150ABA">
        <w:rPr>
          <w:noProof/>
          <w:lang w:eastAsia="en-GB"/>
        </w:rPr>
        <w:t xml:space="preserve"> or administrator</w:t>
      </w:r>
      <w:r w:rsidR="00521C02" w:rsidRPr="00150ABA">
        <w:rPr>
          <w:noProof/>
          <w:lang w:eastAsia="en-GB"/>
        </w:rPr>
        <w:t xml:space="preserve">s may decide to grant Europol access to </w:t>
      </w:r>
      <w:r w:rsidR="00C2677A" w:rsidRPr="00150ABA">
        <w:rPr>
          <w:noProof/>
          <w:lang w:eastAsia="en-GB"/>
        </w:rPr>
        <w:t xml:space="preserve">a </w:t>
      </w:r>
      <w:r w:rsidR="00521C02" w:rsidRPr="00150ABA">
        <w:rPr>
          <w:noProof/>
          <w:lang w:eastAsia="en-GB"/>
        </w:rPr>
        <w:t xml:space="preserve">JIT collaboration </w:t>
      </w:r>
      <w:r w:rsidR="00C2677A" w:rsidRPr="00150ABA">
        <w:rPr>
          <w:noProof/>
          <w:lang w:eastAsia="en-GB"/>
        </w:rPr>
        <w:t xml:space="preserve">space </w:t>
      </w:r>
      <w:r w:rsidR="00521C02" w:rsidRPr="00150ABA">
        <w:rPr>
          <w:noProof/>
          <w:lang w:eastAsia="en-GB"/>
        </w:rPr>
        <w:t>for the purpose of fulfilling its tasks</w:t>
      </w:r>
      <w:r w:rsidR="0009491D" w:rsidRPr="00150ABA">
        <w:rPr>
          <w:noProof/>
          <w:lang w:eastAsia="en-GB"/>
        </w:rPr>
        <w:t xml:space="preserve"> set out in </w:t>
      </w:r>
      <w:r w:rsidR="0009491D" w:rsidRPr="00150ABA">
        <w:rPr>
          <w:noProof/>
        </w:rPr>
        <w:t>Regulation (EU) 2016/794 of the European Parliament and of the Council</w:t>
      </w:r>
      <w:r w:rsidR="00435107" w:rsidRPr="00150ABA">
        <w:rPr>
          <w:rStyle w:val="FootnoteReference"/>
          <w:noProof/>
        </w:rPr>
        <w:footnoteReference w:id="31"/>
      </w:r>
      <w:r w:rsidR="0009491D" w:rsidRPr="00150ABA">
        <w:rPr>
          <w:noProof/>
          <w:lang w:eastAsia="en-GB"/>
        </w:rPr>
        <w:t>.</w:t>
      </w:r>
    </w:p>
    <w:p w14:paraId="4C08D97E" w14:textId="2C99312D" w:rsidR="00521C02" w:rsidRPr="00150ABA" w:rsidRDefault="00D76D82" w:rsidP="00D76D82">
      <w:pPr>
        <w:pStyle w:val="ManualNumPar1"/>
        <w:rPr>
          <w:noProof/>
          <w:lang w:eastAsia="en-GB"/>
        </w:rPr>
      </w:pPr>
      <w:r w:rsidRPr="00D76D82">
        <w:t>3.</w:t>
      </w:r>
      <w:r w:rsidRPr="00D76D82">
        <w:tab/>
      </w:r>
      <w:r w:rsidR="00521C02" w:rsidRPr="00150ABA">
        <w:rPr>
          <w:noProof/>
          <w:lang w:eastAsia="en-GB"/>
        </w:rPr>
        <w:t xml:space="preserve">The JIT </w:t>
      </w:r>
      <w:r w:rsidR="00A12D6F" w:rsidRPr="00150ABA">
        <w:rPr>
          <w:noProof/>
          <w:lang w:eastAsia="en-GB"/>
        </w:rPr>
        <w:t>space administrator</w:t>
      </w:r>
      <w:r w:rsidR="00DE07FA" w:rsidRPr="00150ABA">
        <w:rPr>
          <w:noProof/>
          <w:lang w:eastAsia="en-GB"/>
        </w:rPr>
        <w:t xml:space="preserve"> or administ</w:t>
      </w:r>
      <w:r w:rsidR="007B599B" w:rsidRPr="00150ABA">
        <w:rPr>
          <w:noProof/>
          <w:lang w:eastAsia="en-GB"/>
        </w:rPr>
        <w:t>r</w:t>
      </w:r>
      <w:r w:rsidR="00DE07FA" w:rsidRPr="00150ABA">
        <w:rPr>
          <w:noProof/>
          <w:lang w:eastAsia="en-GB"/>
        </w:rPr>
        <w:t>ator</w:t>
      </w:r>
      <w:r w:rsidR="00521C02" w:rsidRPr="00150ABA">
        <w:rPr>
          <w:bCs/>
          <w:noProof/>
          <w:szCs w:val="24"/>
          <w:lang w:eastAsia="en-GB"/>
        </w:rPr>
        <w:t xml:space="preserve">s may decide to grant OLAF access to </w:t>
      </w:r>
      <w:r w:rsidR="00C2677A" w:rsidRPr="00150ABA">
        <w:rPr>
          <w:bCs/>
          <w:noProof/>
          <w:szCs w:val="24"/>
          <w:lang w:eastAsia="en-GB"/>
        </w:rPr>
        <w:t xml:space="preserve">a </w:t>
      </w:r>
      <w:r w:rsidR="00521C02" w:rsidRPr="00150ABA">
        <w:rPr>
          <w:bCs/>
          <w:noProof/>
          <w:szCs w:val="24"/>
          <w:lang w:eastAsia="en-GB"/>
        </w:rPr>
        <w:t xml:space="preserve">JIT collaboration </w:t>
      </w:r>
      <w:r w:rsidR="00C2677A" w:rsidRPr="00150ABA">
        <w:rPr>
          <w:bCs/>
          <w:noProof/>
          <w:szCs w:val="24"/>
          <w:lang w:eastAsia="en-GB"/>
        </w:rPr>
        <w:t xml:space="preserve">space </w:t>
      </w:r>
      <w:r w:rsidR="00521C02" w:rsidRPr="00150ABA">
        <w:rPr>
          <w:bCs/>
          <w:noProof/>
          <w:szCs w:val="24"/>
          <w:lang w:eastAsia="en-GB"/>
        </w:rPr>
        <w:t>for the purpose of fulfilling its tasks</w:t>
      </w:r>
      <w:r w:rsidR="0009491D" w:rsidRPr="00150ABA">
        <w:rPr>
          <w:bCs/>
          <w:noProof/>
          <w:szCs w:val="24"/>
          <w:lang w:eastAsia="en-GB"/>
        </w:rPr>
        <w:t xml:space="preserve"> set out in </w:t>
      </w:r>
      <w:r w:rsidR="005C731D" w:rsidRPr="00150ABA">
        <w:rPr>
          <w:noProof/>
        </w:rPr>
        <w:t>Regulation (EU, Euratom) No 883/2013 of the European Parliament and of the Council</w:t>
      </w:r>
      <w:r w:rsidR="00521C02" w:rsidRPr="00150ABA">
        <w:rPr>
          <w:rStyle w:val="FootnoteReference"/>
          <w:noProof/>
        </w:rPr>
        <w:footnoteReference w:id="32"/>
      </w:r>
      <w:r w:rsidR="005C731D" w:rsidRPr="00150ABA">
        <w:rPr>
          <w:bCs/>
          <w:noProof/>
          <w:szCs w:val="24"/>
          <w:lang w:eastAsia="en-GB"/>
        </w:rPr>
        <w:t>.</w:t>
      </w:r>
    </w:p>
    <w:p w14:paraId="05514DA9" w14:textId="29BC01AE" w:rsidR="00C300EC" w:rsidRPr="00150ABA" w:rsidRDefault="00D76D82" w:rsidP="00D76D82">
      <w:pPr>
        <w:pStyle w:val="ManualNumPar1"/>
        <w:rPr>
          <w:noProof/>
          <w:lang w:eastAsia="en-GB"/>
        </w:rPr>
      </w:pPr>
      <w:r w:rsidRPr="00D76D82">
        <w:t>4.</w:t>
      </w:r>
      <w:r w:rsidRPr="00D76D82">
        <w:tab/>
      </w:r>
      <w:r w:rsidR="006C7F91" w:rsidRPr="00150ABA">
        <w:rPr>
          <w:noProof/>
          <w:lang w:eastAsia="en-GB"/>
        </w:rPr>
        <w:t>The JIT space administrator or administrators may decide to grant the European Public Prosecutor’s Office access to a JIT collaboration space for the purpose of fulfilling its tasks set out in Council Regulation (EU) 2017/1939.</w:t>
      </w:r>
    </w:p>
    <w:p w14:paraId="0A8C951D" w14:textId="5A73DB96" w:rsidR="00521C02" w:rsidRPr="00150ABA" w:rsidRDefault="00D76D82" w:rsidP="00D76D82">
      <w:pPr>
        <w:pStyle w:val="ManualNumPar1"/>
        <w:rPr>
          <w:noProof/>
          <w:lang w:eastAsia="en-GB"/>
        </w:rPr>
      </w:pPr>
      <w:r w:rsidRPr="00D76D82">
        <w:t>5.</w:t>
      </w:r>
      <w:r w:rsidRPr="00D76D82">
        <w:tab/>
      </w:r>
      <w:r w:rsidR="00C300EC" w:rsidRPr="00150ABA">
        <w:rPr>
          <w:noProof/>
          <w:lang w:eastAsia="en-GB"/>
        </w:rPr>
        <w:t xml:space="preserve">The JIT space administrator or administrators may decide to grant other competent Union </w:t>
      </w:r>
      <w:r w:rsidR="00C300EC" w:rsidRPr="00150ABA">
        <w:rPr>
          <w:noProof/>
        </w:rPr>
        <w:t xml:space="preserve">bodies, offices and agencies </w:t>
      </w:r>
      <w:r w:rsidR="00C300EC" w:rsidRPr="00150ABA">
        <w:rPr>
          <w:noProof/>
          <w:lang w:eastAsia="en-GB"/>
        </w:rPr>
        <w:t>access to a JIT collaboration space for the purpose of fulfilling tasks set out in their basic acts.</w:t>
      </w:r>
    </w:p>
    <w:p w14:paraId="4E4120F2" w14:textId="77777777" w:rsidR="00521C02" w:rsidRPr="00150ABA" w:rsidRDefault="00521C02" w:rsidP="00FF717F">
      <w:pPr>
        <w:pStyle w:val="Titrearticle"/>
        <w:rPr>
          <w:noProof/>
          <w:lang w:eastAsia="en-GB"/>
        </w:rPr>
      </w:pPr>
      <w:r w:rsidRPr="00150ABA">
        <w:rPr>
          <w:noProof/>
          <w:lang w:eastAsia="en-GB"/>
        </w:rPr>
        <w:t>Article 1</w:t>
      </w:r>
      <w:r w:rsidR="006B7969" w:rsidRPr="00150ABA">
        <w:rPr>
          <w:noProof/>
          <w:lang w:eastAsia="en-GB"/>
        </w:rPr>
        <w:t>4</w:t>
      </w:r>
    </w:p>
    <w:p w14:paraId="3399D296" w14:textId="3E2B6802" w:rsidR="00A1011C" w:rsidRPr="00150ABA" w:rsidRDefault="00A1011C" w:rsidP="00A1011C">
      <w:pPr>
        <w:shd w:val="clear" w:color="auto" w:fill="FFFFFF"/>
        <w:spacing w:before="60" w:line="312" w:lineRule="atLeast"/>
        <w:jc w:val="center"/>
        <w:rPr>
          <w:rFonts w:eastAsia="Calibri"/>
          <w:b/>
          <w:bCs/>
          <w:noProof/>
          <w:szCs w:val="24"/>
          <w:lang w:eastAsia="en-GB"/>
        </w:rPr>
      </w:pPr>
      <w:r w:rsidRPr="00150ABA">
        <w:rPr>
          <w:rFonts w:eastAsia="Calibri"/>
          <w:b/>
          <w:bCs/>
          <w:noProof/>
          <w:szCs w:val="24"/>
          <w:lang w:eastAsia="en-GB"/>
        </w:rPr>
        <w:t xml:space="preserve">Access to the JIT collaboration </w:t>
      </w:r>
      <w:r w:rsidR="00023350" w:rsidRPr="00150ABA">
        <w:rPr>
          <w:rFonts w:eastAsia="Calibri"/>
          <w:b/>
          <w:bCs/>
          <w:noProof/>
          <w:szCs w:val="24"/>
          <w:lang w:eastAsia="en-GB"/>
        </w:rPr>
        <w:t xml:space="preserve">spaces </w:t>
      </w:r>
      <w:r w:rsidRPr="00150ABA">
        <w:rPr>
          <w:rFonts w:eastAsia="Calibri"/>
          <w:b/>
          <w:bCs/>
          <w:noProof/>
          <w:szCs w:val="24"/>
          <w:lang w:eastAsia="en-GB"/>
        </w:rPr>
        <w:t xml:space="preserve">by third </w:t>
      </w:r>
      <w:r w:rsidR="00900F4E" w:rsidRPr="00150ABA">
        <w:rPr>
          <w:rFonts w:eastAsia="Calibri"/>
          <w:b/>
          <w:bCs/>
          <w:noProof/>
          <w:szCs w:val="24"/>
          <w:lang w:eastAsia="en-GB"/>
        </w:rPr>
        <w:t xml:space="preserve">countries’ </w:t>
      </w:r>
      <w:r w:rsidR="007E46C5" w:rsidRPr="00150ABA">
        <w:rPr>
          <w:rFonts w:eastAsia="Times New Roman"/>
          <w:b/>
          <w:bCs/>
          <w:noProof/>
          <w:szCs w:val="24"/>
          <w:lang w:eastAsia="en-GB"/>
        </w:rPr>
        <w:t>competent authorities</w:t>
      </w:r>
    </w:p>
    <w:p w14:paraId="2F3082D5" w14:textId="2A2B4E9E" w:rsidR="00A1011C" w:rsidRPr="00150ABA" w:rsidRDefault="00D76D82" w:rsidP="00D76D82">
      <w:pPr>
        <w:pStyle w:val="ManualNumPar1"/>
        <w:rPr>
          <w:noProof/>
          <w:lang w:eastAsia="en-GB"/>
        </w:rPr>
      </w:pPr>
      <w:r w:rsidRPr="00D76D82">
        <w:t>1.</w:t>
      </w:r>
      <w:r w:rsidRPr="00D76D82">
        <w:tab/>
      </w:r>
      <w:r w:rsidR="009F38B5" w:rsidRPr="00150ABA">
        <w:rPr>
          <w:rFonts w:eastAsia="Times New Roman"/>
          <w:noProof/>
          <w:lang w:eastAsia="en-GB"/>
        </w:rPr>
        <w:t>F</w:t>
      </w:r>
      <w:r w:rsidR="009F38B5" w:rsidRPr="00150ABA">
        <w:rPr>
          <w:noProof/>
          <w:lang w:eastAsia="en-GB"/>
        </w:rPr>
        <w:t xml:space="preserve">or the purposes listed in Article 5, </w:t>
      </w:r>
      <w:r w:rsidR="009F38B5" w:rsidRPr="00150ABA">
        <w:rPr>
          <w:rFonts w:eastAsia="Times New Roman"/>
          <w:noProof/>
          <w:lang w:eastAsia="en-GB"/>
        </w:rPr>
        <w:t>the</w:t>
      </w:r>
      <w:r w:rsidR="00F8301F" w:rsidRPr="00150ABA">
        <w:rPr>
          <w:noProof/>
        </w:rPr>
        <w:t xml:space="preserve"> JIT</w:t>
      </w:r>
      <w:r w:rsidR="00A12D6F" w:rsidRPr="00150ABA">
        <w:rPr>
          <w:noProof/>
        </w:rPr>
        <w:t xml:space="preserve"> </w:t>
      </w:r>
      <w:r w:rsidR="00A12D6F" w:rsidRPr="00150ABA">
        <w:rPr>
          <w:noProof/>
          <w:lang w:eastAsia="en-GB"/>
        </w:rPr>
        <w:t>space administrator</w:t>
      </w:r>
      <w:r w:rsidR="00DE07FA" w:rsidRPr="00150ABA">
        <w:rPr>
          <w:noProof/>
          <w:lang w:eastAsia="en-GB"/>
        </w:rPr>
        <w:t xml:space="preserve"> or administrator</w:t>
      </w:r>
      <w:r w:rsidR="00A12D6F" w:rsidRPr="00150ABA">
        <w:rPr>
          <w:noProof/>
          <w:lang w:eastAsia="en-GB"/>
        </w:rPr>
        <w:t>s</w:t>
      </w:r>
      <w:r w:rsidR="00F8301F" w:rsidRPr="00150ABA">
        <w:rPr>
          <w:noProof/>
          <w:lang w:eastAsia="en-GB"/>
        </w:rPr>
        <w:t xml:space="preserve"> may decide to grant access to </w:t>
      </w:r>
      <w:r w:rsidR="00C2677A" w:rsidRPr="00150ABA">
        <w:rPr>
          <w:noProof/>
          <w:lang w:eastAsia="en-GB"/>
        </w:rPr>
        <w:t>a</w:t>
      </w:r>
      <w:r w:rsidR="00F8301F" w:rsidRPr="00150ABA">
        <w:rPr>
          <w:noProof/>
          <w:lang w:eastAsia="en-GB"/>
        </w:rPr>
        <w:t xml:space="preserve"> JIT collaboration </w:t>
      </w:r>
      <w:r w:rsidR="00C2677A" w:rsidRPr="00150ABA">
        <w:rPr>
          <w:noProof/>
          <w:lang w:eastAsia="en-GB"/>
        </w:rPr>
        <w:t>space</w:t>
      </w:r>
      <w:r w:rsidR="00F8301F" w:rsidRPr="00150ABA">
        <w:rPr>
          <w:noProof/>
          <w:lang w:eastAsia="en-GB"/>
        </w:rPr>
        <w:t xml:space="preserve"> to </w:t>
      </w:r>
      <w:r w:rsidR="00A12D6F" w:rsidRPr="00150ABA">
        <w:rPr>
          <w:noProof/>
          <w:lang w:eastAsia="en-GB"/>
        </w:rPr>
        <w:t xml:space="preserve">the competent authorities of </w:t>
      </w:r>
      <w:r w:rsidR="00F8301F" w:rsidRPr="00150ABA">
        <w:rPr>
          <w:noProof/>
          <w:lang w:eastAsia="en-GB"/>
        </w:rPr>
        <w:t xml:space="preserve">third </w:t>
      </w:r>
      <w:r w:rsidR="00DE07FA" w:rsidRPr="00150ABA">
        <w:rPr>
          <w:noProof/>
          <w:lang w:eastAsia="en-GB"/>
        </w:rPr>
        <w:t>countries</w:t>
      </w:r>
      <w:r w:rsidR="00F8301F" w:rsidRPr="00150ABA">
        <w:rPr>
          <w:noProof/>
          <w:lang w:eastAsia="en-GB"/>
        </w:rPr>
        <w:t xml:space="preserve"> which have signed a particular JITs agreement</w:t>
      </w:r>
      <w:r w:rsidR="009F38B5" w:rsidRPr="00150ABA">
        <w:rPr>
          <w:noProof/>
          <w:lang w:eastAsia="en-GB"/>
        </w:rPr>
        <w:t>.</w:t>
      </w:r>
      <w:r w:rsidR="00F8301F" w:rsidRPr="00150ABA">
        <w:rPr>
          <w:noProof/>
          <w:lang w:eastAsia="en-GB"/>
        </w:rPr>
        <w:t xml:space="preserve"> </w:t>
      </w:r>
    </w:p>
    <w:p w14:paraId="73180403" w14:textId="5E1D6EAA" w:rsidR="00A1011C" w:rsidRPr="00150ABA" w:rsidRDefault="00D76D82" w:rsidP="00D76D82">
      <w:pPr>
        <w:pStyle w:val="ManualNumPar1"/>
        <w:rPr>
          <w:noProof/>
          <w:lang w:eastAsia="en-GB"/>
        </w:rPr>
      </w:pPr>
      <w:r w:rsidRPr="00D76D82">
        <w:t>2.</w:t>
      </w:r>
      <w:r w:rsidRPr="00D76D82">
        <w:tab/>
      </w:r>
      <w:r w:rsidR="005A34B4" w:rsidRPr="00150ABA">
        <w:rPr>
          <w:noProof/>
          <w:lang w:eastAsia="en-GB"/>
        </w:rPr>
        <w:t xml:space="preserve">The JIT </w:t>
      </w:r>
      <w:r w:rsidR="00A12D6F" w:rsidRPr="00150ABA">
        <w:rPr>
          <w:noProof/>
          <w:lang w:eastAsia="en-GB"/>
        </w:rPr>
        <w:t>space administrator</w:t>
      </w:r>
      <w:r w:rsidR="00DE07FA" w:rsidRPr="00150ABA">
        <w:rPr>
          <w:noProof/>
          <w:lang w:eastAsia="en-GB"/>
        </w:rPr>
        <w:t xml:space="preserve"> or administrators</w:t>
      </w:r>
      <w:r w:rsidR="003A2B85" w:rsidRPr="00150ABA">
        <w:rPr>
          <w:noProof/>
          <w:lang w:eastAsia="en-GB"/>
        </w:rPr>
        <w:t xml:space="preserve"> </w:t>
      </w:r>
      <w:r w:rsidR="005A34B4" w:rsidRPr="00150ABA">
        <w:rPr>
          <w:noProof/>
          <w:lang w:eastAsia="en-GB"/>
        </w:rPr>
        <w:t xml:space="preserve">shall ensure that the exchanges of operational </w:t>
      </w:r>
      <w:r w:rsidR="009E050B" w:rsidRPr="00150ABA">
        <w:rPr>
          <w:noProof/>
          <w:lang w:eastAsia="en-GB"/>
        </w:rPr>
        <w:t xml:space="preserve">data </w:t>
      </w:r>
      <w:r w:rsidR="005A34B4" w:rsidRPr="00150ABA">
        <w:rPr>
          <w:noProof/>
          <w:lang w:eastAsia="en-GB"/>
        </w:rPr>
        <w:t xml:space="preserve">with </w:t>
      </w:r>
      <w:r w:rsidR="00A12D6F" w:rsidRPr="00150ABA">
        <w:rPr>
          <w:noProof/>
          <w:lang w:eastAsia="en-GB"/>
        </w:rPr>
        <w:t xml:space="preserve">the competent authorities of </w:t>
      </w:r>
      <w:r w:rsidR="005A34B4" w:rsidRPr="00150ABA">
        <w:rPr>
          <w:noProof/>
          <w:lang w:eastAsia="en-GB"/>
        </w:rPr>
        <w:t xml:space="preserve">third </w:t>
      </w:r>
      <w:r w:rsidR="00DE07FA" w:rsidRPr="00150ABA">
        <w:rPr>
          <w:noProof/>
          <w:lang w:eastAsia="en-GB"/>
        </w:rPr>
        <w:t xml:space="preserve">countries </w:t>
      </w:r>
      <w:r w:rsidR="005A34B4" w:rsidRPr="00150ABA">
        <w:rPr>
          <w:noProof/>
          <w:lang w:eastAsia="en-GB"/>
        </w:rPr>
        <w:t xml:space="preserve">that have been granted access to </w:t>
      </w:r>
      <w:r w:rsidR="00C2677A" w:rsidRPr="00150ABA">
        <w:rPr>
          <w:noProof/>
          <w:lang w:eastAsia="en-GB"/>
        </w:rPr>
        <w:t>a JIT collaboration space</w:t>
      </w:r>
      <w:r w:rsidR="005A34B4" w:rsidRPr="00150ABA">
        <w:rPr>
          <w:noProof/>
          <w:lang w:eastAsia="en-GB"/>
        </w:rPr>
        <w:t xml:space="preserve"> are limite</w:t>
      </w:r>
      <w:r w:rsidR="00D4222F" w:rsidRPr="00150ABA">
        <w:rPr>
          <w:noProof/>
          <w:lang w:eastAsia="en-GB"/>
        </w:rPr>
        <w:t>d to what is required for the</w:t>
      </w:r>
      <w:r w:rsidR="005A34B4" w:rsidRPr="00150ABA">
        <w:rPr>
          <w:noProof/>
          <w:lang w:eastAsia="en-GB"/>
        </w:rPr>
        <w:t xml:space="preserve"> purpose</w:t>
      </w:r>
      <w:r w:rsidR="00D4222F" w:rsidRPr="00150ABA">
        <w:rPr>
          <w:noProof/>
          <w:lang w:eastAsia="en-GB"/>
        </w:rPr>
        <w:t>s</w:t>
      </w:r>
      <w:r w:rsidR="005A34B4" w:rsidRPr="00150ABA">
        <w:rPr>
          <w:noProof/>
          <w:lang w:eastAsia="en-GB"/>
        </w:rPr>
        <w:t xml:space="preserve"> </w:t>
      </w:r>
      <w:r w:rsidR="00D4222F" w:rsidRPr="00150ABA">
        <w:rPr>
          <w:noProof/>
          <w:lang w:eastAsia="en-GB"/>
        </w:rPr>
        <w:t xml:space="preserve">of the JIT agreement </w:t>
      </w:r>
      <w:r w:rsidR="005A34B4" w:rsidRPr="00150ABA">
        <w:rPr>
          <w:noProof/>
          <w:lang w:eastAsia="en-GB"/>
        </w:rPr>
        <w:t>and subject to the conditions</w:t>
      </w:r>
      <w:r w:rsidR="00D4222F" w:rsidRPr="00150ABA">
        <w:rPr>
          <w:noProof/>
          <w:lang w:eastAsia="en-GB"/>
        </w:rPr>
        <w:t xml:space="preserve"> laid therein</w:t>
      </w:r>
      <w:r w:rsidR="005A34B4" w:rsidRPr="00150ABA">
        <w:rPr>
          <w:noProof/>
          <w:lang w:eastAsia="en-GB"/>
        </w:rPr>
        <w:t>.</w:t>
      </w:r>
    </w:p>
    <w:p w14:paraId="7B5ED0BC" w14:textId="62A1393B" w:rsidR="005A34B4" w:rsidRPr="00150ABA" w:rsidRDefault="00D76D82" w:rsidP="00D76D82">
      <w:pPr>
        <w:pStyle w:val="ManualNumPar1"/>
        <w:rPr>
          <w:noProof/>
        </w:rPr>
      </w:pPr>
      <w:r w:rsidRPr="00D76D82">
        <w:t>3.</w:t>
      </w:r>
      <w:r w:rsidRPr="00D76D82">
        <w:tab/>
      </w:r>
      <w:r w:rsidR="005A34B4" w:rsidRPr="00150ABA">
        <w:rPr>
          <w:noProof/>
          <w:lang w:eastAsia="en-GB"/>
        </w:rPr>
        <w:t xml:space="preserve">Member States shall ensure that </w:t>
      </w:r>
      <w:r w:rsidR="00D40DD1" w:rsidRPr="00150ABA">
        <w:rPr>
          <w:noProof/>
          <w:lang w:eastAsia="en-GB"/>
        </w:rPr>
        <w:t xml:space="preserve">their </w:t>
      </w:r>
      <w:r w:rsidR="005A34B4" w:rsidRPr="00150ABA">
        <w:rPr>
          <w:noProof/>
          <w:lang w:eastAsia="en-GB"/>
        </w:rPr>
        <w:t xml:space="preserve">transfers of personal data to third </w:t>
      </w:r>
      <w:r w:rsidR="000A7A97" w:rsidRPr="00150ABA">
        <w:rPr>
          <w:noProof/>
          <w:lang w:eastAsia="en-GB"/>
        </w:rPr>
        <w:t xml:space="preserve">countries </w:t>
      </w:r>
      <w:r w:rsidR="005A34B4" w:rsidRPr="00150ABA">
        <w:rPr>
          <w:noProof/>
          <w:lang w:eastAsia="en-GB"/>
        </w:rPr>
        <w:t>that have been granted</w:t>
      </w:r>
      <w:r w:rsidR="005A34B4" w:rsidRPr="00150ABA">
        <w:rPr>
          <w:noProof/>
        </w:rPr>
        <w:t xml:space="preserve"> access to </w:t>
      </w:r>
      <w:r w:rsidR="00C2677A" w:rsidRPr="00150ABA">
        <w:rPr>
          <w:noProof/>
        </w:rPr>
        <w:t>a JIT collaboration space</w:t>
      </w:r>
      <w:r w:rsidR="005A34B4" w:rsidRPr="00150ABA">
        <w:rPr>
          <w:noProof/>
        </w:rPr>
        <w:t xml:space="preserve"> only take place whe</w:t>
      </w:r>
      <w:r w:rsidR="00D4222F" w:rsidRPr="00150ABA">
        <w:rPr>
          <w:noProof/>
        </w:rPr>
        <w:t>re</w:t>
      </w:r>
      <w:r w:rsidR="005A34B4" w:rsidRPr="00150ABA">
        <w:rPr>
          <w:noProof/>
        </w:rPr>
        <w:t xml:space="preserve"> the conditions laid down in Chapter V of Directive 2016/680 are met.</w:t>
      </w:r>
    </w:p>
    <w:p w14:paraId="7F7AC0FE" w14:textId="77777777" w:rsidR="00A1011C" w:rsidRPr="00150ABA" w:rsidRDefault="00A1011C" w:rsidP="00A1011C">
      <w:pPr>
        <w:spacing w:before="60" w:after="160" w:line="259" w:lineRule="auto"/>
        <w:ind w:left="360"/>
        <w:contextualSpacing/>
        <w:jc w:val="left"/>
        <w:rPr>
          <w:rFonts w:eastAsia="Calibri"/>
          <w:noProof/>
          <w:szCs w:val="24"/>
        </w:rPr>
      </w:pPr>
    </w:p>
    <w:p w14:paraId="234AC47D" w14:textId="77777777" w:rsidR="00521C02" w:rsidRPr="00150ABA" w:rsidRDefault="00521C02" w:rsidP="00521C02">
      <w:pPr>
        <w:spacing w:before="60"/>
        <w:jc w:val="center"/>
        <w:rPr>
          <w:rFonts w:eastAsia="Times New Roman"/>
          <w:b/>
          <w:bCs/>
          <w:iCs/>
          <w:noProof/>
          <w:szCs w:val="24"/>
          <w:lang w:eastAsia="en-GB"/>
        </w:rPr>
      </w:pPr>
      <w:r w:rsidRPr="00150ABA">
        <w:rPr>
          <w:rFonts w:eastAsia="Times New Roman"/>
          <w:b/>
          <w:bCs/>
          <w:iCs/>
          <w:noProof/>
          <w:szCs w:val="24"/>
          <w:lang w:eastAsia="en-GB"/>
        </w:rPr>
        <w:t>CHAPTER IV</w:t>
      </w:r>
    </w:p>
    <w:p w14:paraId="0660BEC3" w14:textId="77777777" w:rsidR="00521C02" w:rsidRPr="00150ABA" w:rsidRDefault="00521C02" w:rsidP="00521C02">
      <w:pPr>
        <w:shd w:val="clear" w:color="auto" w:fill="FFFFFF" w:themeFill="background1"/>
        <w:spacing w:after="0" w:line="312" w:lineRule="atLeast"/>
        <w:jc w:val="center"/>
        <w:rPr>
          <w:rFonts w:eastAsia="Times New Roman"/>
          <w:noProof/>
          <w:szCs w:val="24"/>
          <w:lang w:eastAsia="en-GB"/>
        </w:rPr>
      </w:pPr>
      <w:r w:rsidRPr="00150ABA">
        <w:rPr>
          <w:rFonts w:eastAsia="Times New Roman"/>
          <w:b/>
          <w:bCs/>
          <w:i/>
          <w:iCs/>
          <w:noProof/>
          <w:szCs w:val="24"/>
          <w:lang w:eastAsia="en-GB"/>
        </w:rPr>
        <w:t>Security and liability</w:t>
      </w:r>
    </w:p>
    <w:p w14:paraId="48830007" w14:textId="77777777" w:rsidR="00521C02" w:rsidRPr="00150ABA" w:rsidRDefault="00521C02" w:rsidP="00FF717F">
      <w:pPr>
        <w:pStyle w:val="Titrearticle"/>
        <w:rPr>
          <w:noProof/>
          <w:highlight w:val="yellow"/>
          <w:lang w:eastAsia="en-GB"/>
        </w:rPr>
      </w:pPr>
      <w:r w:rsidRPr="00150ABA">
        <w:rPr>
          <w:noProof/>
          <w:lang w:eastAsia="en-GB"/>
        </w:rPr>
        <w:t>Article 1</w:t>
      </w:r>
      <w:r w:rsidR="006B7969" w:rsidRPr="00150ABA">
        <w:rPr>
          <w:noProof/>
          <w:lang w:eastAsia="en-GB"/>
        </w:rPr>
        <w:t>5</w:t>
      </w:r>
    </w:p>
    <w:p w14:paraId="64A4E76E" w14:textId="77777777" w:rsidR="00521C02" w:rsidRPr="00150ABA" w:rsidRDefault="00521C02" w:rsidP="00521C02">
      <w:pPr>
        <w:shd w:val="clear" w:color="auto" w:fill="FFFFFF" w:themeFill="background1"/>
        <w:spacing w:after="0" w:line="312" w:lineRule="atLeast"/>
        <w:jc w:val="center"/>
        <w:rPr>
          <w:rFonts w:eastAsia="Times New Roman"/>
          <w:b/>
          <w:bCs/>
          <w:noProof/>
          <w:szCs w:val="24"/>
          <w:highlight w:val="yellow"/>
          <w:lang w:eastAsia="en-GB"/>
        </w:rPr>
      </w:pPr>
      <w:r w:rsidRPr="00150ABA">
        <w:rPr>
          <w:rFonts w:eastAsia="Times New Roman"/>
          <w:b/>
          <w:bCs/>
          <w:noProof/>
          <w:szCs w:val="24"/>
          <w:lang w:eastAsia="en-GB"/>
        </w:rPr>
        <w:t>Security</w:t>
      </w:r>
    </w:p>
    <w:p w14:paraId="254F4D77" w14:textId="35719D03" w:rsidR="00521C02" w:rsidRPr="00150ABA" w:rsidRDefault="00D76D82" w:rsidP="00D76D82">
      <w:pPr>
        <w:pStyle w:val="ManualNumPar1"/>
        <w:rPr>
          <w:noProof/>
          <w:lang w:eastAsia="en-GB"/>
        </w:rPr>
      </w:pPr>
      <w:r w:rsidRPr="00D76D82">
        <w:t>1.</w:t>
      </w:r>
      <w:r w:rsidRPr="00D76D82">
        <w:tab/>
      </w:r>
      <w:r w:rsidR="00521C02" w:rsidRPr="00150ABA">
        <w:rPr>
          <w:noProof/>
          <w:lang w:eastAsia="en-GB"/>
        </w:rPr>
        <w:t xml:space="preserve">eu-LISA shall take the necessary technical and organisational measures to ensure </w:t>
      </w:r>
      <w:r w:rsidR="00C968BB" w:rsidRPr="00C968BB">
        <w:rPr>
          <w:noProof/>
          <w:lang w:eastAsia="en-GB"/>
        </w:rPr>
        <w:t xml:space="preserve">a high level of cyber security of the JITs collaboration platform and the information security of data </w:t>
      </w:r>
      <w:r w:rsidR="00521C02" w:rsidRPr="00150ABA">
        <w:rPr>
          <w:noProof/>
          <w:lang w:eastAsia="en-GB"/>
        </w:rPr>
        <w:t>within the JITs collaboration platform, in particular in order to ensure the confidentiality and integrity of operational and non-operational data stored in the centralised information system.</w:t>
      </w:r>
    </w:p>
    <w:p w14:paraId="6E5B9449" w14:textId="69B3E553" w:rsidR="006215DF" w:rsidRPr="00150ABA" w:rsidRDefault="00D76D82" w:rsidP="00D76D82">
      <w:pPr>
        <w:pStyle w:val="ManualNumPar1"/>
        <w:rPr>
          <w:noProof/>
          <w:lang w:eastAsia="en-GB"/>
        </w:rPr>
      </w:pPr>
      <w:r w:rsidRPr="00D76D82">
        <w:t>2.</w:t>
      </w:r>
      <w:r w:rsidRPr="00D76D82">
        <w:tab/>
      </w:r>
      <w:r w:rsidR="00521C02" w:rsidRPr="00150ABA">
        <w:rPr>
          <w:noProof/>
          <w:lang w:eastAsia="en-GB"/>
        </w:rPr>
        <w:t xml:space="preserve">eu-LISA shall prevent  unauthorised access to the JITs collaboration platform and </w:t>
      </w:r>
      <w:r w:rsidR="00D4222F" w:rsidRPr="00150ABA">
        <w:rPr>
          <w:noProof/>
          <w:lang w:eastAsia="en-GB"/>
        </w:rPr>
        <w:t xml:space="preserve">shall </w:t>
      </w:r>
      <w:r w:rsidR="00521C02" w:rsidRPr="00150ABA">
        <w:rPr>
          <w:noProof/>
          <w:lang w:eastAsia="en-GB"/>
        </w:rPr>
        <w:t xml:space="preserve">ensure that persons authorised to access the JITs collaboration platform have access only to the data </w:t>
      </w:r>
      <w:r w:rsidR="00842863" w:rsidRPr="00150ABA">
        <w:rPr>
          <w:noProof/>
          <w:lang w:eastAsia="en-GB"/>
        </w:rPr>
        <w:t>covered by their access authoris</w:t>
      </w:r>
      <w:r w:rsidR="00521C02" w:rsidRPr="00150ABA">
        <w:rPr>
          <w:noProof/>
          <w:lang w:eastAsia="en-GB"/>
        </w:rPr>
        <w:t>ation.</w:t>
      </w:r>
    </w:p>
    <w:p w14:paraId="4A54AE5A" w14:textId="78D6F64D" w:rsidR="00521C02" w:rsidRPr="00150ABA" w:rsidRDefault="00D76D82" w:rsidP="00D76D82">
      <w:pPr>
        <w:pStyle w:val="ManualNumPar1"/>
        <w:rPr>
          <w:noProof/>
          <w:lang w:eastAsia="en-GB"/>
        </w:rPr>
      </w:pPr>
      <w:r w:rsidRPr="00D76D82">
        <w:t>3.</w:t>
      </w:r>
      <w:r w:rsidRPr="00D76D82">
        <w:tab/>
      </w:r>
      <w:r w:rsidR="00360CE8" w:rsidRPr="00150ABA">
        <w:rPr>
          <w:noProof/>
          <w:lang w:eastAsia="en-GB"/>
        </w:rPr>
        <w:t>For the purposes of</w:t>
      </w:r>
      <w:r w:rsidR="00521C02" w:rsidRPr="00150ABA">
        <w:rPr>
          <w:noProof/>
          <w:lang w:eastAsia="en-GB"/>
        </w:rPr>
        <w:t xml:space="preserve"> paragraph</w:t>
      </w:r>
      <w:r w:rsidR="00360CE8" w:rsidRPr="00150ABA">
        <w:rPr>
          <w:noProof/>
          <w:lang w:eastAsia="en-GB"/>
        </w:rPr>
        <w:t>s</w:t>
      </w:r>
      <w:r w:rsidR="00521C02" w:rsidRPr="00150ABA">
        <w:rPr>
          <w:noProof/>
          <w:lang w:eastAsia="en-GB"/>
        </w:rPr>
        <w:t xml:space="preserve"> 1 and 2, eu-LISA shall adopt a security plan</w:t>
      </w:r>
      <w:r w:rsidR="00E550BA" w:rsidRPr="00150ABA">
        <w:rPr>
          <w:noProof/>
          <w:lang w:eastAsia="en-GB"/>
        </w:rPr>
        <w:t>,</w:t>
      </w:r>
      <w:r w:rsidR="00521C02" w:rsidRPr="00150ABA">
        <w:rPr>
          <w:noProof/>
          <w:lang w:eastAsia="en-GB"/>
        </w:rPr>
        <w:t xml:space="preserve"> a business continuity and disaster recovery plan, to ensure that the centralised information system may, in case of interruption, be restored. </w:t>
      </w:r>
    </w:p>
    <w:p w14:paraId="2DB19A06" w14:textId="740EDA3B" w:rsidR="00521C02" w:rsidRPr="00150ABA" w:rsidRDefault="00D76D82" w:rsidP="00D76D82">
      <w:pPr>
        <w:pStyle w:val="ManualNumPar1"/>
        <w:rPr>
          <w:noProof/>
          <w:lang w:eastAsia="en-GB"/>
        </w:rPr>
      </w:pPr>
      <w:r w:rsidRPr="00D76D82">
        <w:t>4.</w:t>
      </w:r>
      <w:r w:rsidRPr="00D76D82">
        <w:tab/>
      </w:r>
      <w:r w:rsidR="00521C02" w:rsidRPr="00150ABA">
        <w:rPr>
          <w:noProof/>
          <w:lang w:eastAsia="en-GB"/>
        </w:rPr>
        <w:t xml:space="preserve">eu-LISA shall monitor the effectiveness of the security measures referred to in this Article and </w:t>
      </w:r>
      <w:r w:rsidR="00D4222F" w:rsidRPr="00150ABA">
        <w:rPr>
          <w:noProof/>
          <w:lang w:eastAsia="en-GB"/>
        </w:rPr>
        <w:t xml:space="preserve">shall </w:t>
      </w:r>
      <w:r w:rsidR="00521C02" w:rsidRPr="00150ABA">
        <w:rPr>
          <w:noProof/>
          <w:lang w:eastAsia="en-GB"/>
        </w:rPr>
        <w:t>take the necessary organisational measures related to self-monitoring and supervision to ensure compliance with this Regulation.</w:t>
      </w:r>
    </w:p>
    <w:p w14:paraId="5BB67DC2" w14:textId="77777777" w:rsidR="00521C02" w:rsidRPr="00150ABA" w:rsidRDefault="00521C02" w:rsidP="00FF717F">
      <w:pPr>
        <w:pStyle w:val="Titrearticle"/>
        <w:rPr>
          <w:noProof/>
          <w:lang w:eastAsia="en-GB"/>
        </w:rPr>
      </w:pPr>
      <w:r w:rsidRPr="00150ABA">
        <w:rPr>
          <w:noProof/>
          <w:lang w:eastAsia="en-GB"/>
        </w:rPr>
        <w:t>Article 1</w:t>
      </w:r>
      <w:r w:rsidR="006B7969" w:rsidRPr="00150ABA">
        <w:rPr>
          <w:noProof/>
          <w:lang w:eastAsia="en-GB"/>
        </w:rPr>
        <w:t>6</w:t>
      </w:r>
    </w:p>
    <w:p w14:paraId="030366C7" w14:textId="77777777" w:rsidR="00521C02" w:rsidRPr="00150ABA" w:rsidRDefault="00521C02" w:rsidP="00521C02">
      <w:pPr>
        <w:shd w:val="clear" w:color="auto" w:fill="FFFFFF" w:themeFill="background1"/>
        <w:spacing w:after="0" w:line="312" w:lineRule="atLeast"/>
        <w:jc w:val="center"/>
        <w:rPr>
          <w:rFonts w:eastAsia="Times New Roman"/>
          <w:b/>
          <w:bCs/>
          <w:noProof/>
          <w:szCs w:val="24"/>
          <w:lang w:eastAsia="en-GB"/>
        </w:rPr>
      </w:pPr>
      <w:r w:rsidRPr="00150ABA">
        <w:rPr>
          <w:rFonts w:eastAsia="Times New Roman"/>
          <w:b/>
          <w:bCs/>
          <w:noProof/>
          <w:szCs w:val="24"/>
          <w:lang w:eastAsia="en-GB"/>
        </w:rPr>
        <w:t>Liability</w:t>
      </w:r>
    </w:p>
    <w:p w14:paraId="348A97F7" w14:textId="099D5692" w:rsidR="0073437D" w:rsidRPr="00150ABA" w:rsidRDefault="00D76D82" w:rsidP="00D76D82">
      <w:pPr>
        <w:pStyle w:val="ManualNumPar1"/>
        <w:rPr>
          <w:noProof/>
          <w:lang w:eastAsia="en-GB"/>
        </w:rPr>
      </w:pPr>
      <w:r w:rsidRPr="00D76D82">
        <w:t>1.</w:t>
      </w:r>
      <w:r w:rsidRPr="00D76D82">
        <w:tab/>
      </w:r>
      <w:r w:rsidR="00D4222F" w:rsidRPr="00150ABA">
        <w:rPr>
          <w:noProof/>
          <w:lang w:eastAsia="en-GB"/>
        </w:rPr>
        <w:t xml:space="preserve">Where </w:t>
      </w:r>
      <w:r w:rsidR="00521C02" w:rsidRPr="00150ABA">
        <w:rPr>
          <w:noProof/>
          <w:lang w:eastAsia="en-GB"/>
        </w:rPr>
        <w:t>a Member State, Eurojust, Europol</w:t>
      </w:r>
      <w:r w:rsidR="00353EB3" w:rsidRPr="00150ABA">
        <w:rPr>
          <w:noProof/>
          <w:lang w:eastAsia="en-GB"/>
        </w:rPr>
        <w:t>,</w:t>
      </w:r>
      <w:r w:rsidR="00521C02" w:rsidRPr="00150ABA">
        <w:rPr>
          <w:noProof/>
          <w:lang w:eastAsia="en-GB"/>
        </w:rPr>
        <w:t xml:space="preserve"> </w:t>
      </w:r>
      <w:r w:rsidR="00353EB3" w:rsidRPr="00150ABA">
        <w:rPr>
          <w:noProof/>
        </w:rPr>
        <w:t xml:space="preserve">the European Public Prosecutor’s Office, </w:t>
      </w:r>
      <w:r w:rsidR="00521C02" w:rsidRPr="00150ABA">
        <w:rPr>
          <w:noProof/>
          <w:lang w:eastAsia="en-GB"/>
        </w:rPr>
        <w:t>OLAF</w:t>
      </w:r>
      <w:r w:rsidR="00353EB3" w:rsidRPr="00150ABA">
        <w:rPr>
          <w:noProof/>
          <w:lang w:eastAsia="en-GB"/>
        </w:rPr>
        <w:t xml:space="preserve"> or any </w:t>
      </w:r>
      <w:r w:rsidR="00353EB3" w:rsidRPr="00150ABA">
        <w:rPr>
          <w:noProof/>
        </w:rPr>
        <w:t>other competent Union body, office or agency</w:t>
      </w:r>
      <w:r w:rsidR="00BA0FD4" w:rsidRPr="00150ABA">
        <w:rPr>
          <w:noProof/>
          <w:lang w:eastAsia="en-GB"/>
        </w:rPr>
        <w:t>, as a consequence of a failure on their part</w:t>
      </w:r>
      <w:r w:rsidR="00521C02" w:rsidRPr="00150ABA">
        <w:rPr>
          <w:noProof/>
          <w:lang w:eastAsia="en-GB"/>
        </w:rPr>
        <w:t xml:space="preserve"> to comply with </w:t>
      </w:r>
      <w:r w:rsidR="00BA0FD4" w:rsidRPr="00150ABA">
        <w:rPr>
          <w:noProof/>
          <w:lang w:eastAsia="en-GB"/>
        </w:rPr>
        <w:t>their</w:t>
      </w:r>
      <w:r w:rsidR="00521C02" w:rsidRPr="00150ABA">
        <w:rPr>
          <w:noProof/>
          <w:lang w:eastAsia="en-GB"/>
        </w:rPr>
        <w:t xml:space="preserve"> obligations under this Regulation</w:t>
      </w:r>
      <w:r w:rsidR="00BA0FD4" w:rsidRPr="00150ABA">
        <w:rPr>
          <w:noProof/>
          <w:lang w:eastAsia="en-GB"/>
        </w:rPr>
        <w:t>,</w:t>
      </w:r>
      <w:r w:rsidR="00521C02" w:rsidRPr="00150ABA">
        <w:rPr>
          <w:noProof/>
          <w:lang w:eastAsia="en-GB"/>
        </w:rPr>
        <w:t xml:space="preserve"> cause damage to the JITs collaboration platform, that Member State, Eurojust, Europol</w:t>
      </w:r>
      <w:r w:rsidR="00353EB3" w:rsidRPr="00150ABA">
        <w:rPr>
          <w:noProof/>
          <w:lang w:eastAsia="en-GB"/>
        </w:rPr>
        <w:t xml:space="preserve">, </w:t>
      </w:r>
      <w:r w:rsidR="00353EB3" w:rsidRPr="00150ABA">
        <w:rPr>
          <w:noProof/>
        </w:rPr>
        <w:t xml:space="preserve">the European Public Prosecutor’s Office, </w:t>
      </w:r>
      <w:r w:rsidR="00521C02" w:rsidRPr="00150ABA">
        <w:rPr>
          <w:noProof/>
          <w:lang w:eastAsia="en-GB"/>
        </w:rPr>
        <w:t>OLAF</w:t>
      </w:r>
      <w:r w:rsidR="00353EB3" w:rsidRPr="00150ABA">
        <w:rPr>
          <w:noProof/>
          <w:lang w:eastAsia="en-GB"/>
        </w:rPr>
        <w:t xml:space="preserve"> or</w:t>
      </w:r>
      <w:r w:rsidR="00521C02" w:rsidRPr="00150ABA">
        <w:rPr>
          <w:noProof/>
          <w:lang w:eastAsia="en-GB"/>
        </w:rPr>
        <w:t xml:space="preserve"> </w:t>
      </w:r>
      <w:r w:rsidR="00C66019" w:rsidRPr="00150ABA">
        <w:rPr>
          <w:noProof/>
          <w:lang w:eastAsia="en-GB"/>
        </w:rPr>
        <w:t>other</w:t>
      </w:r>
      <w:r w:rsidR="00353EB3" w:rsidRPr="00150ABA">
        <w:rPr>
          <w:noProof/>
          <w:lang w:eastAsia="en-GB"/>
        </w:rPr>
        <w:t xml:space="preserve"> </w:t>
      </w:r>
      <w:r w:rsidR="00353EB3" w:rsidRPr="00150ABA">
        <w:rPr>
          <w:noProof/>
        </w:rPr>
        <w:t xml:space="preserve">competent Union body, office or agency </w:t>
      </w:r>
      <w:r w:rsidR="00521C02" w:rsidRPr="00150ABA">
        <w:rPr>
          <w:noProof/>
          <w:lang w:eastAsia="en-GB"/>
        </w:rPr>
        <w:t>respectively, shall be held liable for such damage, insofar as eu-LISA fail</w:t>
      </w:r>
      <w:r w:rsidR="00F40134" w:rsidRPr="00150ABA">
        <w:rPr>
          <w:noProof/>
          <w:lang w:eastAsia="en-GB"/>
        </w:rPr>
        <w:t>s</w:t>
      </w:r>
      <w:r w:rsidR="00521C02" w:rsidRPr="00150ABA">
        <w:rPr>
          <w:noProof/>
          <w:lang w:eastAsia="en-GB"/>
        </w:rPr>
        <w:t xml:space="preserve"> to take reasonable measures to prevent the damage from occurring or to minimise its impact.</w:t>
      </w:r>
    </w:p>
    <w:p w14:paraId="43F4B700" w14:textId="182975EA" w:rsidR="00521C02" w:rsidRPr="00150ABA" w:rsidRDefault="00D76D82" w:rsidP="00D76D82">
      <w:pPr>
        <w:pStyle w:val="ManualNumPar1"/>
        <w:rPr>
          <w:noProof/>
          <w:lang w:eastAsia="en-GB"/>
        </w:rPr>
      </w:pPr>
      <w:r w:rsidRPr="00D76D82">
        <w:t>2.</w:t>
      </w:r>
      <w:r w:rsidRPr="00D76D82">
        <w:tab/>
      </w:r>
      <w:r w:rsidR="00521C02" w:rsidRPr="00150ABA">
        <w:rPr>
          <w:noProof/>
          <w:lang w:eastAsia="en-GB"/>
        </w:rPr>
        <w:t>Claims for compensation against a Member State for the damage referred to in paragraph 1 shall be governed by the law of the defendant Member State. Claims for compensation against Eurojust, Europol</w:t>
      </w:r>
      <w:r w:rsidR="00353EB3" w:rsidRPr="00150ABA">
        <w:rPr>
          <w:noProof/>
          <w:lang w:eastAsia="en-GB"/>
        </w:rPr>
        <w:t xml:space="preserve">, </w:t>
      </w:r>
      <w:r w:rsidR="00353EB3" w:rsidRPr="00150ABA">
        <w:rPr>
          <w:noProof/>
        </w:rPr>
        <w:t>the European Public Prosecutor’s Office,</w:t>
      </w:r>
      <w:r w:rsidR="00521C02" w:rsidRPr="00150ABA">
        <w:rPr>
          <w:noProof/>
          <w:lang w:eastAsia="en-GB"/>
        </w:rPr>
        <w:t xml:space="preserve"> OLAF </w:t>
      </w:r>
      <w:r w:rsidR="00353EB3" w:rsidRPr="00150ABA">
        <w:rPr>
          <w:noProof/>
          <w:lang w:eastAsia="en-GB"/>
        </w:rPr>
        <w:t xml:space="preserve">or any </w:t>
      </w:r>
      <w:r w:rsidR="00353EB3" w:rsidRPr="00150ABA">
        <w:rPr>
          <w:noProof/>
        </w:rPr>
        <w:t xml:space="preserve">other competent Union body, office or agency </w:t>
      </w:r>
      <w:r w:rsidR="00521C02" w:rsidRPr="00150ABA">
        <w:rPr>
          <w:noProof/>
          <w:lang w:eastAsia="en-GB"/>
        </w:rPr>
        <w:t>for the damage referred to in paragraph 1 shall be governed by their respective founding acts.</w:t>
      </w:r>
    </w:p>
    <w:p w14:paraId="1E1D446F" w14:textId="77777777" w:rsidR="00521C02" w:rsidRPr="00150ABA" w:rsidRDefault="00521C02" w:rsidP="00521C02">
      <w:pPr>
        <w:shd w:val="clear" w:color="auto" w:fill="FFFFFF" w:themeFill="background1"/>
        <w:spacing w:after="0" w:line="312" w:lineRule="atLeast"/>
        <w:rPr>
          <w:rFonts w:eastAsia="Times New Roman"/>
          <w:noProof/>
          <w:szCs w:val="24"/>
          <w:lang w:eastAsia="en-GB"/>
        </w:rPr>
      </w:pPr>
      <w:r w:rsidRPr="00150ABA">
        <w:rPr>
          <w:rFonts w:eastAsia="Times New Roman"/>
          <w:noProof/>
          <w:szCs w:val="24"/>
          <w:lang w:eastAsia="en-GB"/>
        </w:rPr>
        <w:tab/>
      </w:r>
    </w:p>
    <w:p w14:paraId="63D70A19" w14:textId="77777777" w:rsidR="00521C02" w:rsidRPr="00150ABA" w:rsidRDefault="00521C02" w:rsidP="00521C02">
      <w:pPr>
        <w:shd w:val="clear" w:color="auto" w:fill="FFFFFF" w:themeFill="background1"/>
        <w:spacing w:after="0" w:line="312" w:lineRule="atLeast"/>
        <w:jc w:val="center"/>
        <w:rPr>
          <w:rFonts w:eastAsia="Times New Roman"/>
          <w:b/>
          <w:bCs/>
          <w:noProof/>
          <w:szCs w:val="24"/>
          <w:lang w:eastAsia="en-GB"/>
        </w:rPr>
      </w:pPr>
      <w:r w:rsidRPr="00150ABA">
        <w:rPr>
          <w:rFonts w:eastAsia="Times New Roman"/>
          <w:b/>
          <w:bCs/>
          <w:iCs/>
          <w:noProof/>
          <w:szCs w:val="24"/>
          <w:lang w:eastAsia="en-GB"/>
        </w:rPr>
        <w:t>CHAPTER V</w:t>
      </w:r>
    </w:p>
    <w:p w14:paraId="4BAB4EA0" w14:textId="77777777" w:rsidR="00521C02" w:rsidRPr="00150ABA" w:rsidRDefault="00521C02" w:rsidP="00521C02">
      <w:pPr>
        <w:shd w:val="clear" w:color="auto" w:fill="FFFFFF" w:themeFill="background1"/>
        <w:spacing w:after="0" w:line="312" w:lineRule="atLeast"/>
        <w:jc w:val="center"/>
        <w:rPr>
          <w:rFonts w:eastAsia="Times New Roman"/>
          <w:b/>
          <w:bCs/>
          <w:noProof/>
          <w:szCs w:val="24"/>
          <w:lang w:eastAsia="en-GB"/>
        </w:rPr>
      </w:pPr>
      <w:r w:rsidRPr="00150ABA">
        <w:rPr>
          <w:rFonts w:eastAsia="Times New Roman"/>
          <w:b/>
          <w:bCs/>
          <w:i/>
          <w:iCs/>
          <w:noProof/>
          <w:szCs w:val="24"/>
          <w:lang w:eastAsia="en-GB"/>
        </w:rPr>
        <w:t xml:space="preserve">Data protection </w:t>
      </w:r>
    </w:p>
    <w:p w14:paraId="05F43F66" w14:textId="77777777" w:rsidR="00521C02" w:rsidRPr="00150ABA" w:rsidRDefault="00521C02" w:rsidP="00FF717F">
      <w:pPr>
        <w:pStyle w:val="Titrearticle"/>
        <w:rPr>
          <w:noProof/>
        </w:rPr>
      </w:pPr>
      <w:r w:rsidRPr="00150ABA">
        <w:rPr>
          <w:noProof/>
        </w:rPr>
        <w:t>Article 1</w:t>
      </w:r>
      <w:r w:rsidR="006B7969" w:rsidRPr="00150ABA">
        <w:rPr>
          <w:noProof/>
        </w:rPr>
        <w:t>7</w:t>
      </w:r>
    </w:p>
    <w:p w14:paraId="0630D56B" w14:textId="30CEEE40" w:rsidR="00521C02" w:rsidRPr="00150ABA" w:rsidRDefault="00521C02" w:rsidP="00521C02">
      <w:pPr>
        <w:pStyle w:val="sti-art"/>
        <w:shd w:val="clear" w:color="auto" w:fill="FFFFFF"/>
        <w:spacing w:before="60" w:beforeAutospacing="0" w:after="120" w:afterAutospacing="0" w:line="312" w:lineRule="atLeast"/>
        <w:jc w:val="center"/>
        <w:rPr>
          <w:b/>
          <w:bCs/>
          <w:noProof/>
        </w:rPr>
      </w:pPr>
      <w:r w:rsidRPr="00150ABA">
        <w:rPr>
          <w:b/>
          <w:bCs/>
          <w:noProof/>
        </w:rPr>
        <w:t>Retention period for storage of operational data</w:t>
      </w:r>
    </w:p>
    <w:p w14:paraId="1A78278A" w14:textId="74D12FF3" w:rsidR="00521C02" w:rsidRPr="00150ABA" w:rsidRDefault="00D76D82" w:rsidP="00D76D82">
      <w:pPr>
        <w:pStyle w:val="ManualNumPar1"/>
        <w:rPr>
          <w:noProof/>
          <w:lang w:eastAsia="en-GB"/>
        </w:rPr>
      </w:pPr>
      <w:r w:rsidRPr="00D76D82">
        <w:t>1.</w:t>
      </w:r>
      <w:r w:rsidRPr="00D76D82">
        <w:tab/>
      </w:r>
      <w:r w:rsidR="00521C02" w:rsidRPr="00150ABA">
        <w:rPr>
          <w:noProof/>
        </w:rPr>
        <w:t xml:space="preserve">Operational </w:t>
      </w:r>
      <w:r w:rsidR="00521C02" w:rsidRPr="00150ABA">
        <w:rPr>
          <w:noProof/>
          <w:lang w:eastAsia="en-GB"/>
        </w:rPr>
        <w:t xml:space="preserve">data pertaining to each JIT collaboration space shall be stored in the centralised information system for as long as needed for all concerned </w:t>
      </w:r>
      <w:r w:rsidR="00E27052" w:rsidRPr="00150ABA">
        <w:rPr>
          <w:noProof/>
          <w:lang w:eastAsia="en-GB"/>
        </w:rPr>
        <w:t xml:space="preserve">JITs collaboration platform users </w:t>
      </w:r>
      <w:r w:rsidR="00521C02" w:rsidRPr="00150ABA">
        <w:rPr>
          <w:noProof/>
          <w:lang w:eastAsia="en-GB"/>
        </w:rPr>
        <w:t xml:space="preserve">to complete the process of its downloading. </w:t>
      </w:r>
      <w:r w:rsidR="00F40134" w:rsidRPr="00150ABA">
        <w:rPr>
          <w:noProof/>
          <w:lang w:eastAsia="en-GB"/>
        </w:rPr>
        <w:t xml:space="preserve">The </w:t>
      </w:r>
      <w:r w:rsidR="00521C02" w:rsidRPr="00150ABA">
        <w:rPr>
          <w:noProof/>
          <w:lang w:eastAsia="en-GB"/>
        </w:rPr>
        <w:t xml:space="preserve">retention period shall not exceed </w:t>
      </w:r>
      <w:r w:rsidR="00031F5E" w:rsidRPr="00150ABA">
        <w:rPr>
          <w:noProof/>
          <w:lang w:eastAsia="en-GB"/>
        </w:rPr>
        <w:t xml:space="preserve">four </w:t>
      </w:r>
      <w:r w:rsidR="00521C02" w:rsidRPr="00150ABA">
        <w:rPr>
          <w:noProof/>
          <w:lang w:eastAsia="en-GB"/>
        </w:rPr>
        <w:t>weeks.</w:t>
      </w:r>
    </w:p>
    <w:p w14:paraId="0E919F6B" w14:textId="1709FA3A" w:rsidR="00521C02" w:rsidRPr="00150ABA" w:rsidRDefault="00D76D82" w:rsidP="00D76D82">
      <w:pPr>
        <w:pStyle w:val="ManualNumPar1"/>
        <w:rPr>
          <w:noProof/>
        </w:rPr>
      </w:pPr>
      <w:r w:rsidRPr="00D76D82">
        <w:t>2.</w:t>
      </w:r>
      <w:r w:rsidRPr="00D76D82">
        <w:tab/>
      </w:r>
      <w:r w:rsidR="00521C02" w:rsidRPr="00150ABA">
        <w:rPr>
          <w:noProof/>
          <w:lang w:eastAsia="en-GB"/>
        </w:rPr>
        <w:t>Upon expiry</w:t>
      </w:r>
      <w:r w:rsidR="00521C02" w:rsidRPr="00150ABA">
        <w:rPr>
          <w:noProof/>
        </w:rPr>
        <w:t xml:space="preserve"> of the retention period referred to in paragraph 1, the data record shall be automatically erased from the centralised system. </w:t>
      </w:r>
    </w:p>
    <w:p w14:paraId="4E58F1EA" w14:textId="77777777" w:rsidR="00521C02" w:rsidRPr="00150ABA" w:rsidRDefault="00521C02" w:rsidP="00FF717F">
      <w:pPr>
        <w:pStyle w:val="Titrearticle"/>
        <w:rPr>
          <w:noProof/>
        </w:rPr>
      </w:pPr>
      <w:r w:rsidRPr="00150ABA">
        <w:rPr>
          <w:noProof/>
        </w:rPr>
        <w:t xml:space="preserve">Article </w:t>
      </w:r>
      <w:r w:rsidR="006B7969" w:rsidRPr="00150ABA">
        <w:rPr>
          <w:noProof/>
        </w:rPr>
        <w:t>18</w:t>
      </w:r>
    </w:p>
    <w:p w14:paraId="45457D8B" w14:textId="6CC84197" w:rsidR="00521C02" w:rsidRPr="00150ABA" w:rsidRDefault="00521C02" w:rsidP="00521C02">
      <w:pPr>
        <w:pStyle w:val="sti-art"/>
        <w:shd w:val="clear" w:color="auto" w:fill="FFFFFF"/>
        <w:spacing w:before="60" w:beforeAutospacing="0" w:after="120" w:afterAutospacing="0" w:line="312" w:lineRule="atLeast"/>
        <w:jc w:val="center"/>
        <w:rPr>
          <w:b/>
          <w:bCs/>
          <w:noProof/>
        </w:rPr>
      </w:pPr>
      <w:r w:rsidRPr="00150ABA">
        <w:rPr>
          <w:b/>
          <w:bCs/>
          <w:noProof/>
        </w:rPr>
        <w:t>Retention period for storage of non-operational data</w:t>
      </w:r>
    </w:p>
    <w:p w14:paraId="15EE07AE" w14:textId="4CC75B64" w:rsidR="00521C02" w:rsidRPr="00150ABA" w:rsidRDefault="00D76D82" w:rsidP="00D76D82">
      <w:pPr>
        <w:pStyle w:val="ManualNumPar1"/>
        <w:rPr>
          <w:noProof/>
          <w:lang w:eastAsia="en-GB"/>
        </w:rPr>
      </w:pPr>
      <w:r w:rsidRPr="00D76D82">
        <w:t>1.</w:t>
      </w:r>
      <w:r w:rsidRPr="00D76D82">
        <w:tab/>
      </w:r>
      <w:r w:rsidR="00362E57" w:rsidRPr="00150ABA">
        <w:rPr>
          <w:noProof/>
        </w:rPr>
        <w:t>Where an evaluation of the JIT is envisaged, n</w:t>
      </w:r>
      <w:r w:rsidR="00521C02" w:rsidRPr="00150ABA">
        <w:rPr>
          <w:noProof/>
        </w:rPr>
        <w:t>on-</w:t>
      </w:r>
      <w:r w:rsidR="00521C02" w:rsidRPr="00150ABA">
        <w:rPr>
          <w:noProof/>
          <w:lang w:eastAsia="en-GB"/>
        </w:rPr>
        <w:t xml:space="preserve">operational data pertaining to each JIT collaboration space shall be stored in the centralised information system </w:t>
      </w:r>
      <w:r w:rsidR="00C2677A" w:rsidRPr="00150ABA">
        <w:rPr>
          <w:noProof/>
          <w:lang w:eastAsia="en-GB"/>
        </w:rPr>
        <w:t>until the</w:t>
      </w:r>
      <w:r w:rsidR="00362E57" w:rsidRPr="00150ABA">
        <w:rPr>
          <w:noProof/>
          <w:lang w:eastAsia="en-GB"/>
        </w:rPr>
        <w:t xml:space="preserve"> JIT</w:t>
      </w:r>
      <w:r w:rsidR="00C2677A" w:rsidRPr="00150ABA">
        <w:rPr>
          <w:noProof/>
          <w:lang w:eastAsia="en-GB"/>
        </w:rPr>
        <w:t xml:space="preserve"> evaluation has been completed.</w:t>
      </w:r>
      <w:r w:rsidR="004F0CD2" w:rsidRPr="00150ABA">
        <w:rPr>
          <w:noProof/>
          <w:lang w:eastAsia="en-GB"/>
        </w:rPr>
        <w:t xml:space="preserve"> The retention period shall not exceed five years.</w:t>
      </w:r>
    </w:p>
    <w:p w14:paraId="67A94AF1" w14:textId="3F26C103" w:rsidR="00521C02" w:rsidRPr="00150ABA" w:rsidRDefault="00D76D82" w:rsidP="00D76D82">
      <w:pPr>
        <w:pStyle w:val="ManualNumPar1"/>
        <w:rPr>
          <w:noProof/>
        </w:rPr>
      </w:pPr>
      <w:r w:rsidRPr="00D76D82">
        <w:t>2.</w:t>
      </w:r>
      <w:r w:rsidRPr="00D76D82">
        <w:tab/>
      </w:r>
      <w:r w:rsidR="00521C02" w:rsidRPr="00150ABA">
        <w:rPr>
          <w:noProof/>
          <w:lang w:eastAsia="en-GB"/>
        </w:rPr>
        <w:t>Upon expiry</w:t>
      </w:r>
      <w:r w:rsidR="00521C02" w:rsidRPr="00150ABA">
        <w:rPr>
          <w:noProof/>
        </w:rPr>
        <w:t xml:space="preserve"> of the retention period referred to in paragraph 1, the data record shall be automatically erased from the centralised system.</w:t>
      </w:r>
    </w:p>
    <w:p w14:paraId="58A365E7" w14:textId="77777777" w:rsidR="00521C02" w:rsidRPr="00150ABA" w:rsidRDefault="00521C02" w:rsidP="00FF717F">
      <w:pPr>
        <w:pStyle w:val="Titrearticle"/>
        <w:rPr>
          <w:noProof/>
          <w:lang w:eastAsia="en-GB"/>
        </w:rPr>
      </w:pPr>
      <w:r w:rsidRPr="00150ABA">
        <w:rPr>
          <w:noProof/>
          <w:lang w:eastAsia="en-GB"/>
        </w:rPr>
        <w:t xml:space="preserve">Article </w:t>
      </w:r>
      <w:r w:rsidR="006B7969" w:rsidRPr="00150ABA">
        <w:rPr>
          <w:noProof/>
          <w:lang w:eastAsia="en-GB"/>
        </w:rPr>
        <w:t>19</w:t>
      </w:r>
    </w:p>
    <w:p w14:paraId="0F8921CB" w14:textId="011037EC" w:rsidR="00521C02" w:rsidRPr="00150ABA" w:rsidRDefault="00521C02" w:rsidP="0073437D">
      <w:pPr>
        <w:pStyle w:val="sti-art"/>
        <w:shd w:val="clear" w:color="auto" w:fill="FFFFFF"/>
        <w:spacing w:before="60" w:beforeAutospacing="0" w:after="120" w:afterAutospacing="0" w:line="312" w:lineRule="atLeast"/>
        <w:jc w:val="center"/>
        <w:rPr>
          <w:b/>
          <w:bCs/>
          <w:noProof/>
        </w:rPr>
      </w:pPr>
      <w:r w:rsidRPr="00150ABA">
        <w:rPr>
          <w:b/>
          <w:bCs/>
          <w:noProof/>
        </w:rPr>
        <w:t>Data controller and data processor</w:t>
      </w:r>
    </w:p>
    <w:p w14:paraId="1AE2182E" w14:textId="2E1A39C3" w:rsidR="00521C02" w:rsidRPr="00150ABA" w:rsidRDefault="00D76D82" w:rsidP="00D76D82">
      <w:pPr>
        <w:pStyle w:val="ManualNumPar1"/>
        <w:rPr>
          <w:noProof/>
          <w:lang w:eastAsia="en-GB"/>
        </w:rPr>
      </w:pPr>
      <w:r w:rsidRPr="00D76D82">
        <w:t>1.</w:t>
      </w:r>
      <w:r w:rsidRPr="00D76D82">
        <w:tab/>
      </w:r>
      <w:r w:rsidR="00521C02" w:rsidRPr="00150ABA">
        <w:rPr>
          <w:noProof/>
          <w:lang w:eastAsia="en-GB"/>
        </w:rPr>
        <w:t xml:space="preserve">Each competent </w:t>
      </w:r>
      <w:r w:rsidR="003521F6" w:rsidRPr="00150ABA">
        <w:rPr>
          <w:noProof/>
          <w:lang w:eastAsia="en-GB"/>
        </w:rPr>
        <w:t xml:space="preserve">national </w:t>
      </w:r>
      <w:r w:rsidR="00521C02" w:rsidRPr="00150ABA">
        <w:rPr>
          <w:noProof/>
          <w:lang w:eastAsia="en-GB"/>
        </w:rPr>
        <w:t>authority</w:t>
      </w:r>
      <w:r w:rsidR="00CF6773" w:rsidRPr="00150ABA">
        <w:rPr>
          <w:noProof/>
          <w:lang w:eastAsia="en-GB"/>
        </w:rPr>
        <w:t xml:space="preserve"> of a Member State</w:t>
      </w:r>
      <w:r w:rsidR="00521C02" w:rsidRPr="00150ABA">
        <w:rPr>
          <w:noProof/>
          <w:lang w:eastAsia="en-GB"/>
        </w:rPr>
        <w:t xml:space="preserve">, </w:t>
      </w:r>
      <w:r w:rsidR="00B473AA" w:rsidRPr="00150ABA">
        <w:rPr>
          <w:noProof/>
          <w:lang w:eastAsia="en-GB"/>
        </w:rPr>
        <w:t xml:space="preserve">and </w:t>
      </w:r>
      <w:r w:rsidR="00521C02" w:rsidRPr="00150ABA">
        <w:rPr>
          <w:noProof/>
          <w:lang w:eastAsia="en-GB"/>
        </w:rPr>
        <w:t>where appropriate, Eurojust, Europol</w:t>
      </w:r>
      <w:r w:rsidR="00A71DFF" w:rsidRPr="00150ABA">
        <w:rPr>
          <w:noProof/>
          <w:lang w:eastAsia="en-GB"/>
        </w:rPr>
        <w:t xml:space="preserve">, </w:t>
      </w:r>
      <w:r w:rsidR="00A71DFF" w:rsidRPr="00150ABA">
        <w:rPr>
          <w:noProof/>
        </w:rPr>
        <w:t>the European Public Prosecutor’s Office,</w:t>
      </w:r>
      <w:r w:rsidR="00A71DFF" w:rsidRPr="00150ABA">
        <w:rPr>
          <w:noProof/>
          <w:lang w:eastAsia="en-GB"/>
        </w:rPr>
        <w:t xml:space="preserve"> </w:t>
      </w:r>
      <w:r w:rsidR="00521C02" w:rsidRPr="00150ABA">
        <w:rPr>
          <w:noProof/>
          <w:lang w:eastAsia="en-GB"/>
        </w:rPr>
        <w:t>OLAF</w:t>
      </w:r>
      <w:r w:rsidR="00A71DFF" w:rsidRPr="00150ABA">
        <w:rPr>
          <w:noProof/>
          <w:lang w:eastAsia="en-GB"/>
        </w:rPr>
        <w:t xml:space="preserve"> or any </w:t>
      </w:r>
      <w:r w:rsidR="00A71DFF" w:rsidRPr="00150ABA">
        <w:rPr>
          <w:noProof/>
        </w:rPr>
        <w:t>other competent Union body, office or agency</w:t>
      </w:r>
      <w:r w:rsidR="00521C02" w:rsidRPr="00150ABA">
        <w:rPr>
          <w:noProof/>
          <w:lang w:eastAsia="en-GB"/>
        </w:rPr>
        <w:t xml:space="preserve"> </w:t>
      </w:r>
      <w:r w:rsidR="00F40134" w:rsidRPr="00150ABA">
        <w:rPr>
          <w:noProof/>
          <w:lang w:eastAsia="en-GB"/>
        </w:rPr>
        <w:t>shall be</w:t>
      </w:r>
      <w:r w:rsidR="00521C02" w:rsidRPr="00150ABA">
        <w:rPr>
          <w:noProof/>
          <w:lang w:eastAsia="en-GB"/>
        </w:rPr>
        <w:t xml:space="preserve"> considered </w:t>
      </w:r>
      <w:r w:rsidR="00D7622C" w:rsidRPr="00150ABA">
        <w:rPr>
          <w:noProof/>
          <w:lang w:eastAsia="en-GB"/>
        </w:rPr>
        <w:t xml:space="preserve">to be </w:t>
      </w:r>
      <w:r w:rsidR="00521C02" w:rsidRPr="00150ABA">
        <w:rPr>
          <w:noProof/>
          <w:lang w:eastAsia="en-GB"/>
        </w:rPr>
        <w:t>data controller</w:t>
      </w:r>
      <w:r w:rsidR="00F40134" w:rsidRPr="00150ABA">
        <w:rPr>
          <w:noProof/>
          <w:lang w:eastAsia="en-GB"/>
        </w:rPr>
        <w:t>s</w:t>
      </w:r>
      <w:r w:rsidR="00521C02" w:rsidRPr="00150ABA">
        <w:rPr>
          <w:noProof/>
          <w:lang w:eastAsia="en-GB"/>
        </w:rPr>
        <w:t xml:space="preserve"> in accordance with applicable Union data protection rules for the processing of personal data under this Regulation.</w:t>
      </w:r>
    </w:p>
    <w:p w14:paraId="6EC64F5C" w14:textId="594E5B87" w:rsidR="00A45C71" w:rsidRPr="00150ABA" w:rsidRDefault="00D76D82" w:rsidP="00D76D82">
      <w:pPr>
        <w:pStyle w:val="ManualNumPar1"/>
        <w:rPr>
          <w:noProof/>
          <w:lang w:eastAsia="en-GB"/>
        </w:rPr>
      </w:pPr>
      <w:r w:rsidRPr="00D76D82">
        <w:t>2.</w:t>
      </w:r>
      <w:r w:rsidRPr="00D76D82">
        <w:tab/>
      </w:r>
      <w:r w:rsidR="00834BB6" w:rsidRPr="00150ABA">
        <w:rPr>
          <w:noProof/>
          <w:lang w:eastAsia="en-GB"/>
        </w:rPr>
        <w:t xml:space="preserve">With regard to </w:t>
      </w:r>
      <w:r w:rsidR="00A45C71" w:rsidRPr="00150ABA">
        <w:rPr>
          <w:noProof/>
          <w:lang w:eastAsia="en-GB"/>
        </w:rPr>
        <w:t xml:space="preserve">data uploaded </w:t>
      </w:r>
      <w:r w:rsidR="00834BB6" w:rsidRPr="00150ABA">
        <w:rPr>
          <w:noProof/>
          <w:lang w:eastAsia="en-GB"/>
        </w:rPr>
        <w:t xml:space="preserve">to the JITs collaboration platform </w:t>
      </w:r>
      <w:r w:rsidR="00A45C71" w:rsidRPr="00150ABA">
        <w:rPr>
          <w:noProof/>
          <w:lang w:eastAsia="en-GB"/>
        </w:rPr>
        <w:t xml:space="preserve">by </w:t>
      </w:r>
      <w:r w:rsidR="007E46C5" w:rsidRPr="00150ABA">
        <w:rPr>
          <w:noProof/>
          <w:lang w:eastAsia="en-GB"/>
        </w:rPr>
        <w:t xml:space="preserve">the competent authorities of </w:t>
      </w:r>
      <w:r w:rsidR="00A45C71" w:rsidRPr="00150ABA">
        <w:rPr>
          <w:noProof/>
          <w:lang w:eastAsia="en-GB"/>
        </w:rPr>
        <w:t xml:space="preserve">third </w:t>
      </w:r>
      <w:r w:rsidR="00772464" w:rsidRPr="00150ABA">
        <w:rPr>
          <w:noProof/>
          <w:lang w:eastAsia="en-GB"/>
        </w:rPr>
        <w:t>countries</w:t>
      </w:r>
      <w:r w:rsidR="00A45C71" w:rsidRPr="00150ABA">
        <w:rPr>
          <w:noProof/>
          <w:lang w:eastAsia="en-GB"/>
        </w:rPr>
        <w:t xml:space="preserve">, </w:t>
      </w:r>
      <w:r w:rsidR="00D7622C" w:rsidRPr="00150ABA">
        <w:rPr>
          <w:noProof/>
          <w:lang w:eastAsia="en-GB"/>
        </w:rPr>
        <w:t xml:space="preserve">one </w:t>
      </w:r>
      <w:r w:rsidR="003B7958" w:rsidRPr="00150ABA">
        <w:rPr>
          <w:noProof/>
          <w:lang w:eastAsia="en-GB"/>
        </w:rPr>
        <w:t xml:space="preserve">of </w:t>
      </w:r>
      <w:r w:rsidR="00A71DFF" w:rsidRPr="00150ABA">
        <w:rPr>
          <w:noProof/>
          <w:lang w:eastAsia="en-GB"/>
        </w:rPr>
        <w:t xml:space="preserve">the JIT space administrators </w:t>
      </w:r>
      <w:r w:rsidR="00D7622C" w:rsidRPr="00150ABA">
        <w:rPr>
          <w:noProof/>
          <w:lang w:eastAsia="en-GB"/>
        </w:rPr>
        <w:t xml:space="preserve">is </w:t>
      </w:r>
      <w:r w:rsidR="00A45C71" w:rsidRPr="00150ABA">
        <w:rPr>
          <w:noProof/>
          <w:lang w:eastAsia="en-GB"/>
        </w:rPr>
        <w:t xml:space="preserve">to be considered data controller </w:t>
      </w:r>
      <w:r w:rsidR="00D66604" w:rsidRPr="00150ABA">
        <w:rPr>
          <w:noProof/>
          <w:lang w:eastAsia="en-GB"/>
        </w:rPr>
        <w:t>as regards the personal data exchanged through</w:t>
      </w:r>
      <w:r w:rsidR="00F40134" w:rsidRPr="00150ABA">
        <w:rPr>
          <w:noProof/>
          <w:lang w:eastAsia="en-GB"/>
        </w:rPr>
        <w:t>,</w:t>
      </w:r>
      <w:r w:rsidR="00D66604" w:rsidRPr="00150ABA">
        <w:rPr>
          <w:noProof/>
          <w:lang w:eastAsia="en-GB"/>
        </w:rPr>
        <w:t xml:space="preserve"> and stored in the JITs collaboration platform.</w:t>
      </w:r>
    </w:p>
    <w:p w14:paraId="48DF7488" w14:textId="420873C6" w:rsidR="00521C02" w:rsidRPr="00150ABA" w:rsidRDefault="00D76D82" w:rsidP="00D76D82">
      <w:pPr>
        <w:pStyle w:val="ManualNumPar1"/>
        <w:rPr>
          <w:noProof/>
          <w:lang w:eastAsia="en-GB"/>
        </w:rPr>
      </w:pPr>
      <w:r w:rsidRPr="00D76D82">
        <w:t>3.</w:t>
      </w:r>
      <w:r w:rsidRPr="00D76D82">
        <w:tab/>
      </w:r>
      <w:r w:rsidR="00521C02" w:rsidRPr="00150ABA">
        <w:rPr>
          <w:noProof/>
          <w:lang w:eastAsia="en-GB"/>
        </w:rPr>
        <w:t xml:space="preserve">eu-LISA shall be considered </w:t>
      </w:r>
      <w:r w:rsidR="00D7622C" w:rsidRPr="00150ABA">
        <w:rPr>
          <w:noProof/>
          <w:lang w:eastAsia="en-GB"/>
        </w:rPr>
        <w:t xml:space="preserve">to be </w:t>
      </w:r>
      <w:r w:rsidR="00521C02" w:rsidRPr="00150ABA">
        <w:rPr>
          <w:noProof/>
          <w:lang w:eastAsia="en-GB"/>
        </w:rPr>
        <w:t>data processor in accordance with Regulation (EU) 2018/1725 as regards the personal data exchanged through</w:t>
      </w:r>
      <w:r w:rsidR="00F40134" w:rsidRPr="00150ABA">
        <w:rPr>
          <w:noProof/>
          <w:lang w:eastAsia="en-GB"/>
        </w:rPr>
        <w:t>,</w:t>
      </w:r>
      <w:r w:rsidR="00521C02" w:rsidRPr="00150ABA">
        <w:rPr>
          <w:noProof/>
          <w:lang w:eastAsia="en-GB"/>
        </w:rPr>
        <w:t xml:space="preserve"> and stored in the JITs collaboration platform.</w:t>
      </w:r>
    </w:p>
    <w:p w14:paraId="3F8665D7" w14:textId="52DEA262" w:rsidR="0030009B" w:rsidRPr="00150ABA" w:rsidRDefault="00D76D82" w:rsidP="00D76D82">
      <w:pPr>
        <w:pStyle w:val="ManualNumPar1"/>
        <w:rPr>
          <w:noProof/>
          <w:lang w:eastAsia="en-GB"/>
        </w:rPr>
      </w:pPr>
      <w:r w:rsidRPr="00D76D82">
        <w:t>4.</w:t>
      </w:r>
      <w:r w:rsidRPr="00D76D82">
        <w:tab/>
      </w:r>
      <w:r w:rsidR="0030009B" w:rsidRPr="00150ABA">
        <w:rPr>
          <w:noProof/>
          <w:lang w:eastAsia="en-GB"/>
        </w:rPr>
        <w:t>The JITs collaboration platform users shall be jointly responsible for managing non-operational data in the JIT</w:t>
      </w:r>
      <w:r w:rsidR="00160ED8" w:rsidRPr="00150ABA">
        <w:rPr>
          <w:noProof/>
          <w:lang w:eastAsia="en-GB"/>
        </w:rPr>
        <w:t>s</w:t>
      </w:r>
      <w:r w:rsidR="0030009B" w:rsidRPr="00150ABA">
        <w:rPr>
          <w:noProof/>
          <w:lang w:eastAsia="en-GB"/>
        </w:rPr>
        <w:t xml:space="preserve"> collaboration </w:t>
      </w:r>
      <w:r w:rsidR="007E46C5" w:rsidRPr="00150ABA">
        <w:rPr>
          <w:noProof/>
          <w:lang w:eastAsia="en-GB"/>
        </w:rPr>
        <w:t>platform</w:t>
      </w:r>
      <w:r w:rsidR="0030009B" w:rsidRPr="00150ABA">
        <w:rPr>
          <w:noProof/>
          <w:lang w:eastAsia="en-GB"/>
        </w:rPr>
        <w:t>.</w:t>
      </w:r>
    </w:p>
    <w:p w14:paraId="21FDBA2E" w14:textId="77777777" w:rsidR="00521C02" w:rsidRPr="00150ABA" w:rsidRDefault="00521C02" w:rsidP="00521C02">
      <w:pPr>
        <w:shd w:val="clear" w:color="auto" w:fill="FFFFFF" w:themeFill="background1"/>
        <w:spacing w:after="0" w:line="312" w:lineRule="atLeast"/>
        <w:rPr>
          <w:rFonts w:eastAsia="Times New Roman"/>
          <w:bCs/>
          <w:noProof/>
          <w:szCs w:val="24"/>
          <w:lang w:eastAsia="en-GB"/>
        </w:rPr>
      </w:pPr>
    </w:p>
    <w:p w14:paraId="1DDC3EB8" w14:textId="77777777" w:rsidR="00521C02" w:rsidRPr="00150ABA" w:rsidRDefault="00521C02" w:rsidP="00FF717F">
      <w:pPr>
        <w:pStyle w:val="Titrearticle"/>
        <w:rPr>
          <w:noProof/>
          <w:lang w:eastAsia="en-GB"/>
        </w:rPr>
      </w:pPr>
      <w:r w:rsidRPr="00150ABA">
        <w:rPr>
          <w:noProof/>
          <w:lang w:eastAsia="en-GB"/>
        </w:rPr>
        <w:t>Article 2</w:t>
      </w:r>
      <w:r w:rsidR="006B7969" w:rsidRPr="00150ABA">
        <w:rPr>
          <w:noProof/>
          <w:lang w:eastAsia="en-GB"/>
        </w:rPr>
        <w:t>0</w:t>
      </w:r>
    </w:p>
    <w:p w14:paraId="255EE1AD" w14:textId="77777777" w:rsidR="00521C02" w:rsidRPr="00150ABA" w:rsidRDefault="00521C02" w:rsidP="00521C02">
      <w:pPr>
        <w:shd w:val="clear" w:color="auto" w:fill="FFFFFF" w:themeFill="background1"/>
        <w:spacing w:after="0" w:line="312" w:lineRule="atLeast"/>
        <w:jc w:val="center"/>
        <w:rPr>
          <w:rFonts w:eastAsia="Times New Roman"/>
          <w:b/>
          <w:bCs/>
          <w:noProof/>
          <w:szCs w:val="24"/>
          <w:lang w:eastAsia="en-GB"/>
        </w:rPr>
      </w:pPr>
      <w:r w:rsidRPr="00150ABA">
        <w:rPr>
          <w:rFonts w:eastAsia="Times New Roman"/>
          <w:b/>
          <w:bCs/>
          <w:noProof/>
          <w:szCs w:val="24"/>
          <w:lang w:eastAsia="en-GB"/>
        </w:rPr>
        <w:t>Purpose of the processing of personal data</w:t>
      </w:r>
    </w:p>
    <w:p w14:paraId="4404729A" w14:textId="43A2AD49" w:rsidR="00521C02" w:rsidRPr="00150ABA" w:rsidRDefault="00D76D82" w:rsidP="00D76D82">
      <w:pPr>
        <w:pStyle w:val="ManualNumPar1"/>
        <w:rPr>
          <w:noProof/>
          <w:lang w:eastAsia="en-GB"/>
        </w:rPr>
      </w:pPr>
      <w:r w:rsidRPr="00D76D82">
        <w:t>1.</w:t>
      </w:r>
      <w:r w:rsidRPr="00D76D82">
        <w:tab/>
      </w:r>
      <w:r w:rsidR="00521C02" w:rsidRPr="00150ABA">
        <w:rPr>
          <w:noProof/>
          <w:lang w:eastAsia="en-GB"/>
        </w:rPr>
        <w:t xml:space="preserve">The data entered into the JITs collaboration platform shall only be processed for the purposes of: </w:t>
      </w:r>
    </w:p>
    <w:p w14:paraId="79AD6618" w14:textId="2BD91FB8" w:rsidR="00C24D2B" w:rsidRPr="00150ABA" w:rsidRDefault="00D76D82" w:rsidP="00D76D82">
      <w:pPr>
        <w:pStyle w:val="Point0"/>
        <w:rPr>
          <w:noProof/>
          <w:lang w:eastAsia="en-GB"/>
        </w:rPr>
      </w:pPr>
      <w:r w:rsidRPr="00D76D82">
        <w:t>(a)</w:t>
      </w:r>
      <w:r w:rsidRPr="00D76D82">
        <w:tab/>
      </w:r>
      <w:r w:rsidR="00521C02" w:rsidRPr="00150ABA">
        <w:rPr>
          <w:noProof/>
          <w:lang w:eastAsia="en-GB"/>
        </w:rPr>
        <w:t xml:space="preserve">the exchange of operational information and evidence between </w:t>
      </w:r>
      <w:r w:rsidR="007E46C5" w:rsidRPr="00150ABA">
        <w:rPr>
          <w:noProof/>
          <w:lang w:eastAsia="en-GB"/>
        </w:rPr>
        <w:t xml:space="preserve">the </w:t>
      </w:r>
      <w:r w:rsidR="00521C02" w:rsidRPr="00150ABA">
        <w:rPr>
          <w:noProof/>
          <w:lang w:eastAsia="en-GB"/>
        </w:rPr>
        <w:t xml:space="preserve">JITs </w:t>
      </w:r>
      <w:r w:rsidR="00297503" w:rsidRPr="00150ABA">
        <w:rPr>
          <w:noProof/>
          <w:lang w:eastAsia="en-GB"/>
        </w:rPr>
        <w:t>collaboration platform users</w:t>
      </w:r>
      <w:r w:rsidR="00521C02" w:rsidRPr="00150ABA">
        <w:rPr>
          <w:noProof/>
          <w:lang w:eastAsia="en-GB"/>
        </w:rPr>
        <w:t>;</w:t>
      </w:r>
    </w:p>
    <w:p w14:paraId="0C3292FE" w14:textId="5D309536" w:rsidR="00521C02" w:rsidRPr="00150ABA" w:rsidRDefault="00D76D82" w:rsidP="00D76D82">
      <w:pPr>
        <w:pStyle w:val="Point0"/>
        <w:rPr>
          <w:noProof/>
          <w:lang w:eastAsia="en-GB"/>
        </w:rPr>
      </w:pPr>
      <w:r w:rsidRPr="00D76D82">
        <w:t>(b)</w:t>
      </w:r>
      <w:r w:rsidRPr="00D76D82">
        <w:tab/>
      </w:r>
      <w:r w:rsidR="00521C02" w:rsidRPr="00150ABA">
        <w:rPr>
          <w:noProof/>
          <w:lang w:eastAsia="en-GB"/>
        </w:rPr>
        <w:t xml:space="preserve">the exchange of non-operational data between </w:t>
      </w:r>
      <w:r w:rsidR="007E46C5" w:rsidRPr="00150ABA">
        <w:rPr>
          <w:noProof/>
          <w:lang w:eastAsia="en-GB"/>
        </w:rPr>
        <w:t xml:space="preserve">the </w:t>
      </w:r>
      <w:r w:rsidR="00521C02" w:rsidRPr="00150ABA">
        <w:rPr>
          <w:noProof/>
          <w:lang w:eastAsia="en-GB"/>
        </w:rPr>
        <w:t xml:space="preserve">JITs </w:t>
      </w:r>
      <w:r w:rsidR="00297503" w:rsidRPr="00150ABA">
        <w:rPr>
          <w:noProof/>
          <w:lang w:eastAsia="en-GB"/>
        </w:rPr>
        <w:t>collaboration platform users</w:t>
      </w:r>
      <w:r w:rsidR="00F85DA8" w:rsidRPr="00150ABA">
        <w:rPr>
          <w:noProof/>
          <w:lang w:eastAsia="en-GB"/>
        </w:rPr>
        <w:t>,</w:t>
      </w:r>
      <w:r w:rsidR="00297503" w:rsidRPr="00150ABA">
        <w:rPr>
          <w:noProof/>
          <w:lang w:eastAsia="en-GB"/>
        </w:rPr>
        <w:t xml:space="preserve"> </w:t>
      </w:r>
      <w:r w:rsidR="00521C02" w:rsidRPr="00150ABA">
        <w:rPr>
          <w:noProof/>
          <w:lang w:eastAsia="en-GB"/>
        </w:rPr>
        <w:t>for the purpose</w:t>
      </w:r>
      <w:r w:rsidR="00871A61" w:rsidRPr="00150ABA">
        <w:rPr>
          <w:noProof/>
          <w:lang w:eastAsia="en-GB"/>
        </w:rPr>
        <w:t>s</w:t>
      </w:r>
      <w:r w:rsidR="00521C02" w:rsidRPr="00150ABA">
        <w:rPr>
          <w:noProof/>
          <w:lang w:eastAsia="en-GB"/>
        </w:rPr>
        <w:t xml:space="preserve"> of managing the JIT. </w:t>
      </w:r>
    </w:p>
    <w:p w14:paraId="0B3DDFE3" w14:textId="694D7FE6" w:rsidR="00521C02" w:rsidRPr="00150ABA" w:rsidRDefault="00D76D82" w:rsidP="00D76D82">
      <w:pPr>
        <w:pStyle w:val="ManualNumPar1"/>
        <w:rPr>
          <w:noProof/>
          <w:lang w:eastAsia="en-GB"/>
        </w:rPr>
      </w:pPr>
      <w:r w:rsidRPr="00D76D82">
        <w:t>2.</w:t>
      </w:r>
      <w:r w:rsidRPr="00D76D82">
        <w:tab/>
      </w:r>
      <w:r w:rsidR="00521C02" w:rsidRPr="00150ABA">
        <w:rPr>
          <w:noProof/>
          <w:lang w:eastAsia="en-GB"/>
        </w:rPr>
        <w:t>Access to the JITs collaboration platform shall be limited to duly authorised staff of the competent Member States’ and third country authorities, Eurojust, Europol</w:t>
      </w:r>
      <w:r w:rsidR="003B7958" w:rsidRPr="00150ABA">
        <w:rPr>
          <w:noProof/>
          <w:lang w:eastAsia="en-GB"/>
        </w:rPr>
        <w:t xml:space="preserve">, </w:t>
      </w:r>
      <w:r w:rsidR="003B7958" w:rsidRPr="00150ABA">
        <w:rPr>
          <w:noProof/>
        </w:rPr>
        <w:t xml:space="preserve">the European Public Prosecutor’s Office, </w:t>
      </w:r>
      <w:r w:rsidR="00521C02" w:rsidRPr="00150ABA">
        <w:rPr>
          <w:noProof/>
          <w:lang w:eastAsia="en-GB"/>
        </w:rPr>
        <w:t>OLAF</w:t>
      </w:r>
      <w:r w:rsidR="003B7958" w:rsidRPr="00150ABA">
        <w:rPr>
          <w:noProof/>
          <w:lang w:eastAsia="en-GB"/>
        </w:rPr>
        <w:t xml:space="preserve"> and </w:t>
      </w:r>
      <w:r w:rsidR="003B7958" w:rsidRPr="00150ABA">
        <w:rPr>
          <w:noProof/>
        </w:rPr>
        <w:t>other competent Union bodies, offices or agencies</w:t>
      </w:r>
      <w:r w:rsidR="00521C02" w:rsidRPr="00150ABA">
        <w:rPr>
          <w:noProof/>
          <w:lang w:eastAsia="en-GB"/>
        </w:rPr>
        <w:t>, to the extent needed for the performance of the</w:t>
      </w:r>
      <w:r w:rsidR="00871A61" w:rsidRPr="00150ABA">
        <w:rPr>
          <w:noProof/>
          <w:lang w:eastAsia="en-GB"/>
        </w:rPr>
        <w:t>ir</w:t>
      </w:r>
      <w:r w:rsidR="00521C02" w:rsidRPr="00150ABA">
        <w:rPr>
          <w:noProof/>
          <w:lang w:eastAsia="en-GB"/>
        </w:rPr>
        <w:t xml:space="preserve"> tasks in accordance with the purpose</w:t>
      </w:r>
      <w:r w:rsidR="00772464" w:rsidRPr="00150ABA">
        <w:rPr>
          <w:noProof/>
          <w:lang w:eastAsia="en-GB"/>
        </w:rPr>
        <w:t>s</w:t>
      </w:r>
      <w:r w:rsidR="00521C02" w:rsidRPr="00150ABA">
        <w:rPr>
          <w:noProof/>
          <w:lang w:eastAsia="en-GB"/>
        </w:rPr>
        <w:t xml:space="preserve"> referred to in paragraph 1, and to what is necessary and proportionate to the objectives pursued.</w:t>
      </w:r>
    </w:p>
    <w:p w14:paraId="4B11F22A" w14:textId="77777777" w:rsidR="00521C02" w:rsidRPr="00150ABA" w:rsidRDefault="00521C02" w:rsidP="00FF717F">
      <w:pPr>
        <w:pStyle w:val="Titrearticle"/>
        <w:rPr>
          <w:noProof/>
          <w:lang w:eastAsia="en-GB"/>
        </w:rPr>
      </w:pPr>
      <w:r w:rsidRPr="00150ABA">
        <w:rPr>
          <w:noProof/>
          <w:lang w:eastAsia="en-GB"/>
        </w:rPr>
        <w:t>Article 2</w:t>
      </w:r>
      <w:r w:rsidR="006B7969" w:rsidRPr="00150ABA">
        <w:rPr>
          <w:noProof/>
          <w:lang w:eastAsia="en-GB"/>
        </w:rPr>
        <w:t>1</w:t>
      </w:r>
    </w:p>
    <w:p w14:paraId="0A84116C" w14:textId="77777777" w:rsidR="00521C02" w:rsidRPr="00150ABA" w:rsidRDefault="00521C02" w:rsidP="00521C02">
      <w:pPr>
        <w:shd w:val="clear" w:color="auto" w:fill="FFFFFF" w:themeFill="background1"/>
        <w:spacing w:after="0" w:line="312" w:lineRule="atLeast"/>
        <w:jc w:val="center"/>
        <w:rPr>
          <w:noProof/>
        </w:rPr>
      </w:pPr>
      <w:r w:rsidRPr="00150ABA">
        <w:rPr>
          <w:rFonts w:eastAsia="Times New Roman"/>
          <w:b/>
          <w:bCs/>
          <w:noProof/>
          <w:szCs w:val="24"/>
          <w:lang w:eastAsia="en-GB"/>
        </w:rPr>
        <w:t>Technical logs</w:t>
      </w:r>
      <w:r w:rsidRPr="00150ABA">
        <w:rPr>
          <w:noProof/>
        </w:rPr>
        <w:t xml:space="preserve"> </w:t>
      </w:r>
    </w:p>
    <w:p w14:paraId="079D1FC0" w14:textId="2606ADFD" w:rsidR="00521C02" w:rsidRPr="00150ABA" w:rsidRDefault="00D76D82" w:rsidP="00D76D82">
      <w:pPr>
        <w:pStyle w:val="ManualNumPar1"/>
        <w:rPr>
          <w:noProof/>
          <w:lang w:eastAsia="en-GB"/>
        </w:rPr>
      </w:pPr>
      <w:r w:rsidRPr="00D76D82">
        <w:t>1.</w:t>
      </w:r>
      <w:r w:rsidRPr="00D76D82">
        <w:tab/>
      </w:r>
      <w:r w:rsidR="00521C02" w:rsidRPr="00150ABA">
        <w:rPr>
          <w:noProof/>
          <w:lang w:eastAsia="en-GB"/>
        </w:rPr>
        <w:t xml:space="preserve">eu-LISA shall ensure that </w:t>
      </w:r>
      <w:r w:rsidR="00F85DA8" w:rsidRPr="00150ABA">
        <w:rPr>
          <w:noProof/>
          <w:lang w:eastAsia="en-GB"/>
        </w:rPr>
        <w:t xml:space="preserve">a log is kept of all </w:t>
      </w:r>
      <w:r w:rsidR="00521C02" w:rsidRPr="00150ABA">
        <w:rPr>
          <w:noProof/>
          <w:lang w:eastAsia="en-GB"/>
        </w:rPr>
        <w:t xml:space="preserve">access </w:t>
      </w:r>
      <w:r w:rsidR="00F85DA8" w:rsidRPr="00150ABA">
        <w:rPr>
          <w:noProof/>
          <w:lang w:eastAsia="en-GB"/>
        </w:rPr>
        <w:t xml:space="preserve">to </w:t>
      </w:r>
      <w:r w:rsidR="00521C02" w:rsidRPr="00150ABA">
        <w:rPr>
          <w:noProof/>
          <w:lang w:eastAsia="en-GB"/>
        </w:rPr>
        <w:t>the centralised information system and all data processing operations in the centralised information system</w:t>
      </w:r>
      <w:r w:rsidR="00F85DA8" w:rsidRPr="00150ABA">
        <w:rPr>
          <w:noProof/>
          <w:lang w:eastAsia="en-GB"/>
        </w:rPr>
        <w:t xml:space="preserve">, </w:t>
      </w:r>
      <w:r w:rsidR="00521C02" w:rsidRPr="00150ABA">
        <w:rPr>
          <w:noProof/>
          <w:lang w:eastAsia="en-GB"/>
        </w:rPr>
        <w:t>in accordance with paragraph 2</w:t>
      </w:r>
      <w:r w:rsidR="003B7958" w:rsidRPr="00150ABA">
        <w:rPr>
          <w:noProof/>
          <w:lang w:eastAsia="en-GB"/>
        </w:rPr>
        <w:t>.</w:t>
      </w:r>
    </w:p>
    <w:p w14:paraId="31D7AF1D" w14:textId="0B6B14B9" w:rsidR="00521C02" w:rsidRPr="00150ABA" w:rsidRDefault="00D76D82" w:rsidP="00D76D82">
      <w:pPr>
        <w:pStyle w:val="ManualNumPar1"/>
        <w:rPr>
          <w:noProof/>
        </w:rPr>
      </w:pPr>
      <w:r w:rsidRPr="00D76D82">
        <w:t>2.</w:t>
      </w:r>
      <w:r w:rsidRPr="00D76D82">
        <w:tab/>
      </w:r>
      <w:r w:rsidR="00521C02" w:rsidRPr="00150ABA">
        <w:rPr>
          <w:noProof/>
          <w:lang w:eastAsia="en-GB"/>
        </w:rPr>
        <w:t>The logs shall show:</w:t>
      </w:r>
      <w:r w:rsidR="00521C02" w:rsidRPr="00150ABA">
        <w:rPr>
          <w:noProof/>
        </w:rPr>
        <w:t xml:space="preserve"> </w:t>
      </w:r>
    </w:p>
    <w:p w14:paraId="3A65C560" w14:textId="1CB94A7B" w:rsidR="00521C02" w:rsidRPr="00150ABA" w:rsidRDefault="00D76D82" w:rsidP="00D76D82">
      <w:pPr>
        <w:pStyle w:val="Point0"/>
        <w:rPr>
          <w:noProof/>
          <w:lang w:eastAsia="en-GB"/>
        </w:rPr>
      </w:pPr>
      <w:r w:rsidRPr="00D76D82">
        <w:t>(a)</w:t>
      </w:r>
      <w:r w:rsidRPr="00D76D82">
        <w:tab/>
      </w:r>
      <w:r w:rsidR="00521C02" w:rsidRPr="00150ABA">
        <w:rPr>
          <w:noProof/>
          <w:lang w:eastAsia="en-GB"/>
        </w:rPr>
        <w:t>the date</w:t>
      </w:r>
      <w:r w:rsidR="00F85DA8" w:rsidRPr="00150ABA">
        <w:rPr>
          <w:noProof/>
          <w:lang w:eastAsia="en-GB"/>
        </w:rPr>
        <w:t xml:space="preserve">, </w:t>
      </w:r>
      <w:r w:rsidR="00CC21BF" w:rsidRPr="00150ABA">
        <w:rPr>
          <w:noProof/>
          <w:lang w:eastAsia="en-GB"/>
        </w:rPr>
        <w:t xml:space="preserve">time zone </w:t>
      </w:r>
      <w:r w:rsidR="00521C02" w:rsidRPr="00150ABA">
        <w:rPr>
          <w:noProof/>
          <w:lang w:eastAsia="en-GB"/>
        </w:rPr>
        <w:t>and exact time of accessing the centralised information system</w:t>
      </w:r>
      <w:r w:rsidR="00EB3C7D" w:rsidRPr="00150ABA">
        <w:rPr>
          <w:noProof/>
          <w:lang w:eastAsia="en-GB"/>
        </w:rPr>
        <w:t>;</w:t>
      </w:r>
      <w:r w:rsidR="00521C02" w:rsidRPr="00150ABA">
        <w:rPr>
          <w:noProof/>
        </w:rPr>
        <w:t xml:space="preserve"> </w:t>
      </w:r>
    </w:p>
    <w:p w14:paraId="6D51C58B" w14:textId="2398170E" w:rsidR="00521C02" w:rsidRPr="00150ABA" w:rsidRDefault="00D76D82" w:rsidP="00D76D82">
      <w:pPr>
        <w:pStyle w:val="Point0"/>
        <w:rPr>
          <w:noProof/>
          <w:lang w:eastAsia="en-GB"/>
        </w:rPr>
      </w:pPr>
      <w:r w:rsidRPr="00D76D82">
        <w:t>(b)</w:t>
      </w:r>
      <w:r w:rsidRPr="00D76D82">
        <w:tab/>
      </w:r>
      <w:r w:rsidR="00521C02" w:rsidRPr="00150ABA">
        <w:rPr>
          <w:noProof/>
          <w:lang w:eastAsia="en-GB"/>
        </w:rPr>
        <w:t xml:space="preserve">the identifying mark of </w:t>
      </w:r>
      <w:r w:rsidR="00DA228C" w:rsidRPr="00150ABA">
        <w:rPr>
          <w:noProof/>
          <w:lang w:eastAsia="en-GB"/>
        </w:rPr>
        <w:t xml:space="preserve">JIT’s collaboration platform user </w:t>
      </w:r>
      <w:r w:rsidR="00521C02" w:rsidRPr="00150ABA">
        <w:rPr>
          <w:noProof/>
          <w:lang w:eastAsia="en-GB"/>
        </w:rPr>
        <w:t>who accessed the centralised information system</w:t>
      </w:r>
      <w:r w:rsidR="00EB3C7D" w:rsidRPr="00150ABA">
        <w:rPr>
          <w:noProof/>
          <w:lang w:eastAsia="en-GB"/>
        </w:rPr>
        <w:t>;</w:t>
      </w:r>
    </w:p>
    <w:p w14:paraId="7514653F" w14:textId="2AC35B73" w:rsidR="006E5F33" w:rsidRPr="00150ABA" w:rsidRDefault="00D76D82" w:rsidP="00D76D82">
      <w:pPr>
        <w:pStyle w:val="Point0"/>
        <w:rPr>
          <w:noProof/>
          <w:lang w:eastAsia="en-GB"/>
        </w:rPr>
      </w:pPr>
      <w:r w:rsidRPr="00D76D82">
        <w:t>(c)</w:t>
      </w:r>
      <w:r w:rsidRPr="00D76D82">
        <w:tab/>
      </w:r>
      <w:r w:rsidR="00521C02" w:rsidRPr="00150ABA">
        <w:rPr>
          <w:noProof/>
          <w:lang w:eastAsia="en-GB"/>
        </w:rPr>
        <w:t>the date</w:t>
      </w:r>
      <w:r w:rsidR="003F5CBB" w:rsidRPr="00150ABA">
        <w:rPr>
          <w:noProof/>
          <w:lang w:eastAsia="en-GB"/>
        </w:rPr>
        <w:t>, time zone</w:t>
      </w:r>
      <w:r w:rsidR="00521C02" w:rsidRPr="00150ABA">
        <w:rPr>
          <w:noProof/>
          <w:lang w:eastAsia="en-GB"/>
        </w:rPr>
        <w:t xml:space="preserve"> and access time of the operation carried out by the </w:t>
      </w:r>
      <w:r w:rsidR="00DA228C" w:rsidRPr="00150ABA">
        <w:rPr>
          <w:noProof/>
          <w:lang w:eastAsia="en-GB"/>
        </w:rPr>
        <w:t>JIT’s collaboration platform user</w:t>
      </w:r>
      <w:r w:rsidR="00EB3C7D" w:rsidRPr="00150ABA">
        <w:rPr>
          <w:noProof/>
          <w:lang w:eastAsia="en-GB"/>
        </w:rPr>
        <w:t>;</w:t>
      </w:r>
    </w:p>
    <w:p w14:paraId="2A7D168D" w14:textId="31DDF316" w:rsidR="00521C02" w:rsidRPr="00150ABA" w:rsidRDefault="00D76D82" w:rsidP="00D76D82">
      <w:pPr>
        <w:pStyle w:val="Point0"/>
        <w:rPr>
          <w:noProof/>
          <w:lang w:eastAsia="en-GB"/>
        </w:rPr>
      </w:pPr>
      <w:r w:rsidRPr="00D76D82">
        <w:t>(d)</w:t>
      </w:r>
      <w:r w:rsidRPr="00D76D82">
        <w:tab/>
      </w:r>
      <w:r w:rsidR="00521C02" w:rsidRPr="00150ABA">
        <w:rPr>
          <w:noProof/>
          <w:lang w:eastAsia="en-GB"/>
        </w:rPr>
        <w:t xml:space="preserve">the operation carried out by the </w:t>
      </w:r>
      <w:r w:rsidR="00DA228C" w:rsidRPr="00150ABA">
        <w:rPr>
          <w:noProof/>
          <w:lang w:eastAsia="en-GB"/>
        </w:rPr>
        <w:t>JIT’s collaboration platform user</w:t>
      </w:r>
      <w:r w:rsidR="00EB3C7D" w:rsidRPr="00150ABA">
        <w:rPr>
          <w:noProof/>
          <w:lang w:eastAsia="en-GB"/>
        </w:rPr>
        <w:t>.</w:t>
      </w:r>
    </w:p>
    <w:p w14:paraId="1BD6F205" w14:textId="6DF6D889" w:rsidR="00521C02" w:rsidRPr="00150ABA" w:rsidRDefault="00D76D82" w:rsidP="00D76D82">
      <w:pPr>
        <w:pStyle w:val="ManualNumPar1"/>
        <w:rPr>
          <w:noProof/>
          <w:lang w:eastAsia="en-GB"/>
        </w:rPr>
      </w:pPr>
      <w:r w:rsidRPr="00D76D82">
        <w:t>3.</w:t>
      </w:r>
      <w:r w:rsidRPr="00D76D82">
        <w:tab/>
      </w:r>
      <w:r w:rsidR="00521C02" w:rsidRPr="00150ABA">
        <w:rPr>
          <w:noProof/>
          <w:lang w:eastAsia="en-GB"/>
        </w:rPr>
        <w:t xml:space="preserve">The logs shall be protected by appropriate </w:t>
      </w:r>
      <w:r w:rsidR="00D80D6E" w:rsidRPr="00150ABA">
        <w:rPr>
          <w:noProof/>
          <w:lang w:eastAsia="en-GB"/>
        </w:rPr>
        <w:t xml:space="preserve">technical </w:t>
      </w:r>
      <w:r w:rsidR="00521C02" w:rsidRPr="00150ABA">
        <w:rPr>
          <w:noProof/>
          <w:lang w:eastAsia="en-GB"/>
        </w:rPr>
        <w:t xml:space="preserve">measures against unauthorised access and </w:t>
      </w:r>
      <w:r w:rsidR="00526BA8" w:rsidRPr="00150ABA">
        <w:rPr>
          <w:noProof/>
          <w:lang w:eastAsia="en-GB"/>
        </w:rPr>
        <w:t>shall be kept for</w:t>
      </w:r>
      <w:r w:rsidR="00521C02" w:rsidRPr="00150ABA">
        <w:rPr>
          <w:noProof/>
          <w:lang w:eastAsia="en-GB"/>
        </w:rPr>
        <w:t xml:space="preserve"> three years </w:t>
      </w:r>
      <w:r w:rsidR="00526BA8" w:rsidRPr="00150ABA">
        <w:rPr>
          <w:noProof/>
          <w:lang w:eastAsia="en-GB"/>
        </w:rPr>
        <w:t xml:space="preserve">or for such longer period as </w:t>
      </w:r>
      <w:r w:rsidR="00521C02" w:rsidRPr="00150ABA">
        <w:rPr>
          <w:noProof/>
          <w:lang w:eastAsia="en-GB"/>
        </w:rPr>
        <w:t xml:space="preserve">required for </w:t>
      </w:r>
      <w:r w:rsidR="00526BA8" w:rsidRPr="00150ABA">
        <w:rPr>
          <w:noProof/>
          <w:lang w:eastAsia="en-GB"/>
        </w:rPr>
        <w:t xml:space="preserve">the termination of ongoing </w:t>
      </w:r>
      <w:r w:rsidR="00521C02" w:rsidRPr="00150ABA">
        <w:rPr>
          <w:noProof/>
          <w:lang w:eastAsia="en-GB"/>
        </w:rPr>
        <w:t>monitoring procedures.</w:t>
      </w:r>
    </w:p>
    <w:p w14:paraId="200F78A5" w14:textId="17D1FD80" w:rsidR="00521C02" w:rsidRPr="00150ABA" w:rsidRDefault="00D76D82" w:rsidP="00D76D82">
      <w:pPr>
        <w:pStyle w:val="ManualNumPar1"/>
        <w:rPr>
          <w:noProof/>
          <w:lang w:eastAsia="en-GB"/>
        </w:rPr>
      </w:pPr>
      <w:r w:rsidRPr="00D76D82">
        <w:t>4.</w:t>
      </w:r>
      <w:r w:rsidRPr="00D76D82">
        <w:tab/>
      </w:r>
      <w:r w:rsidR="00521C02" w:rsidRPr="00150ABA">
        <w:rPr>
          <w:noProof/>
          <w:lang w:eastAsia="en-GB"/>
        </w:rPr>
        <w:t xml:space="preserve">On request, eu-LISA shall make the logs available to the </w:t>
      </w:r>
      <w:r w:rsidR="00672C67" w:rsidRPr="00150ABA">
        <w:rPr>
          <w:noProof/>
          <w:lang w:eastAsia="en-GB"/>
        </w:rPr>
        <w:t xml:space="preserve">competent authorities </w:t>
      </w:r>
      <w:r w:rsidR="007E46C5" w:rsidRPr="00150ABA">
        <w:rPr>
          <w:noProof/>
          <w:lang w:eastAsia="en-GB"/>
        </w:rPr>
        <w:t xml:space="preserve">of the Member States </w:t>
      </w:r>
      <w:r w:rsidR="00521C02" w:rsidRPr="00150ABA">
        <w:rPr>
          <w:noProof/>
          <w:lang w:eastAsia="en-GB"/>
        </w:rPr>
        <w:t xml:space="preserve">without undue delay. </w:t>
      </w:r>
    </w:p>
    <w:p w14:paraId="0C9408B8" w14:textId="3C9E1680" w:rsidR="00521C02" w:rsidRPr="00150ABA" w:rsidRDefault="00D76D82" w:rsidP="00D76D82">
      <w:pPr>
        <w:pStyle w:val="ManualNumPar1"/>
        <w:rPr>
          <w:noProof/>
          <w:lang w:eastAsia="en-GB"/>
        </w:rPr>
      </w:pPr>
      <w:r w:rsidRPr="00D76D82">
        <w:t>5.</w:t>
      </w:r>
      <w:r w:rsidRPr="00D76D82">
        <w:tab/>
      </w:r>
      <w:r w:rsidR="00D01C13" w:rsidRPr="00150ABA">
        <w:rPr>
          <w:noProof/>
          <w:lang w:eastAsia="en-GB"/>
        </w:rPr>
        <w:t>Within the limits of their competences</w:t>
      </w:r>
      <w:r w:rsidR="00533A71" w:rsidRPr="00150ABA">
        <w:rPr>
          <w:noProof/>
          <w:lang w:eastAsia="en-GB"/>
        </w:rPr>
        <w:t xml:space="preserve"> and</w:t>
      </w:r>
      <w:r w:rsidR="006A2F8A" w:rsidRPr="00150ABA">
        <w:rPr>
          <w:noProof/>
          <w:lang w:eastAsia="en-GB"/>
        </w:rPr>
        <w:t xml:space="preserve"> for the purpose of fulfilling their duties</w:t>
      </w:r>
      <w:r w:rsidR="00D01C13" w:rsidRPr="00150ABA">
        <w:rPr>
          <w:noProof/>
          <w:lang w:eastAsia="en-GB"/>
        </w:rPr>
        <w:t>, t</w:t>
      </w:r>
      <w:r w:rsidR="00521C02" w:rsidRPr="00150ABA">
        <w:rPr>
          <w:noProof/>
          <w:lang w:eastAsia="en-GB"/>
        </w:rPr>
        <w:t xml:space="preserve">he </w:t>
      </w:r>
      <w:r w:rsidR="00CD4C4B" w:rsidRPr="00150ABA">
        <w:rPr>
          <w:noProof/>
          <w:lang w:eastAsia="en-GB"/>
        </w:rPr>
        <w:t xml:space="preserve">national </w:t>
      </w:r>
      <w:r w:rsidR="00521C02" w:rsidRPr="00150ABA">
        <w:rPr>
          <w:noProof/>
          <w:lang w:eastAsia="en-GB"/>
        </w:rPr>
        <w:t>supervisory authorities responsible for monitoring the lawfulness of data processing shall have access to logs</w:t>
      </w:r>
      <w:r w:rsidR="00533A71" w:rsidRPr="00150ABA">
        <w:rPr>
          <w:noProof/>
          <w:lang w:eastAsia="en-GB"/>
        </w:rPr>
        <w:t xml:space="preserve"> upon request</w:t>
      </w:r>
      <w:r w:rsidR="006A2F8A" w:rsidRPr="00150ABA">
        <w:rPr>
          <w:noProof/>
          <w:lang w:eastAsia="en-GB"/>
        </w:rPr>
        <w:t>.</w:t>
      </w:r>
    </w:p>
    <w:p w14:paraId="00590B2F" w14:textId="606C7A56" w:rsidR="00F44AE3" w:rsidRPr="00150ABA" w:rsidRDefault="00D76D82" w:rsidP="00D76D82">
      <w:pPr>
        <w:pStyle w:val="ManualNumPar1"/>
        <w:rPr>
          <w:noProof/>
          <w:lang w:eastAsia="en-GB"/>
        </w:rPr>
      </w:pPr>
      <w:r w:rsidRPr="00D76D82">
        <w:t>6.</w:t>
      </w:r>
      <w:r w:rsidRPr="00D76D82">
        <w:tab/>
      </w:r>
      <w:r w:rsidR="00F44AE3" w:rsidRPr="00150ABA">
        <w:rPr>
          <w:noProof/>
          <w:lang w:eastAsia="en-GB"/>
        </w:rPr>
        <w:t>Within the limits of its competences and for the purpose of fulfilling its supervisory duties in accordance with Regulation (EU) 2018/1725, the European Data Protection Supervisor shall have access to logs upon request.</w:t>
      </w:r>
    </w:p>
    <w:p w14:paraId="261F25DB" w14:textId="74C36CA9" w:rsidR="00521C02" w:rsidRPr="00150ABA" w:rsidRDefault="00521C02" w:rsidP="00521C02">
      <w:pPr>
        <w:pStyle w:val="ti-section-1"/>
        <w:shd w:val="clear" w:color="auto" w:fill="FFFFFF"/>
        <w:spacing w:before="480" w:beforeAutospacing="0" w:after="0" w:afterAutospacing="0" w:line="312" w:lineRule="atLeast"/>
        <w:jc w:val="center"/>
        <w:rPr>
          <w:b/>
          <w:bCs/>
          <w:noProof/>
          <w:lang w:eastAsia="en-US"/>
        </w:rPr>
      </w:pPr>
      <w:r w:rsidRPr="00150ABA">
        <w:rPr>
          <w:b/>
          <w:bCs/>
          <w:i/>
          <w:iCs/>
          <w:noProof/>
          <w:lang w:eastAsia="en-US"/>
        </w:rPr>
        <w:t>CHAPTER V</w:t>
      </w:r>
      <w:r w:rsidR="00C46B81" w:rsidRPr="00150ABA">
        <w:rPr>
          <w:b/>
          <w:bCs/>
          <w:i/>
          <w:iCs/>
          <w:noProof/>
          <w:lang w:eastAsia="en-US"/>
        </w:rPr>
        <w:t>I</w:t>
      </w:r>
    </w:p>
    <w:p w14:paraId="13FC0014" w14:textId="77777777" w:rsidR="00521C02" w:rsidRPr="00150ABA" w:rsidRDefault="00521C02" w:rsidP="00521C02">
      <w:pPr>
        <w:shd w:val="clear" w:color="auto" w:fill="FFFFFF"/>
        <w:spacing w:before="75" w:line="312" w:lineRule="atLeast"/>
        <w:jc w:val="center"/>
        <w:rPr>
          <w:rFonts w:eastAsia="Times New Roman"/>
          <w:b/>
          <w:bCs/>
          <w:noProof/>
          <w:szCs w:val="24"/>
        </w:rPr>
      </w:pPr>
      <w:r w:rsidRPr="00150ABA">
        <w:rPr>
          <w:rFonts w:eastAsia="Times New Roman"/>
          <w:b/>
          <w:bCs/>
          <w:i/>
          <w:iCs/>
          <w:noProof/>
          <w:szCs w:val="24"/>
        </w:rPr>
        <w:t>Final provisions</w:t>
      </w:r>
    </w:p>
    <w:p w14:paraId="0BC715EF" w14:textId="6EC3832F" w:rsidR="00521C02" w:rsidRPr="00150ABA" w:rsidRDefault="00521C02" w:rsidP="00DF6212">
      <w:pPr>
        <w:pStyle w:val="Titrearticle"/>
        <w:rPr>
          <w:noProof/>
          <w:lang w:eastAsia="en-GB"/>
        </w:rPr>
      </w:pPr>
      <w:r w:rsidRPr="00150ABA">
        <w:rPr>
          <w:noProof/>
          <w:lang w:eastAsia="en-GB"/>
        </w:rPr>
        <w:t xml:space="preserve">Article </w:t>
      </w:r>
      <w:r w:rsidR="006B7969" w:rsidRPr="00150ABA">
        <w:rPr>
          <w:noProof/>
          <w:lang w:eastAsia="en-GB"/>
        </w:rPr>
        <w:t>2</w:t>
      </w:r>
      <w:r w:rsidR="00A23CC3" w:rsidRPr="00150ABA">
        <w:rPr>
          <w:noProof/>
          <w:lang w:eastAsia="en-GB"/>
        </w:rPr>
        <w:t>2</w:t>
      </w:r>
    </w:p>
    <w:p w14:paraId="6FA12034" w14:textId="77777777" w:rsidR="00521C02" w:rsidRPr="00150ABA" w:rsidRDefault="00521C02" w:rsidP="00521C02">
      <w:pPr>
        <w:shd w:val="clear" w:color="auto" w:fill="FFFFFF" w:themeFill="background1"/>
        <w:spacing w:before="60" w:line="312" w:lineRule="atLeast"/>
        <w:jc w:val="center"/>
        <w:rPr>
          <w:rFonts w:eastAsia="Times New Roman"/>
          <w:b/>
          <w:bCs/>
          <w:noProof/>
          <w:szCs w:val="24"/>
          <w:lang w:eastAsia="en-GB"/>
        </w:rPr>
      </w:pPr>
      <w:r w:rsidRPr="00150ABA">
        <w:rPr>
          <w:rFonts w:eastAsia="Times New Roman"/>
          <w:b/>
          <w:bCs/>
          <w:noProof/>
          <w:szCs w:val="24"/>
          <w:lang w:eastAsia="en-GB"/>
        </w:rPr>
        <w:t xml:space="preserve">Monitoring and evaluation </w:t>
      </w:r>
    </w:p>
    <w:p w14:paraId="135D5571" w14:textId="40C4FEB7" w:rsidR="00521C02" w:rsidRPr="00150ABA" w:rsidRDefault="00D76D82" w:rsidP="00D76D82">
      <w:pPr>
        <w:pStyle w:val="ManualNumPar1"/>
        <w:rPr>
          <w:noProof/>
          <w:lang w:eastAsia="en-GB"/>
        </w:rPr>
      </w:pPr>
      <w:r w:rsidRPr="00D76D82">
        <w:t>1.</w:t>
      </w:r>
      <w:r w:rsidRPr="00D76D82">
        <w:tab/>
      </w:r>
      <w:r w:rsidR="00521C02" w:rsidRPr="00150ABA">
        <w:rPr>
          <w:noProof/>
          <w:lang w:eastAsia="en-GB"/>
        </w:rPr>
        <w:t xml:space="preserve">eu-LISA shall </w:t>
      </w:r>
      <w:r w:rsidR="00273D4C" w:rsidRPr="00150ABA">
        <w:rPr>
          <w:noProof/>
          <w:lang w:eastAsia="en-GB"/>
        </w:rPr>
        <w:t xml:space="preserve">establish procedures </w:t>
      </w:r>
      <w:r w:rsidR="00521C02" w:rsidRPr="00150ABA">
        <w:rPr>
          <w:noProof/>
          <w:lang w:eastAsia="en-GB"/>
        </w:rPr>
        <w:t xml:space="preserve">to monitor the development of the JITs collaboration platform </w:t>
      </w:r>
      <w:r w:rsidR="00273D4C" w:rsidRPr="00150ABA">
        <w:rPr>
          <w:noProof/>
          <w:lang w:eastAsia="en-GB"/>
        </w:rPr>
        <w:t>as regards</w:t>
      </w:r>
      <w:r w:rsidR="00521C02" w:rsidRPr="00150ABA">
        <w:rPr>
          <w:noProof/>
          <w:lang w:eastAsia="en-GB"/>
        </w:rPr>
        <w:t xml:space="preserve"> </w:t>
      </w:r>
      <w:r w:rsidR="00273D4C" w:rsidRPr="00150ABA">
        <w:rPr>
          <w:noProof/>
          <w:lang w:eastAsia="en-GB"/>
        </w:rPr>
        <w:t xml:space="preserve">the </w:t>
      </w:r>
      <w:r w:rsidR="00521C02" w:rsidRPr="00150ABA">
        <w:rPr>
          <w:noProof/>
          <w:lang w:eastAsia="en-GB"/>
        </w:rPr>
        <w:t xml:space="preserve">objectives relating to planning and costs and to monitor the functioning of the JITs collaboration platform </w:t>
      </w:r>
      <w:r w:rsidR="00273D4C" w:rsidRPr="00150ABA">
        <w:rPr>
          <w:noProof/>
          <w:lang w:eastAsia="en-GB"/>
        </w:rPr>
        <w:t>as regards</w:t>
      </w:r>
      <w:r w:rsidR="00521C02" w:rsidRPr="00150ABA">
        <w:rPr>
          <w:noProof/>
          <w:lang w:eastAsia="en-GB"/>
        </w:rPr>
        <w:t xml:space="preserve"> </w:t>
      </w:r>
      <w:r w:rsidR="00273D4C" w:rsidRPr="00150ABA">
        <w:rPr>
          <w:noProof/>
          <w:lang w:eastAsia="en-GB"/>
        </w:rPr>
        <w:t>the</w:t>
      </w:r>
      <w:r w:rsidR="00521C02" w:rsidRPr="00150ABA">
        <w:rPr>
          <w:noProof/>
          <w:lang w:eastAsia="en-GB"/>
        </w:rPr>
        <w:t xml:space="preserve"> objectives relating to the technical output, cost-effectiveness, security and quality of service. </w:t>
      </w:r>
    </w:p>
    <w:p w14:paraId="7EA38EEA" w14:textId="78506F26" w:rsidR="00521C02" w:rsidRPr="00150ABA" w:rsidRDefault="00D76D82" w:rsidP="00D76D82">
      <w:pPr>
        <w:pStyle w:val="ManualNumPar1"/>
        <w:rPr>
          <w:noProof/>
          <w:lang w:eastAsia="en-GB"/>
        </w:rPr>
      </w:pPr>
      <w:r w:rsidRPr="00D76D82">
        <w:t>2.</w:t>
      </w:r>
      <w:r w:rsidRPr="00D76D82">
        <w:tab/>
      </w:r>
      <w:r w:rsidR="00521C02" w:rsidRPr="00150ABA">
        <w:rPr>
          <w:noProof/>
          <w:lang w:eastAsia="en-GB"/>
        </w:rPr>
        <w:t xml:space="preserve">The procedures referred to </w:t>
      </w:r>
      <w:r w:rsidR="00613DCA" w:rsidRPr="00150ABA">
        <w:rPr>
          <w:noProof/>
          <w:lang w:eastAsia="en-GB"/>
        </w:rPr>
        <w:t xml:space="preserve">in paragraph 1 </w:t>
      </w:r>
      <w:r w:rsidR="00521C02" w:rsidRPr="00150ABA">
        <w:rPr>
          <w:noProof/>
          <w:lang w:eastAsia="en-GB"/>
        </w:rPr>
        <w:t xml:space="preserve">shall </w:t>
      </w:r>
      <w:r w:rsidR="00273D4C" w:rsidRPr="00150ABA">
        <w:rPr>
          <w:noProof/>
          <w:lang w:eastAsia="en-GB"/>
        </w:rPr>
        <w:t xml:space="preserve">provide for </w:t>
      </w:r>
      <w:r w:rsidR="00521C02" w:rsidRPr="00150ABA">
        <w:rPr>
          <w:noProof/>
          <w:lang w:eastAsia="en-GB"/>
        </w:rPr>
        <w:t>the possibility to produce regular technical statistics for monitoring purposes.</w:t>
      </w:r>
    </w:p>
    <w:p w14:paraId="15F23472" w14:textId="6DA89B08" w:rsidR="00CA2C7C" w:rsidRPr="00150ABA" w:rsidRDefault="00D76D82" w:rsidP="00D76D82">
      <w:pPr>
        <w:pStyle w:val="ManualNumPar1"/>
        <w:rPr>
          <w:noProof/>
          <w:lang w:eastAsia="en-GB"/>
        </w:rPr>
      </w:pPr>
      <w:r w:rsidRPr="00D76D82">
        <w:t>3.</w:t>
      </w:r>
      <w:r w:rsidRPr="00D76D82">
        <w:tab/>
      </w:r>
      <w:r w:rsidR="00521C02" w:rsidRPr="00150ABA">
        <w:rPr>
          <w:noProof/>
          <w:lang w:eastAsia="en-GB"/>
        </w:rPr>
        <w:t>In the event of substantial delays in the development process, eu-LISA shall inform the European Parliament and the Council as soon as possible of the reasons for the delays and of their impact in terms of time</w:t>
      </w:r>
      <w:r w:rsidR="00273D4C" w:rsidRPr="00150ABA">
        <w:rPr>
          <w:noProof/>
          <w:lang w:eastAsia="en-GB"/>
        </w:rPr>
        <w:t>frames</w:t>
      </w:r>
      <w:r w:rsidR="00CA2C7C" w:rsidRPr="00150ABA">
        <w:rPr>
          <w:noProof/>
          <w:lang w:eastAsia="en-GB"/>
        </w:rPr>
        <w:t xml:space="preserve"> and finances. </w:t>
      </w:r>
    </w:p>
    <w:p w14:paraId="3AD95C67" w14:textId="4032886D" w:rsidR="00521C02" w:rsidRPr="00150ABA" w:rsidRDefault="00D76D82" w:rsidP="00D76D82">
      <w:pPr>
        <w:pStyle w:val="ManualNumPar1"/>
        <w:rPr>
          <w:noProof/>
          <w:lang w:eastAsia="en-GB"/>
        </w:rPr>
      </w:pPr>
      <w:r w:rsidRPr="00D76D82">
        <w:t>4.</w:t>
      </w:r>
      <w:r w:rsidRPr="00D76D82">
        <w:tab/>
      </w:r>
      <w:r w:rsidR="00521C02" w:rsidRPr="00150ABA">
        <w:rPr>
          <w:noProof/>
          <w:lang w:eastAsia="en-GB"/>
        </w:rPr>
        <w:t>Once the development of the JITs collaboration platform is finalised, eu-LISA shall submit a report to the European Parliament and to the Council explaining how the objectives, in particular relating to planning and costs, were achieved and justifying any divergences.</w:t>
      </w:r>
    </w:p>
    <w:p w14:paraId="066243AE" w14:textId="7302743F" w:rsidR="00CA2C7C" w:rsidRPr="00150ABA" w:rsidRDefault="00D76D82" w:rsidP="00D76D82">
      <w:pPr>
        <w:pStyle w:val="ManualNumPar1"/>
        <w:rPr>
          <w:noProof/>
          <w:lang w:eastAsia="en-GB"/>
        </w:rPr>
      </w:pPr>
      <w:r w:rsidRPr="00D76D82">
        <w:t>5.</w:t>
      </w:r>
      <w:r w:rsidRPr="00D76D82">
        <w:tab/>
      </w:r>
      <w:r w:rsidR="00521C02" w:rsidRPr="00150ABA">
        <w:rPr>
          <w:noProof/>
          <w:lang w:eastAsia="en-GB"/>
        </w:rPr>
        <w:t>In the event of a technical upgrade of the JITs collaboration platform, which could result in substantial costs, eu-LISA shall inform the European Parliament and the Council</w:t>
      </w:r>
      <w:r w:rsidR="00D355D3" w:rsidRPr="00150ABA">
        <w:rPr>
          <w:noProof/>
          <w:lang w:eastAsia="en-GB"/>
        </w:rPr>
        <w:t xml:space="preserve"> before making the upgrade</w:t>
      </w:r>
      <w:r w:rsidR="00521C02" w:rsidRPr="00150ABA">
        <w:rPr>
          <w:noProof/>
          <w:lang w:eastAsia="en-GB"/>
        </w:rPr>
        <w:t>.</w:t>
      </w:r>
    </w:p>
    <w:p w14:paraId="762AB4C7" w14:textId="37CDF37B" w:rsidR="00521C02" w:rsidRPr="00150ABA" w:rsidRDefault="00D76D82" w:rsidP="00D76D82">
      <w:pPr>
        <w:pStyle w:val="ManualNumPar1"/>
        <w:rPr>
          <w:rFonts w:eastAsia="Times New Roman"/>
          <w:bCs/>
          <w:noProof/>
          <w:szCs w:val="24"/>
          <w:lang w:eastAsia="en-GB"/>
        </w:rPr>
      </w:pPr>
      <w:r w:rsidRPr="00D76D82">
        <w:t>6.</w:t>
      </w:r>
      <w:r w:rsidRPr="00D76D82">
        <w:tab/>
      </w:r>
      <w:r w:rsidR="00521C02" w:rsidRPr="00150ABA">
        <w:rPr>
          <w:noProof/>
          <w:lang w:eastAsia="en-GB"/>
        </w:rPr>
        <w:t xml:space="preserve">Two years after the start of operations of the JITs collaboration platform and every year thereafter, eu-LISA shall submit to the Commission a report on the technical functioning of the JITs cooperation platform, including its security. </w:t>
      </w:r>
    </w:p>
    <w:p w14:paraId="5F66372B" w14:textId="664D1FE8" w:rsidR="00521C02" w:rsidRPr="00150ABA" w:rsidRDefault="00D76D82" w:rsidP="00D76D82">
      <w:pPr>
        <w:pStyle w:val="ManualNumPar1"/>
        <w:rPr>
          <w:noProof/>
          <w:lang w:eastAsia="en-GB"/>
        </w:rPr>
      </w:pPr>
      <w:r w:rsidRPr="00D76D82">
        <w:t>7.</w:t>
      </w:r>
      <w:r w:rsidRPr="00D76D82">
        <w:tab/>
      </w:r>
      <w:r w:rsidR="00521C02" w:rsidRPr="00150ABA">
        <w:rPr>
          <w:noProof/>
          <w:lang w:eastAsia="en-GB"/>
        </w:rPr>
        <w:t xml:space="preserve">Four years after the start of operations of the JITs collaboration platform and every four years thereafter, the Commission shall conduct an overall evaluation of the JITs collaboration platform. The Commission shall transmit the overall evaluation report to the European Parliament and the Council. </w:t>
      </w:r>
    </w:p>
    <w:p w14:paraId="70695A71" w14:textId="38EFE5BC" w:rsidR="00CA2C7C" w:rsidRPr="00150ABA" w:rsidRDefault="00D76D82" w:rsidP="00D76D82">
      <w:pPr>
        <w:pStyle w:val="ManualNumPar1"/>
        <w:rPr>
          <w:noProof/>
          <w:lang w:eastAsia="en-GB"/>
        </w:rPr>
      </w:pPr>
      <w:r w:rsidRPr="00D76D82">
        <w:t>8.</w:t>
      </w:r>
      <w:r w:rsidRPr="00D76D82">
        <w:tab/>
      </w:r>
      <w:r w:rsidR="00521C02" w:rsidRPr="00150ABA">
        <w:rPr>
          <w:noProof/>
          <w:lang w:eastAsia="en-GB"/>
        </w:rPr>
        <w:t xml:space="preserve">The </w:t>
      </w:r>
      <w:r w:rsidR="00D355D3" w:rsidRPr="00150ABA">
        <w:rPr>
          <w:noProof/>
          <w:lang w:eastAsia="en-GB"/>
        </w:rPr>
        <w:t>Member State</w:t>
      </w:r>
      <w:r w:rsidR="00511BCB" w:rsidRPr="00150ABA">
        <w:rPr>
          <w:noProof/>
          <w:lang w:eastAsia="en-GB"/>
        </w:rPr>
        <w:t>s’</w:t>
      </w:r>
      <w:r w:rsidR="00D355D3" w:rsidRPr="00150ABA">
        <w:rPr>
          <w:noProof/>
          <w:lang w:eastAsia="en-GB"/>
        </w:rPr>
        <w:t xml:space="preserve"> </w:t>
      </w:r>
      <w:r w:rsidR="00521C02" w:rsidRPr="00150ABA">
        <w:rPr>
          <w:noProof/>
          <w:lang w:eastAsia="en-GB"/>
        </w:rPr>
        <w:t>competent authorities, Eurojust, Europol</w:t>
      </w:r>
      <w:r w:rsidR="00511BCB" w:rsidRPr="00150ABA">
        <w:rPr>
          <w:noProof/>
          <w:lang w:eastAsia="en-GB"/>
        </w:rPr>
        <w:t xml:space="preserve">, </w:t>
      </w:r>
      <w:r w:rsidR="00511BCB" w:rsidRPr="00150ABA">
        <w:rPr>
          <w:noProof/>
        </w:rPr>
        <w:t xml:space="preserve">the European Public Prosecutor’s Office, </w:t>
      </w:r>
      <w:r w:rsidR="00511BCB" w:rsidRPr="00150ABA">
        <w:rPr>
          <w:noProof/>
          <w:lang w:eastAsia="en-GB"/>
        </w:rPr>
        <w:t xml:space="preserve">OLAF and </w:t>
      </w:r>
      <w:r w:rsidR="00511BCB" w:rsidRPr="00150ABA">
        <w:rPr>
          <w:noProof/>
        </w:rPr>
        <w:t>other competent Union bodies, offices and agencies</w:t>
      </w:r>
      <w:r w:rsidR="00521C02" w:rsidRPr="00150ABA">
        <w:rPr>
          <w:noProof/>
          <w:lang w:eastAsia="en-GB"/>
        </w:rPr>
        <w:t xml:space="preserve"> shall provide eu-LISA and the Commission with the information necessary to draft the reports referred to in paragraphs 4 and 7</w:t>
      </w:r>
      <w:r w:rsidR="006B7969" w:rsidRPr="00150ABA">
        <w:rPr>
          <w:noProof/>
          <w:lang w:eastAsia="en-GB"/>
        </w:rPr>
        <w:t>.</w:t>
      </w:r>
      <w:r w:rsidR="00521C02" w:rsidRPr="00150ABA">
        <w:rPr>
          <w:noProof/>
          <w:lang w:eastAsia="en-GB"/>
        </w:rPr>
        <w:t xml:space="preserve"> That information shall not jeopardise working methods or include information that reveals sources, </w:t>
      </w:r>
      <w:r w:rsidR="00A31EEB" w:rsidRPr="00150ABA">
        <w:rPr>
          <w:noProof/>
          <w:lang w:eastAsia="en-GB"/>
        </w:rPr>
        <w:t xml:space="preserve">names of </w:t>
      </w:r>
      <w:r w:rsidR="00521C02" w:rsidRPr="00150ABA">
        <w:rPr>
          <w:noProof/>
          <w:lang w:eastAsia="en-GB"/>
        </w:rPr>
        <w:t>st</w:t>
      </w:r>
      <w:r w:rsidR="00CA2C7C" w:rsidRPr="00150ABA">
        <w:rPr>
          <w:noProof/>
          <w:lang w:eastAsia="en-GB"/>
        </w:rPr>
        <w:t xml:space="preserve">aff members or investigations. </w:t>
      </w:r>
    </w:p>
    <w:p w14:paraId="378BD29B" w14:textId="32E5E787" w:rsidR="00521C02" w:rsidRPr="00150ABA" w:rsidRDefault="00D76D82" w:rsidP="00D76D82">
      <w:pPr>
        <w:pStyle w:val="ManualNumPar1"/>
        <w:rPr>
          <w:noProof/>
          <w:lang w:eastAsia="en-GB"/>
        </w:rPr>
      </w:pPr>
      <w:r w:rsidRPr="00D76D82">
        <w:t>9.</w:t>
      </w:r>
      <w:r w:rsidRPr="00D76D82">
        <w:tab/>
      </w:r>
      <w:r w:rsidR="00521C02" w:rsidRPr="00150ABA">
        <w:rPr>
          <w:noProof/>
          <w:lang w:eastAsia="en-GB"/>
        </w:rPr>
        <w:t>eu-LISA shall provide the Commission with the information necessary to</w:t>
      </w:r>
      <w:r w:rsidR="00842863" w:rsidRPr="00150ABA">
        <w:rPr>
          <w:noProof/>
          <w:lang w:eastAsia="en-GB"/>
        </w:rPr>
        <w:t xml:space="preserve"> produce the overall evaluation</w:t>
      </w:r>
      <w:r w:rsidR="00521C02" w:rsidRPr="00150ABA">
        <w:rPr>
          <w:noProof/>
          <w:lang w:eastAsia="en-GB"/>
        </w:rPr>
        <w:t xml:space="preserve"> referred to in paragraph 7.</w:t>
      </w:r>
    </w:p>
    <w:p w14:paraId="1EA56C92" w14:textId="6652CB96" w:rsidR="00521C02" w:rsidRPr="00150ABA" w:rsidRDefault="00521C02" w:rsidP="00DF6212">
      <w:pPr>
        <w:pStyle w:val="Titrearticle"/>
        <w:rPr>
          <w:noProof/>
          <w:lang w:eastAsia="en-GB"/>
        </w:rPr>
      </w:pPr>
      <w:r w:rsidRPr="00150ABA">
        <w:rPr>
          <w:noProof/>
          <w:lang w:eastAsia="en-GB"/>
        </w:rPr>
        <w:t xml:space="preserve">Article </w:t>
      </w:r>
      <w:r w:rsidR="006B7969" w:rsidRPr="00150ABA">
        <w:rPr>
          <w:noProof/>
          <w:lang w:eastAsia="en-GB"/>
        </w:rPr>
        <w:t>2</w:t>
      </w:r>
      <w:r w:rsidR="00A23CC3" w:rsidRPr="00150ABA">
        <w:rPr>
          <w:noProof/>
          <w:lang w:eastAsia="en-GB"/>
        </w:rPr>
        <w:t>3</w:t>
      </w:r>
    </w:p>
    <w:p w14:paraId="4B42EBF0" w14:textId="77777777" w:rsidR="00521C02" w:rsidRPr="00150ABA" w:rsidRDefault="00521C02" w:rsidP="00521C02">
      <w:pPr>
        <w:shd w:val="clear" w:color="auto" w:fill="FFFFFF" w:themeFill="background1"/>
        <w:spacing w:before="60" w:line="312" w:lineRule="atLeast"/>
        <w:jc w:val="center"/>
        <w:rPr>
          <w:rFonts w:eastAsia="Times New Roman"/>
          <w:b/>
          <w:bCs/>
          <w:noProof/>
          <w:szCs w:val="24"/>
          <w:lang w:eastAsia="en-GB"/>
        </w:rPr>
      </w:pPr>
      <w:r w:rsidRPr="00150ABA">
        <w:rPr>
          <w:rFonts w:eastAsia="Times New Roman"/>
          <w:b/>
          <w:bCs/>
          <w:noProof/>
          <w:szCs w:val="24"/>
          <w:lang w:eastAsia="en-GB"/>
        </w:rPr>
        <w:t>Costs</w:t>
      </w:r>
    </w:p>
    <w:p w14:paraId="61623A4A" w14:textId="77777777" w:rsidR="00521C02" w:rsidRPr="00150ABA" w:rsidRDefault="00521C02" w:rsidP="00521C02">
      <w:pPr>
        <w:shd w:val="clear" w:color="auto" w:fill="FFFFFF" w:themeFill="background1"/>
        <w:spacing w:after="0"/>
        <w:rPr>
          <w:rFonts w:eastAsia="Times New Roman"/>
          <w:noProof/>
          <w:szCs w:val="24"/>
          <w:lang w:eastAsia="en-GB"/>
        </w:rPr>
      </w:pPr>
      <w:r w:rsidRPr="00150ABA">
        <w:rPr>
          <w:rFonts w:eastAsia="Times New Roman"/>
          <w:noProof/>
          <w:szCs w:val="24"/>
          <w:lang w:eastAsia="en-GB"/>
        </w:rPr>
        <w:t>The costs incurred in connection with the establishment and operation of the JITs collaboration platform shall be borne by the general budget of the Union.</w:t>
      </w:r>
    </w:p>
    <w:p w14:paraId="45491864" w14:textId="1B6974E6" w:rsidR="00521C02" w:rsidRPr="00150ABA" w:rsidRDefault="00521C02" w:rsidP="00DF6212">
      <w:pPr>
        <w:pStyle w:val="Titrearticle"/>
        <w:rPr>
          <w:noProof/>
          <w:lang w:eastAsia="en-GB"/>
        </w:rPr>
      </w:pPr>
      <w:r w:rsidRPr="00150ABA">
        <w:rPr>
          <w:noProof/>
          <w:lang w:eastAsia="en-GB"/>
        </w:rPr>
        <w:t xml:space="preserve">Article </w:t>
      </w:r>
      <w:r w:rsidR="006B7969" w:rsidRPr="00150ABA">
        <w:rPr>
          <w:noProof/>
          <w:lang w:eastAsia="en-GB"/>
        </w:rPr>
        <w:t>2</w:t>
      </w:r>
      <w:r w:rsidR="00A23CC3" w:rsidRPr="00150ABA">
        <w:rPr>
          <w:noProof/>
          <w:lang w:eastAsia="en-GB"/>
        </w:rPr>
        <w:t>4</w:t>
      </w:r>
    </w:p>
    <w:p w14:paraId="20398F85" w14:textId="77777777" w:rsidR="00521C02" w:rsidRPr="00150ABA" w:rsidRDefault="00521C02" w:rsidP="00521C02">
      <w:pPr>
        <w:shd w:val="clear" w:color="auto" w:fill="FFFFFF" w:themeFill="background1"/>
        <w:spacing w:before="60" w:line="312" w:lineRule="atLeast"/>
        <w:jc w:val="center"/>
        <w:rPr>
          <w:rFonts w:eastAsia="Times New Roman"/>
          <w:b/>
          <w:bCs/>
          <w:noProof/>
          <w:szCs w:val="24"/>
          <w:lang w:eastAsia="en-GB"/>
        </w:rPr>
      </w:pPr>
      <w:r w:rsidRPr="00150ABA">
        <w:rPr>
          <w:rFonts w:eastAsia="Times New Roman"/>
          <w:b/>
          <w:bCs/>
          <w:noProof/>
          <w:szCs w:val="24"/>
          <w:lang w:eastAsia="en-GB"/>
        </w:rPr>
        <w:t>Start of operations</w:t>
      </w:r>
    </w:p>
    <w:p w14:paraId="5B4396F7" w14:textId="53E92965" w:rsidR="00521C02" w:rsidRPr="00150ABA" w:rsidRDefault="00D76D82" w:rsidP="00D76D82">
      <w:pPr>
        <w:pStyle w:val="ManualNumPar1"/>
        <w:rPr>
          <w:noProof/>
          <w:lang w:eastAsia="en-GB"/>
        </w:rPr>
      </w:pPr>
      <w:r w:rsidRPr="00D76D82">
        <w:t>1.</w:t>
      </w:r>
      <w:r w:rsidRPr="00D76D82">
        <w:tab/>
      </w:r>
      <w:r w:rsidR="00A31EEB" w:rsidRPr="00150ABA">
        <w:rPr>
          <w:noProof/>
          <w:lang w:eastAsia="en-GB"/>
        </w:rPr>
        <w:t>T</w:t>
      </w:r>
      <w:r w:rsidR="00521C02" w:rsidRPr="00150ABA">
        <w:rPr>
          <w:noProof/>
          <w:lang w:eastAsia="en-GB"/>
        </w:rPr>
        <w:t xml:space="preserve">he </w:t>
      </w:r>
      <w:r w:rsidR="00521C02" w:rsidRPr="00150ABA">
        <w:rPr>
          <w:rFonts w:eastAsia="Times New Roman"/>
          <w:bCs/>
          <w:noProof/>
          <w:szCs w:val="24"/>
          <w:lang w:eastAsia="en-GB"/>
        </w:rPr>
        <w:t>Commission</w:t>
      </w:r>
      <w:r w:rsidR="00521C02" w:rsidRPr="00150ABA">
        <w:rPr>
          <w:noProof/>
          <w:lang w:eastAsia="en-GB"/>
        </w:rPr>
        <w:t xml:space="preserve"> shall determine the date of the start of operations of the JITs collaboration platform</w:t>
      </w:r>
      <w:r w:rsidR="00A31EEB" w:rsidRPr="00150ABA">
        <w:rPr>
          <w:noProof/>
          <w:lang w:eastAsia="en-GB"/>
        </w:rPr>
        <w:t>, once it is satisfied that the following conditions are met</w:t>
      </w:r>
      <w:r w:rsidR="00521C02" w:rsidRPr="00150ABA">
        <w:rPr>
          <w:noProof/>
          <w:lang w:eastAsia="en-GB"/>
        </w:rPr>
        <w:t>:</w:t>
      </w:r>
      <w:r w:rsidR="00521C02" w:rsidRPr="00150ABA" w:rsidDel="00297E38">
        <w:rPr>
          <w:noProof/>
          <w:lang w:eastAsia="en-GB"/>
        </w:rPr>
        <w:t xml:space="preserve"> </w:t>
      </w:r>
    </w:p>
    <w:p w14:paraId="4B035DAB" w14:textId="074A9956" w:rsidR="00C24D2B" w:rsidRPr="00150ABA" w:rsidRDefault="00D76D82" w:rsidP="00D76D82">
      <w:pPr>
        <w:pStyle w:val="Point0"/>
        <w:rPr>
          <w:noProof/>
          <w:lang w:eastAsia="en-GB"/>
        </w:rPr>
      </w:pPr>
      <w:r w:rsidRPr="00D76D82">
        <w:t>(a)</w:t>
      </w:r>
      <w:r w:rsidRPr="00D76D82">
        <w:tab/>
      </w:r>
      <w:r w:rsidR="00521C02" w:rsidRPr="00150ABA">
        <w:rPr>
          <w:noProof/>
          <w:lang w:eastAsia="en-GB"/>
        </w:rPr>
        <w:t>the relevant implementing acts referred to in Article 6 have been adopted;</w:t>
      </w:r>
    </w:p>
    <w:p w14:paraId="5B2D3E17" w14:textId="43ED7266" w:rsidR="0073437D" w:rsidRPr="00150ABA" w:rsidRDefault="00D76D82" w:rsidP="00D76D82">
      <w:pPr>
        <w:pStyle w:val="Point0"/>
        <w:rPr>
          <w:noProof/>
          <w:lang w:eastAsia="en-GB"/>
        </w:rPr>
      </w:pPr>
      <w:r w:rsidRPr="00D76D82">
        <w:t>(b)</w:t>
      </w:r>
      <w:r w:rsidRPr="00D76D82">
        <w:tab/>
      </w:r>
      <w:r w:rsidR="00521C02" w:rsidRPr="00150ABA">
        <w:rPr>
          <w:noProof/>
          <w:lang w:eastAsia="en-GB"/>
        </w:rPr>
        <w:t>eu-LISA has carried out a comprehensive test of the JITs collaboration platform, in cooperation with the Member States, using anonymous test data.</w:t>
      </w:r>
    </w:p>
    <w:p w14:paraId="71B3D171" w14:textId="3B624492" w:rsidR="0073437D" w:rsidRPr="00150ABA" w:rsidRDefault="00D76D82" w:rsidP="00D76D82">
      <w:pPr>
        <w:pStyle w:val="ManualNumPar1"/>
        <w:rPr>
          <w:noProof/>
          <w:lang w:eastAsia="en-GB"/>
        </w:rPr>
      </w:pPr>
      <w:r w:rsidRPr="00D76D82">
        <w:t>2.</w:t>
      </w:r>
      <w:r w:rsidRPr="00D76D82">
        <w:tab/>
      </w:r>
      <w:r w:rsidR="00521C02" w:rsidRPr="00150ABA">
        <w:rPr>
          <w:noProof/>
          <w:lang w:eastAsia="en-GB"/>
        </w:rPr>
        <w:t>Whe</w:t>
      </w:r>
      <w:r w:rsidR="00A31EEB" w:rsidRPr="00150ABA">
        <w:rPr>
          <w:noProof/>
          <w:lang w:eastAsia="en-GB"/>
        </w:rPr>
        <w:t>re</w:t>
      </w:r>
      <w:r w:rsidR="00521C02" w:rsidRPr="00150ABA">
        <w:rPr>
          <w:noProof/>
          <w:lang w:eastAsia="en-GB"/>
        </w:rPr>
        <w:t xml:space="preserve"> the Commission has determined the date of start of operations in accordance with </w:t>
      </w:r>
      <w:r w:rsidR="00521C02" w:rsidRPr="00150ABA">
        <w:rPr>
          <w:rFonts w:eastAsia="Times New Roman"/>
          <w:bCs/>
          <w:noProof/>
          <w:szCs w:val="24"/>
          <w:lang w:eastAsia="en-GB"/>
        </w:rPr>
        <w:t>paragraph</w:t>
      </w:r>
      <w:r w:rsidR="00521C02" w:rsidRPr="00150ABA">
        <w:rPr>
          <w:noProof/>
          <w:lang w:eastAsia="en-GB"/>
        </w:rPr>
        <w:t xml:space="preserve"> 1, it shall communicate that date to the </w:t>
      </w:r>
      <w:r w:rsidR="007E46C5" w:rsidRPr="00150ABA">
        <w:rPr>
          <w:noProof/>
          <w:lang w:eastAsia="en-GB"/>
        </w:rPr>
        <w:t>Member States, Eurojust, Europol</w:t>
      </w:r>
      <w:r w:rsidR="00984BBF" w:rsidRPr="00150ABA">
        <w:rPr>
          <w:noProof/>
          <w:lang w:eastAsia="en-GB"/>
        </w:rPr>
        <w:t xml:space="preserve">, </w:t>
      </w:r>
      <w:r w:rsidR="00984BBF" w:rsidRPr="00150ABA">
        <w:rPr>
          <w:noProof/>
        </w:rPr>
        <w:t>the European Public Prosecutor’s Office</w:t>
      </w:r>
      <w:r w:rsidR="007E46C5" w:rsidRPr="00150ABA">
        <w:rPr>
          <w:noProof/>
          <w:lang w:eastAsia="en-GB"/>
        </w:rPr>
        <w:t xml:space="preserve"> and OLAF.</w:t>
      </w:r>
      <w:r w:rsidR="00521C02" w:rsidRPr="00150ABA">
        <w:rPr>
          <w:noProof/>
          <w:lang w:eastAsia="en-GB"/>
        </w:rPr>
        <w:t xml:space="preserve"> </w:t>
      </w:r>
    </w:p>
    <w:p w14:paraId="1A76DB22" w14:textId="0BCC6599" w:rsidR="0073437D" w:rsidRPr="00150ABA" w:rsidRDefault="00D76D82" w:rsidP="00D76D82">
      <w:pPr>
        <w:pStyle w:val="ManualNumPar1"/>
        <w:rPr>
          <w:noProof/>
          <w:lang w:eastAsia="en-GB"/>
        </w:rPr>
      </w:pPr>
      <w:r w:rsidRPr="00D76D82">
        <w:t>3.</w:t>
      </w:r>
      <w:r w:rsidRPr="00D76D82">
        <w:tab/>
      </w:r>
      <w:r w:rsidR="0073437D" w:rsidRPr="00150ABA">
        <w:rPr>
          <w:noProof/>
          <w:lang w:eastAsia="en-GB"/>
        </w:rPr>
        <w:t>T</w:t>
      </w:r>
      <w:r w:rsidR="00521C02" w:rsidRPr="00150ABA">
        <w:rPr>
          <w:noProof/>
          <w:lang w:eastAsia="en-GB"/>
        </w:rPr>
        <w:t xml:space="preserve">he decision of the Commission </w:t>
      </w:r>
      <w:r w:rsidR="00A31EEB" w:rsidRPr="00150ABA">
        <w:rPr>
          <w:noProof/>
          <w:lang w:eastAsia="en-GB"/>
        </w:rPr>
        <w:t xml:space="preserve">determining </w:t>
      </w:r>
      <w:r w:rsidR="00521C02" w:rsidRPr="00150ABA">
        <w:rPr>
          <w:noProof/>
          <w:lang w:eastAsia="en-GB"/>
        </w:rPr>
        <w:t>the date of the start of operations of the JITs collaboration platform, as referred to in paragraph 1, shall be published in the Official Journal of the European Union.</w:t>
      </w:r>
    </w:p>
    <w:p w14:paraId="5CC15D39" w14:textId="69F58A6D" w:rsidR="00521C02" w:rsidRPr="00150ABA" w:rsidRDefault="00D76D82" w:rsidP="00D76D82">
      <w:pPr>
        <w:pStyle w:val="ManualNumPar1"/>
        <w:rPr>
          <w:noProof/>
          <w:lang w:eastAsia="en-GB"/>
        </w:rPr>
      </w:pPr>
      <w:r w:rsidRPr="00D76D82">
        <w:t>4.</w:t>
      </w:r>
      <w:r w:rsidRPr="00D76D82">
        <w:tab/>
      </w:r>
      <w:r w:rsidR="00521C02" w:rsidRPr="00150ABA">
        <w:rPr>
          <w:noProof/>
          <w:lang w:eastAsia="en-GB"/>
        </w:rPr>
        <w:t xml:space="preserve">The </w:t>
      </w:r>
      <w:r w:rsidR="00297503" w:rsidRPr="00150ABA">
        <w:rPr>
          <w:noProof/>
          <w:lang w:eastAsia="en-GB"/>
        </w:rPr>
        <w:t>JIT</w:t>
      </w:r>
      <w:r w:rsidR="00A31EEB" w:rsidRPr="00150ABA">
        <w:rPr>
          <w:noProof/>
          <w:lang w:eastAsia="en-GB"/>
        </w:rPr>
        <w:t>s</w:t>
      </w:r>
      <w:r w:rsidR="00297503" w:rsidRPr="00150ABA">
        <w:rPr>
          <w:noProof/>
          <w:lang w:eastAsia="en-GB"/>
        </w:rPr>
        <w:t xml:space="preserve"> collaboration platform users </w:t>
      </w:r>
      <w:r w:rsidR="00521C02" w:rsidRPr="00150ABA">
        <w:rPr>
          <w:noProof/>
          <w:lang w:eastAsia="en-GB"/>
        </w:rPr>
        <w:t xml:space="preserve">shall start using the JITs collaboration platform from the date determined by the Commission in accordance with paragraph </w:t>
      </w:r>
      <w:r w:rsidR="00A31EEB" w:rsidRPr="00150ABA">
        <w:rPr>
          <w:noProof/>
          <w:lang w:eastAsia="en-GB"/>
        </w:rPr>
        <w:t>1</w:t>
      </w:r>
      <w:r w:rsidR="00521C02" w:rsidRPr="00150ABA">
        <w:rPr>
          <w:noProof/>
          <w:lang w:eastAsia="en-GB"/>
        </w:rPr>
        <w:t>.</w:t>
      </w:r>
    </w:p>
    <w:p w14:paraId="25EB00C4" w14:textId="7EAB4213" w:rsidR="00CA2C7C" w:rsidRPr="00150ABA" w:rsidRDefault="00CA2C7C" w:rsidP="00CA2C7C">
      <w:pPr>
        <w:pStyle w:val="Titrearticle"/>
        <w:rPr>
          <w:noProof/>
          <w:lang w:eastAsia="en-GB"/>
        </w:rPr>
      </w:pPr>
      <w:r w:rsidRPr="00150ABA">
        <w:rPr>
          <w:noProof/>
          <w:lang w:eastAsia="en-GB"/>
        </w:rPr>
        <w:t>Article 25</w:t>
      </w:r>
    </w:p>
    <w:p w14:paraId="438917D9" w14:textId="77777777" w:rsidR="00CA2C7C" w:rsidRPr="00150ABA" w:rsidRDefault="00CA2C7C" w:rsidP="00CA2C7C">
      <w:pPr>
        <w:shd w:val="clear" w:color="auto" w:fill="FFFFFF" w:themeFill="background1"/>
        <w:spacing w:before="60" w:line="312" w:lineRule="atLeast"/>
        <w:jc w:val="center"/>
        <w:rPr>
          <w:rFonts w:eastAsia="Times New Roman"/>
          <w:b/>
          <w:bCs/>
          <w:noProof/>
          <w:szCs w:val="24"/>
          <w:lang w:eastAsia="en-GB"/>
        </w:rPr>
      </w:pPr>
      <w:r w:rsidRPr="00150ABA">
        <w:rPr>
          <w:rFonts w:eastAsia="Times New Roman"/>
          <w:b/>
          <w:bCs/>
          <w:noProof/>
          <w:szCs w:val="24"/>
          <w:lang w:eastAsia="en-GB"/>
        </w:rPr>
        <w:t xml:space="preserve">Committee procedure </w:t>
      </w:r>
    </w:p>
    <w:p w14:paraId="7D64C5F5" w14:textId="26E63E6C" w:rsidR="00CA2C7C" w:rsidRPr="00150ABA" w:rsidRDefault="00D76D82" w:rsidP="00D76D82">
      <w:pPr>
        <w:pStyle w:val="ManualNumPar1"/>
        <w:rPr>
          <w:noProof/>
          <w:lang w:eastAsia="en-GB"/>
        </w:rPr>
      </w:pPr>
      <w:r w:rsidRPr="00D76D82">
        <w:t>1.</w:t>
      </w:r>
      <w:r w:rsidRPr="00D76D82">
        <w:tab/>
      </w:r>
      <w:r w:rsidR="00CA2C7C" w:rsidRPr="00150ABA">
        <w:rPr>
          <w:noProof/>
          <w:lang w:eastAsia="en-GB"/>
        </w:rPr>
        <w:t xml:space="preserve">The Commission shall be assisted by a committee. That committee shall be a committee within the meaning of Regulation (EU) No 182/2011. </w:t>
      </w:r>
    </w:p>
    <w:p w14:paraId="1E0B37F3" w14:textId="2D8A1F79" w:rsidR="00CA2C7C" w:rsidRPr="00150ABA" w:rsidRDefault="00D76D82" w:rsidP="00D76D82">
      <w:pPr>
        <w:pStyle w:val="ManualNumPar1"/>
        <w:rPr>
          <w:noProof/>
          <w:lang w:eastAsia="en-GB"/>
        </w:rPr>
      </w:pPr>
      <w:r w:rsidRPr="00D76D82">
        <w:t>2.</w:t>
      </w:r>
      <w:r w:rsidRPr="00D76D82">
        <w:tab/>
      </w:r>
      <w:r w:rsidR="00CA2C7C" w:rsidRPr="00150ABA">
        <w:rPr>
          <w:noProof/>
          <w:lang w:eastAsia="en-GB"/>
        </w:rPr>
        <w:t xml:space="preserve">Where reference is made to this Article, Article 5 of Regulation (EU) No 182/2011 shall apply. </w:t>
      </w:r>
    </w:p>
    <w:p w14:paraId="2F6E2724" w14:textId="596C5F1F" w:rsidR="00CA2C7C" w:rsidRPr="00150ABA" w:rsidRDefault="00D76D82" w:rsidP="00D76D82">
      <w:pPr>
        <w:pStyle w:val="ManualNumPar1"/>
        <w:rPr>
          <w:noProof/>
          <w:lang w:eastAsia="en-GB"/>
        </w:rPr>
      </w:pPr>
      <w:r w:rsidRPr="00D76D82">
        <w:t>3.</w:t>
      </w:r>
      <w:r w:rsidRPr="00D76D82">
        <w:tab/>
      </w:r>
      <w:r w:rsidR="00CA2C7C" w:rsidRPr="00150ABA">
        <w:rPr>
          <w:noProof/>
          <w:lang w:eastAsia="en-GB"/>
        </w:rPr>
        <w:t>Where the committee delivers no opinion, the Commission shall not adopt the draft-implementing act and the third subparagraph of Article 5(4) of Regulation (EU) No 182/2011 shall apply.</w:t>
      </w:r>
    </w:p>
    <w:p w14:paraId="425FAE41" w14:textId="77777777" w:rsidR="00CA2C7C" w:rsidRPr="00150ABA" w:rsidRDefault="00CA2C7C" w:rsidP="00CA2C7C">
      <w:pPr>
        <w:pStyle w:val="Titrearticle"/>
        <w:rPr>
          <w:noProof/>
          <w:lang w:eastAsia="en-GB"/>
        </w:rPr>
      </w:pPr>
      <w:r w:rsidRPr="00150ABA">
        <w:rPr>
          <w:noProof/>
          <w:lang w:eastAsia="en-GB"/>
        </w:rPr>
        <w:t>Article 26</w:t>
      </w:r>
    </w:p>
    <w:p w14:paraId="6BACBBC4" w14:textId="77777777" w:rsidR="00CA2C7C" w:rsidRPr="00150ABA" w:rsidRDefault="00CA2C7C" w:rsidP="00CA2C7C">
      <w:pPr>
        <w:shd w:val="clear" w:color="auto" w:fill="FFFFFF" w:themeFill="background1"/>
        <w:spacing w:after="0" w:line="312" w:lineRule="atLeast"/>
        <w:jc w:val="center"/>
        <w:rPr>
          <w:rFonts w:eastAsia="Times New Roman"/>
          <w:b/>
          <w:iCs/>
          <w:noProof/>
          <w:szCs w:val="24"/>
          <w:lang w:eastAsia="en-GB"/>
        </w:rPr>
      </w:pPr>
      <w:r w:rsidRPr="00150ABA">
        <w:rPr>
          <w:rFonts w:eastAsia="Times New Roman"/>
          <w:b/>
          <w:iCs/>
          <w:noProof/>
          <w:szCs w:val="24"/>
          <w:lang w:eastAsia="en-GB"/>
        </w:rPr>
        <w:t>Amendments to Regulation (EU) 2018/1726</w:t>
      </w:r>
    </w:p>
    <w:p w14:paraId="5CAC4B55"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Regulation (EU) 2018/1726 is amended as follows:</w:t>
      </w:r>
    </w:p>
    <w:p w14:paraId="58D2E2E7"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(1) in Article 1, the following paragraph 4a is inserted:</w:t>
      </w:r>
    </w:p>
    <w:p w14:paraId="2D57AEC1"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“4a. The Agency shall be responsible for the development and operational management, including technical evolutions, of the Joint Investigation Teams (‘JITs’) collaboration platform”;</w:t>
      </w:r>
    </w:p>
    <w:p w14:paraId="17D7FF1A"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(2) the following Article 8b is inserted:</w:t>
      </w:r>
    </w:p>
    <w:p w14:paraId="54624BE1" w14:textId="77777777" w:rsidR="00CA2C7C" w:rsidRPr="00150ABA" w:rsidRDefault="00CA2C7C" w:rsidP="00CA2C7C">
      <w:pPr>
        <w:shd w:val="clear" w:color="auto" w:fill="FFFFFF" w:themeFill="background1"/>
        <w:spacing w:line="312" w:lineRule="atLeast"/>
        <w:jc w:val="center"/>
        <w:rPr>
          <w:rFonts w:eastAsia="Times New Roman"/>
          <w:noProof/>
          <w:szCs w:val="24"/>
          <w:lang w:eastAsia="en-GB"/>
        </w:rPr>
      </w:pPr>
      <w:r w:rsidRPr="00150ABA">
        <w:rPr>
          <w:rFonts w:eastAsia="Times New Roman"/>
          <w:noProof/>
          <w:szCs w:val="24"/>
          <w:lang w:eastAsia="en-GB"/>
        </w:rPr>
        <w:t>“</w:t>
      </w:r>
      <w:r w:rsidRPr="00150ABA">
        <w:rPr>
          <w:rFonts w:eastAsia="Times New Roman"/>
          <w:i/>
          <w:noProof/>
          <w:szCs w:val="24"/>
          <w:lang w:eastAsia="en-GB"/>
        </w:rPr>
        <w:t>Article 8b</w:t>
      </w:r>
    </w:p>
    <w:p w14:paraId="5A05E2DC" w14:textId="77777777" w:rsidR="00CA2C7C" w:rsidRPr="00150ABA" w:rsidRDefault="00CA2C7C" w:rsidP="00CA2C7C">
      <w:pPr>
        <w:shd w:val="clear" w:color="auto" w:fill="FFFFFF" w:themeFill="background1"/>
        <w:spacing w:line="312" w:lineRule="atLeast"/>
        <w:jc w:val="center"/>
        <w:rPr>
          <w:rFonts w:eastAsia="Times New Roman"/>
          <w:b/>
          <w:noProof/>
          <w:szCs w:val="24"/>
          <w:lang w:eastAsia="en-GB"/>
        </w:rPr>
      </w:pPr>
      <w:r w:rsidRPr="00150ABA">
        <w:rPr>
          <w:rFonts w:eastAsia="Times New Roman"/>
          <w:b/>
          <w:noProof/>
          <w:szCs w:val="24"/>
          <w:lang w:eastAsia="en-GB"/>
        </w:rPr>
        <w:t>Tasks related to the JITs collaboration platform</w:t>
      </w:r>
    </w:p>
    <w:p w14:paraId="2EDCEFE2"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In relation to the JITs collaboration platform, the Agency shall perform:</w:t>
      </w:r>
    </w:p>
    <w:p w14:paraId="6CEB8265"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(a) the tasks conferred on it by Regulation (EU) No XXX/20XX of the European Parliament and of the Council*;</w:t>
      </w:r>
    </w:p>
    <w:p w14:paraId="21F65FF8"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(b) tasks relating to training on the technical use of the JITs collaboration platform, including provision of online training materials.</w:t>
      </w:r>
    </w:p>
    <w:p w14:paraId="03CC6991" w14:textId="2D299963" w:rsidR="00CA2C7C" w:rsidRPr="00150ABA" w:rsidRDefault="00CA2C7C" w:rsidP="00CA2C7C">
      <w:pPr>
        <w:pStyle w:val="ListParagraph"/>
        <w:shd w:val="clear" w:color="auto" w:fill="FFFFFF" w:themeFill="background1"/>
        <w:spacing w:before="120" w:line="312" w:lineRule="atLeast"/>
        <w:ind w:left="1069"/>
        <w:rPr>
          <w:rFonts w:ascii="Times New Roman" w:eastAsia="Times New Roman" w:hAnsi="Times New Roman" w:cs="Times New Roman"/>
          <w:noProof/>
          <w:sz w:val="24"/>
          <w:szCs w:val="24"/>
          <w:lang w:eastAsia="en-GB"/>
        </w:rPr>
      </w:pPr>
      <w:r w:rsidRPr="00150ABA">
        <w:rPr>
          <w:rFonts w:ascii="Times New Roman" w:eastAsia="Times New Roman" w:hAnsi="Times New Roman" w:cs="Times New Roman"/>
          <w:noProof/>
          <w:sz w:val="24"/>
          <w:szCs w:val="24"/>
          <w:lang w:eastAsia="en-GB"/>
        </w:rPr>
        <w:t>__________</w:t>
      </w:r>
    </w:p>
    <w:p w14:paraId="53FA8331" w14:textId="60965E3E" w:rsidR="00CA2C7C" w:rsidRPr="00150ABA" w:rsidRDefault="00CA2C7C" w:rsidP="00CA2C7C">
      <w:pPr>
        <w:pStyle w:val="ListParagraph"/>
        <w:shd w:val="clear" w:color="auto" w:fill="FFFFFF" w:themeFill="background1"/>
        <w:spacing w:before="120" w:line="312" w:lineRule="atLeast"/>
        <w:ind w:left="1069"/>
        <w:rPr>
          <w:rFonts w:ascii="Times New Roman" w:eastAsia="Times New Roman" w:hAnsi="Times New Roman" w:cs="Times New Roman"/>
          <w:noProof/>
          <w:sz w:val="24"/>
          <w:szCs w:val="24"/>
          <w:lang w:eastAsia="en-GB"/>
        </w:rPr>
      </w:pPr>
      <w:r w:rsidRPr="00150ABA">
        <w:rPr>
          <w:rFonts w:ascii="Times New Roman" w:eastAsia="Times New Roman" w:hAnsi="Times New Roman" w:cs="Times New Roman"/>
          <w:noProof/>
          <w:sz w:val="24"/>
          <w:szCs w:val="24"/>
          <w:lang w:eastAsia="en-GB"/>
        </w:rPr>
        <w:t>*</w:t>
      </w:r>
      <w:r w:rsidRPr="00150ABA">
        <w:rPr>
          <w:noProof/>
        </w:rPr>
        <w:t xml:space="preserve"> </w:t>
      </w:r>
      <w:r w:rsidRPr="00150ABA">
        <w:rPr>
          <w:rFonts w:ascii="Times New Roman" w:eastAsia="Times New Roman" w:hAnsi="Times New Roman" w:cs="Times New Roman"/>
          <w:noProof/>
          <w:sz w:val="24"/>
          <w:szCs w:val="24"/>
          <w:lang w:eastAsia="en-GB"/>
        </w:rPr>
        <w:t>Regulation (EU) No XXX/20XX of the European Parliament and of the Council</w:t>
      </w:r>
      <w:r w:rsidRPr="00150ABA">
        <w:rPr>
          <w:noProof/>
        </w:rPr>
        <w:t xml:space="preserve"> </w:t>
      </w:r>
      <w:r w:rsidRPr="00150ABA">
        <w:rPr>
          <w:rFonts w:ascii="Times New Roman" w:eastAsia="Times New Roman" w:hAnsi="Times New Roman" w:cs="Times New Roman"/>
          <w:noProof/>
          <w:sz w:val="24"/>
          <w:szCs w:val="24"/>
          <w:lang w:eastAsia="en-GB"/>
        </w:rPr>
        <w:t>establishing a centralised collaboration platform to support the functioning of Joint Investigation Teams and amending Regulation (EU) 2018/1726 (OJ L …).”;</w:t>
      </w:r>
    </w:p>
    <w:p w14:paraId="4C87CC63"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(3) in Article 14, paragraph 1 is replaced by the following:</w:t>
      </w:r>
    </w:p>
    <w:p w14:paraId="10B8C6C9"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“1.The Agency shall monitor developments in research relevant for the operational management of SIS II, VIS, Eurodac, the EES, ETIAS, DubliNet, ECRIS-TCN, e-CODEX, the JITs collaboration platform and other large-scale IT systems as referred to in Article 1(5).”;</w:t>
      </w:r>
    </w:p>
    <w:p w14:paraId="1BAED82D"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(4) in Article 19(1), point (ff) is replaced by the following:</w:t>
      </w:r>
    </w:p>
    <w:p w14:paraId="1DA7F0F2"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“(ff) adopt reports on the technical functioning of the following:</w:t>
      </w:r>
    </w:p>
    <w:p w14:paraId="4ED3290A"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(i) SIS pursuant to Article 60(7) of Regulation (EU) 2018/1861 of the European Parliament and of the Council* and Article 74(8) of Regulation (EU) 2018/1862 of the European Parliament and of the Council**;</w:t>
      </w:r>
    </w:p>
    <w:p w14:paraId="15DA3628"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(ii) VIS pursuant to Article 50(3) of Regulation (EC) No 767/2008 and Article 17(3) of Decision 2008/633/JHA;</w:t>
      </w:r>
    </w:p>
    <w:p w14:paraId="6F5C67FB"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(iii) EES pursuant to Article 72(4) of Regulation (EU) 2017/2226;</w:t>
      </w:r>
    </w:p>
    <w:p w14:paraId="470E0504"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(iv) ETIAS pursuant to Article 92(4) of Regulation (EU) 2018/1240;</w:t>
      </w:r>
    </w:p>
    <w:p w14:paraId="7FE3359A"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(v) ECRIS-TCN and of the ECRIS reference implementation pursuant to Article 36(8) of Regulation (EU) 2019/816 of the European Parliament and of the Council***;</w:t>
      </w:r>
    </w:p>
    <w:p w14:paraId="4A8C5C44"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(vi) the interoperability components pursuant to Article 78(3) of Regulation (EU) 2019/817 and Article 74(3) of Regulation (EU) 2019/818;</w:t>
      </w:r>
    </w:p>
    <w:p w14:paraId="05BC7858"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(vii) the e</w:t>
      </w:r>
      <w:r w:rsidRPr="00150ABA">
        <w:rPr>
          <w:rFonts w:eastAsia="Times New Roman"/>
          <w:noProof/>
          <w:szCs w:val="24"/>
          <w:lang w:eastAsia="en-GB"/>
        </w:rPr>
        <w:noBreakHyphen/>
        <w:t>CODEX system pursuant to Article 14(1) of Regulation (EU) XXX****;</w:t>
      </w:r>
    </w:p>
    <w:p w14:paraId="2A618111"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(viii) the JITs collaboration platform pursuant to Article xx of Regulation (EU) XXX***** [this Regulation];</w:t>
      </w:r>
    </w:p>
    <w:p w14:paraId="79A12C62" w14:textId="77777777" w:rsidR="00CA2C7C" w:rsidRPr="00150ABA" w:rsidRDefault="00CA2C7C" w:rsidP="00CA2C7C">
      <w:pPr>
        <w:shd w:val="clear" w:color="auto" w:fill="FFFFFF" w:themeFill="background1"/>
        <w:spacing w:line="312" w:lineRule="atLeast"/>
        <w:rPr>
          <w:noProof/>
          <w:lang w:eastAsia="en-GB"/>
        </w:rPr>
      </w:pPr>
      <w:r w:rsidRPr="00150ABA">
        <w:rPr>
          <w:noProof/>
          <w:lang w:eastAsia="en-GB"/>
        </w:rPr>
        <w:t>__________</w:t>
      </w:r>
    </w:p>
    <w:p w14:paraId="3730A92F"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 Regulation (EU) 2018/1861 of the European Parliament and of the Council of 28 November 2018 on the establishment, operation and use of the Schengen Information System (SIS) in the field of border checks, and amending the Convention implementing the Schengen Agreement, and amending and repealing Regulation (EC) No 1987/2006 (OJ L 312, 7.12.2018, p. 14).</w:t>
      </w:r>
    </w:p>
    <w:p w14:paraId="60D73408"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 Regulation (EU) 2018/1862 of the European Parliament and of the Council of 28 November 2018 on the establishment, operation and use of the Schengen Information System (SIS) in the field of police cooperation and judicial cooperation in criminal matters, amending and repealing Council Decision 2007/533/JHA, and repealing Regulation (EC) No 1986/2006 of the European Parliament and of the Council and Commission Decision 2010/261/EU (OJ L 312, 7.12.2018, p. 56).</w:t>
      </w:r>
    </w:p>
    <w:p w14:paraId="3AF40D72"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 Regulation (EU) 2019/816 of the European Parliament and of the Council of 17 April 2019 establishing a centralised system for the identification of Member States holding conviction information on third-country nationals and stateless persons (ECRIS-TCN) to supplement the European Criminal Records Information System and amending Regulation (EU) 2018/1726 (OJ L 135, 22.5.2019, p. 1).</w:t>
      </w:r>
    </w:p>
    <w:p w14:paraId="3FB48F87"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 Regulation (EU) XXX of … (OJ L …).</w:t>
      </w:r>
    </w:p>
    <w:p w14:paraId="0CF301F7"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 Regulation (EU) XXX of … (OJ L …).”;</w:t>
      </w:r>
    </w:p>
    <w:p w14:paraId="619F24FD"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sidDel="006F67F4">
        <w:rPr>
          <w:rFonts w:eastAsia="Times New Roman"/>
          <w:noProof/>
          <w:szCs w:val="24"/>
          <w:lang w:eastAsia="en-GB"/>
        </w:rPr>
        <w:t xml:space="preserve"> </w:t>
      </w:r>
      <w:r w:rsidRPr="00150ABA">
        <w:rPr>
          <w:rFonts w:eastAsia="Times New Roman"/>
          <w:noProof/>
          <w:szCs w:val="24"/>
          <w:lang w:eastAsia="en-GB"/>
        </w:rPr>
        <w:t>(5) in Article 27(1), the following point (dc) is inserted:</w:t>
      </w:r>
    </w:p>
    <w:p w14:paraId="315AE9F5" w14:textId="77777777" w:rsidR="00CA2C7C" w:rsidRPr="00150ABA" w:rsidRDefault="00CA2C7C" w:rsidP="00CA2C7C">
      <w:pPr>
        <w:shd w:val="clear" w:color="auto" w:fill="FFFFFF" w:themeFill="background1"/>
        <w:spacing w:line="312" w:lineRule="atLeast"/>
        <w:rPr>
          <w:rFonts w:eastAsia="Times New Roman"/>
          <w:noProof/>
          <w:szCs w:val="24"/>
          <w:lang w:eastAsia="en-GB"/>
        </w:rPr>
      </w:pPr>
      <w:r w:rsidRPr="00150ABA">
        <w:rPr>
          <w:rFonts w:eastAsia="Times New Roman"/>
          <w:noProof/>
          <w:szCs w:val="24"/>
          <w:lang w:eastAsia="en-GB"/>
        </w:rPr>
        <w:t>“(dc) the JITs collaboration platform Advisory Group;”.</w:t>
      </w:r>
    </w:p>
    <w:p w14:paraId="1AAC9DD5" w14:textId="77777777" w:rsidR="00521C02" w:rsidRPr="00150ABA" w:rsidRDefault="00521C02" w:rsidP="00DF6212">
      <w:pPr>
        <w:pStyle w:val="Titrearticle"/>
        <w:rPr>
          <w:noProof/>
          <w:lang w:eastAsia="en-GB"/>
        </w:rPr>
      </w:pPr>
      <w:r w:rsidRPr="00150ABA">
        <w:rPr>
          <w:noProof/>
          <w:lang w:eastAsia="en-GB"/>
        </w:rPr>
        <w:t xml:space="preserve">Article </w:t>
      </w:r>
      <w:r w:rsidR="006B7969" w:rsidRPr="00150ABA">
        <w:rPr>
          <w:noProof/>
          <w:lang w:eastAsia="en-GB"/>
        </w:rPr>
        <w:t>2</w:t>
      </w:r>
      <w:r w:rsidR="00C24D2B" w:rsidRPr="00150ABA">
        <w:rPr>
          <w:noProof/>
          <w:lang w:eastAsia="en-GB"/>
        </w:rPr>
        <w:t>7</w:t>
      </w:r>
    </w:p>
    <w:p w14:paraId="6B2FA83A" w14:textId="66F71F34" w:rsidR="00521C02" w:rsidRPr="00150ABA" w:rsidRDefault="00521C02" w:rsidP="00521C02">
      <w:pPr>
        <w:shd w:val="clear" w:color="auto" w:fill="FFFFFF" w:themeFill="background1"/>
        <w:spacing w:before="60" w:line="312" w:lineRule="atLeast"/>
        <w:jc w:val="center"/>
        <w:rPr>
          <w:rFonts w:eastAsia="Times New Roman"/>
          <w:b/>
          <w:bCs/>
          <w:noProof/>
          <w:szCs w:val="24"/>
          <w:lang w:eastAsia="en-GB"/>
        </w:rPr>
      </w:pPr>
      <w:r w:rsidRPr="00150ABA">
        <w:rPr>
          <w:rFonts w:eastAsia="Times New Roman"/>
          <w:b/>
          <w:bCs/>
          <w:noProof/>
          <w:szCs w:val="24"/>
          <w:lang w:eastAsia="en-GB"/>
        </w:rPr>
        <w:t>Entry into force</w:t>
      </w:r>
    </w:p>
    <w:p w14:paraId="1E55B916" w14:textId="77777777" w:rsidR="004006A2" w:rsidRPr="00150ABA" w:rsidRDefault="00521C02" w:rsidP="004006A2">
      <w:pPr>
        <w:shd w:val="clear" w:color="auto" w:fill="FFFFFF" w:themeFill="background1"/>
        <w:spacing w:after="0" w:line="312" w:lineRule="atLeast"/>
        <w:rPr>
          <w:rFonts w:eastAsia="Times New Roman"/>
          <w:noProof/>
          <w:szCs w:val="24"/>
          <w:lang w:eastAsia="en-GB"/>
        </w:rPr>
      </w:pPr>
      <w:r w:rsidRPr="00150ABA">
        <w:rPr>
          <w:rFonts w:eastAsia="Times New Roman"/>
          <w:noProof/>
          <w:szCs w:val="24"/>
          <w:lang w:eastAsia="en-GB"/>
        </w:rPr>
        <w:t>This Regulation shall enter into force on the twentieth day following that of its publication in the Official Journal of the European Union.</w:t>
      </w:r>
    </w:p>
    <w:p w14:paraId="59AA5489" w14:textId="77777777" w:rsidR="004006A2" w:rsidRPr="00150ABA" w:rsidRDefault="004006A2" w:rsidP="004006A2">
      <w:pPr>
        <w:shd w:val="clear" w:color="auto" w:fill="FFFFFF" w:themeFill="background1"/>
        <w:spacing w:after="0" w:line="312" w:lineRule="atLeast"/>
        <w:rPr>
          <w:noProof/>
        </w:rPr>
      </w:pPr>
    </w:p>
    <w:p w14:paraId="7679F9E9" w14:textId="64CA13F9" w:rsidR="00023765" w:rsidRPr="00150ABA" w:rsidRDefault="00023765" w:rsidP="004006A2">
      <w:pPr>
        <w:shd w:val="clear" w:color="auto" w:fill="FFFFFF" w:themeFill="background1"/>
        <w:spacing w:after="0" w:line="312" w:lineRule="atLeast"/>
        <w:rPr>
          <w:rFonts w:eastAsia="Times New Roman"/>
          <w:noProof/>
          <w:szCs w:val="24"/>
          <w:lang w:eastAsia="en-GB"/>
        </w:rPr>
      </w:pPr>
      <w:r w:rsidRPr="00150ABA">
        <w:rPr>
          <w:noProof/>
        </w:rPr>
        <w:t xml:space="preserve">This Regulation shall be binding in its entirety and directly applicable in </w:t>
      </w:r>
      <w:r w:rsidR="00A31EEB" w:rsidRPr="00150ABA">
        <w:rPr>
          <w:noProof/>
        </w:rPr>
        <w:t>all</w:t>
      </w:r>
      <w:r w:rsidRPr="00150ABA">
        <w:rPr>
          <w:noProof/>
        </w:rPr>
        <w:t xml:space="preserve"> Member States in accordance with the Treaties.</w:t>
      </w:r>
    </w:p>
    <w:p w14:paraId="4075604C" w14:textId="77777777" w:rsidR="004006A2" w:rsidRPr="00150ABA" w:rsidRDefault="004006A2" w:rsidP="008A4348">
      <w:pPr>
        <w:shd w:val="clear" w:color="auto" w:fill="FFFFFF" w:themeFill="background1"/>
        <w:spacing w:after="0"/>
        <w:rPr>
          <w:noProof/>
        </w:rPr>
      </w:pPr>
    </w:p>
    <w:p w14:paraId="71FC18CD" w14:textId="3592DC20" w:rsidR="00420CBA" w:rsidRPr="00150ABA" w:rsidRDefault="00440C06" w:rsidP="00143DAF">
      <w:pPr>
        <w:pStyle w:val="Fait"/>
        <w:rPr>
          <w:noProof/>
        </w:rPr>
      </w:pPr>
      <w:r w:rsidRPr="00440C06">
        <w:t>Done at Brussels,</w:t>
      </w:r>
    </w:p>
    <w:p w14:paraId="6F505E77" w14:textId="77777777" w:rsidR="00023765" w:rsidRPr="00150ABA" w:rsidRDefault="00023765" w:rsidP="00143DAF">
      <w:pPr>
        <w:pStyle w:val="Institutionquisigne"/>
        <w:rPr>
          <w:noProof/>
        </w:rPr>
      </w:pPr>
      <w:r w:rsidRPr="00150ABA">
        <w:rPr>
          <w:noProof/>
        </w:rPr>
        <w:t>For the European Parliament</w:t>
      </w:r>
      <w:r w:rsidRPr="00150ABA">
        <w:rPr>
          <w:noProof/>
        </w:rPr>
        <w:tab/>
        <w:t>For the Council</w:t>
      </w:r>
    </w:p>
    <w:p w14:paraId="7944EDF1" w14:textId="77777777" w:rsidR="00A728BA" w:rsidRPr="00150ABA" w:rsidRDefault="00023765" w:rsidP="00023765">
      <w:pPr>
        <w:pStyle w:val="Personnequisigne"/>
        <w:rPr>
          <w:noProof/>
        </w:rPr>
      </w:pPr>
      <w:r w:rsidRPr="00150ABA">
        <w:rPr>
          <w:noProof/>
        </w:rPr>
        <w:t>The President</w:t>
      </w:r>
      <w:r w:rsidRPr="00150ABA">
        <w:rPr>
          <w:noProof/>
        </w:rPr>
        <w:tab/>
        <w:t>The President</w:t>
      </w:r>
    </w:p>
    <w:p w14:paraId="64693A59" w14:textId="77777777" w:rsidR="00A728BA" w:rsidRPr="00150ABA" w:rsidRDefault="00A728BA" w:rsidP="00A728BA">
      <w:pPr>
        <w:rPr>
          <w:noProof/>
        </w:rPr>
        <w:sectPr w:rsidR="00A728BA" w:rsidRPr="00150ABA" w:rsidSect="00E45D24">
          <w:pgSz w:w="11907" w:h="16839"/>
          <w:pgMar w:top="1134" w:right="1417" w:bottom="1134" w:left="1417" w:header="709" w:footer="709" w:gutter="0"/>
          <w:cols w:space="708"/>
          <w:docGrid w:linePitch="360"/>
        </w:sectPr>
      </w:pPr>
    </w:p>
    <w:p w14:paraId="33F055A7" w14:textId="77777777" w:rsidR="00A728BA" w:rsidRPr="00150ABA" w:rsidRDefault="00A728BA" w:rsidP="006F6F3C">
      <w:pPr>
        <w:pStyle w:val="Fichefinanciretitre"/>
        <w:keepNext/>
        <w:rPr>
          <w:noProof/>
        </w:rPr>
      </w:pPr>
      <w:r w:rsidRPr="00150ABA">
        <w:rPr>
          <w:noProof/>
        </w:rPr>
        <w:t>LEGISLATIVE FINANCIAL STATEMENT</w:t>
      </w:r>
    </w:p>
    <w:p w14:paraId="2612C209" w14:textId="77777777" w:rsidR="00A728BA" w:rsidRPr="00150ABA" w:rsidRDefault="00A728BA" w:rsidP="00AA34E7">
      <w:pPr>
        <w:pStyle w:val="ManualHeading1"/>
        <w:rPr>
          <w:noProof/>
        </w:rPr>
      </w:pPr>
    </w:p>
    <w:sdt>
      <w:sdtPr>
        <w:rPr>
          <w:b/>
          <w:noProof/>
          <w:lang w:eastAsia="en-GB"/>
        </w:rPr>
        <w:id w:val="1138923797"/>
        <w:docPartObj>
          <w:docPartGallery w:val="Table of Contents"/>
          <w:docPartUnique/>
        </w:docPartObj>
      </w:sdtPr>
      <w:sdtEndPr>
        <w:rPr>
          <w:b w:val="0"/>
          <w:bCs/>
        </w:rPr>
      </w:sdtEndPr>
      <w:sdtContent>
        <w:p w14:paraId="38AA88FE" w14:textId="77777777" w:rsidR="00AA34E7" w:rsidRPr="00150ABA" w:rsidRDefault="00AA34E7" w:rsidP="00AA34E7">
          <w:pPr>
            <w:spacing w:before="0" w:after="200" w:line="276" w:lineRule="auto"/>
            <w:jc w:val="left"/>
            <w:rPr>
              <w:noProof/>
              <w:lang w:eastAsia="en-GB"/>
            </w:rPr>
          </w:pPr>
          <w:r w:rsidRPr="00150ABA">
            <w:rPr>
              <w:noProof/>
              <w:lang w:eastAsia="en-GB"/>
            </w:rPr>
            <w:t>Contents</w:t>
          </w:r>
          <w:r w:rsidRPr="00150ABA">
            <w:rPr>
              <w:b/>
              <w:bCs/>
              <w:noProof/>
              <w:lang w:eastAsia="en-GB"/>
            </w:rPr>
            <w:fldChar w:fldCharType="begin"/>
          </w:r>
          <w:r w:rsidRPr="00150ABA">
            <w:rPr>
              <w:b/>
              <w:bCs/>
              <w:noProof/>
              <w:lang w:eastAsia="en-GB"/>
            </w:rPr>
            <w:instrText xml:space="preserve"> TOC \o "1-3" \h \z \u </w:instrText>
          </w:r>
          <w:r w:rsidRPr="00150ABA">
            <w:rPr>
              <w:b/>
              <w:bCs/>
              <w:noProof/>
              <w:lang w:eastAsia="en-GB"/>
            </w:rPr>
            <w:fldChar w:fldCharType="separate"/>
          </w:r>
        </w:p>
        <w:p w14:paraId="01565B2F" w14:textId="04C60A6D" w:rsidR="00AA34E7" w:rsidRPr="00150ABA" w:rsidRDefault="00143DAF">
          <w:pPr>
            <w:pStyle w:val="TOC1"/>
            <w:rPr>
              <w:rFonts w:asciiTheme="minorHAnsi" w:eastAsiaTheme="minorEastAsia" w:hAnsiTheme="minorHAnsi" w:cstheme="minorBidi"/>
              <w:noProof/>
              <w:sz w:val="22"/>
              <w:lang w:eastAsia="fr-BE"/>
            </w:rPr>
          </w:pPr>
          <w:hyperlink w:anchor="_Toc85196943" w:history="1">
            <w:r w:rsidR="00AA34E7" w:rsidRPr="00150ABA">
              <w:rPr>
                <w:rStyle w:val="Hyperlink"/>
                <w:noProof/>
              </w:rPr>
              <w:t>1.</w:t>
            </w:r>
            <w:r w:rsidR="00AA34E7" w:rsidRPr="00150ABA">
              <w:rPr>
                <w:rFonts w:asciiTheme="minorHAnsi" w:eastAsiaTheme="minorEastAsia" w:hAnsiTheme="minorHAnsi" w:cstheme="minorBidi"/>
                <w:noProof/>
                <w:sz w:val="22"/>
                <w:lang w:eastAsia="fr-BE"/>
              </w:rPr>
              <w:tab/>
            </w:r>
            <w:r w:rsidR="00AA34E7" w:rsidRPr="00150ABA">
              <w:rPr>
                <w:rStyle w:val="Hyperlink"/>
                <w:noProof/>
              </w:rPr>
              <w:t>FRAMEWORK OF THE PROPOSAL/INITIATIVE</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_Toc85196943 \h </w:instrText>
            </w:r>
            <w:r w:rsidR="00AA34E7" w:rsidRPr="00150ABA">
              <w:rPr>
                <w:noProof/>
                <w:webHidden/>
              </w:rPr>
            </w:r>
            <w:r w:rsidR="00AA34E7" w:rsidRPr="00150ABA">
              <w:rPr>
                <w:noProof/>
                <w:webHidden/>
              </w:rPr>
              <w:fldChar w:fldCharType="separate"/>
            </w:r>
            <w:r w:rsidR="00CF090D" w:rsidRPr="00150ABA">
              <w:rPr>
                <w:noProof/>
                <w:webHidden/>
              </w:rPr>
              <w:t>37</w:t>
            </w:r>
            <w:r w:rsidR="00AA34E7" w:rsidRPr="00150ABA">
              <w:rPr>
                <w:noProof/>
                <w:webHidden/>
              </w:rPr>
              <w:fldChar w:fldCharType="end"/>
            </w:r>
          </w:hyperlink>
        </w:p>
        <w:p w14:paraId="68F4C48E" w14:textId="4927CD5E" w:rsidR="00AA34E7" w:rsidRPr="00150ABA" w:rsidRDefault="00143DAF">
          <w:pPr>
            <w:pStyle w:val="TOC2"/>
            <w:rPr>
              <w:rFonts w:asciiTheme="minorHAnsi" w:eastAsiaTheme="minorEastAsia" w:hAnsiTheme="minorHAnsi" w:cstheme="minorBidi"/>
              <w:noProof/>
              <w:sz w:val="22"/>
              <w:lang w:eastAsia="fr-BE"/>
            </w:rPr>
          </w:pPr>
          <w:hyperlink w:anchor="_Toc85196944" w:history="1">
            <w:r w:rsidR="00AA34E7" w:rsidRPr="00150ABA">
              <w:rPr>
                <w:rStyle w:val="Hyperlink"/>
                <w:noProof/>
              </w:rPr>
              <w:t>1.1.</w:t>
            </w:r>
            <w:r w:rsidR="00AA34E7" w:rsidRPr="00150ABA">
              <w:rPr>
                <w:rFonts w:asciiTheme="minorHAnsi" w:eastAsiaTheme="minorEastAsia" w:hAnsiTheme="minorHAnsi" w:cstheme="minorBidi"/>
                <w:noProof/>
                <w:sz w:val="22"/>
                <w:lang w:eastAsia="fr-BE"/>
              </w:rPr>
              <w:tab/>
            </w:r>
            <w:r w:rsidR="00AA34E7" w:rsidRPr="00150ABA">
              <w:rPr>
                <w:rStyle w:val="Hyperlink"/>
                <w:noProof/>
              </w:rPr>
              <w:t>Title of the proposal/initiative</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_Toc85196944 \h </w:instrText>
            </w:r>
            <w:r w:rsidR="00AA34E7" w:rsidRPr="00150ABA">
              <w:rPr>
                <w:noProof/>
                <w:webHidden/>
              </w:rPr>
            </w:r>
            <w:r w:rsidR="00AA34E7" w:rsidRPr="00150ABA">
              <w:rPr>
                <w:noProof/>
                <w:webHidden/>
              </w:rPr>
              <w:fldChar w:fldCharType="separate"/>
            </w:r>
            <w:r w:rsidR="00CF090D" w:rsidRPr="00150ABA">
              <w:rPr>
                <w:noProof/>
                <w:webHidden/>
              </w:rPr>
              <w:t>37</w:t>
            </w:r>
            <w:r w:rsidR="00AA34E7" w:rsidRPr="00150ABA">
              <w:rPr>
                <w:noProof/>
                <w:webHidden/>
              </w:rPr>
              <w:fldChar w:fldCharType="end"/>
            </w:r>
          </w:hyperlink>
        </w:p>
        <w:p w14:paraId="11257B6B" w14:textId="6CE8F55D" w:rsidR="00AA34E7" w:rsidRPr="00150ABA" w:rsidRDefault="00143DAF">
          <w:pPr>
            <w:pStyle w:val="TOC2"/>
            <w:rPr>
              <w:rFonts w:asciiTheme="minorHAnsi" w:eastAsiaTheme="minorEastAsia" w:hAnsiTheme="minorHAnsi" w:cstheme="minorBidi"/>
              <w:noProof/>
              <w:sz w:val="22"/>
              <w:lang w:eastAsia="fr-BE"/>
            </w:rPr>
          </w:pPr>
          <w:hyperlink w:anchor="_Toc85196945" w:history="1">
            <w:r w:rsidR="00AA34E7" w:rsidRPr="00150ABA">
              <w:rPr>
                <w:rStyle w:val="Hyperlink"/>
                <w:noProof/>
              </w:rPr>
              <w:t>1.2.</w:t>
            </w:r>
            <w:r w:rsidR="00AA34E7" w:rsidRPr="00150ABA">
              <w:rPr>
                <w:rFonts w:asciiTheme="minorHAnsi" w:eastAsiaTheme="minorEastAsia" w:hAnsiTheme="minorHAnsi" w:cstheme="minorBidi"/>
                <w:noProof/>
                <w:sz w:val="22"/>
                <w:lang w:eastAsia="fr-BE"/>
              </w:rPr>
              <w:tab/>
            </w:r>
            <w:r w:rsidR="00AA34E7" w:rsidRPr="00150ABA">
              <w:rPr>
                <w:rStyle w:val="Hyperlink"/>
                <w:noProof/>
              </w:rPr>
              <w:t>Policy area(s) concerned</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_Toc85196945 \h </w:instrText>
            </w:r>
            <w:r w:rsidR="00AA34E7" w:rsidRPr="00150ABA">
              <w:rPr>
                <w:noProof/>
                <w:webHidden/>
              </w:rPr>
            </w:r>
            <w:r w:rsidR="00AA34E7" w:rsidRPr="00150ABA">
              <w:rPr>
                <w:noProof/>
                <w:webHidden/>
              </w:rPr>
              <w:fldChar w:fldCharType="separate"/>
            </w:r>
            <w:r w:rsidR="00CF090D" w:rsidRPr="00150ABA">
              <w:rPr>
                <w:noProof/>
                <w:webHidden/>
              </w:rPr>
              <w:t>37</w:t>
            </w:r>
            <w:r w:rsidR="00AA34E7" w:rsidRPr="00150ABA">
              <w:rPr>
                <w:noProof/>
                <w:webHidden/>
              </w:rPr>
              <w:fldChar w:fldCharType="end"/>
            </w:r>
          </w:hyperlink>
        </w:p>
        <w:p w14:paraId="65FC722A" w14:textId="6DB75B6C" w:rsidR="00AA34E7" w:rsidRPr="00150ABA" w:rsidRDefault="00143DAF">
          <w:pPr>
            <w:pStyle w:val="TOC2"/>
            <w:rPr>
              <w:rFonts w:asciiTheme="minorHAnsi" w:eastAsiaTheme="minorEastAsia" w:hAnsiTheme="minorHAnsi" w:cstheme="minorBidi"/>
              <w:noProof/>
              <w:sz w:val="22"/>
              <w:lang w:eastAsia="fr-BE"/>
            </w:rPr>
          </w:pPr>
          <w:hyperlink w:anchor="_Toc85196946" w:history="1">
            <w:r w:rsidR="00AA34E7" w:rsidRPr="00150ABA">
              <w:rPr>
                <w:rStyle w:val="Hyperlink"/>
                <w:noProof/>
              </w:rPr>
              <w:t>1.3.</w:t>
            </w:r>
            <w:r w:rsidR="00AA34E7" w:rsidRPr="00150ABA">
              <w:rPr>
                <w:rFonts w:asciiTheme="minorHAnsi" w:eastAsiaTheme="minorEastAsia" w:hAnsiTheme="minorHAnsi" w:cstheme="minorBidi"/>
                <w:noProof/>
                <w:sz w:val="22"/>
                <w:lang w:eastAsia="fr-BE"/>
              </w:rPr>
              <w:tab/>
            </w:r>
            <w:r w:rsidR="00AA34E7" w:rsidRPr="00150ABA">
              <w:rPr>
                <w:rStyle w:val="Hyperlink"/>
                <w:noProof/>
              </w:rPr>
              <w:t>The proposal relates to:</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_Toc85196946 \h </w:instrText>
            </w:r>
            <w:r w:rsidR="00AA34E7" w:rsidRPr="00150ABA">
              <w:rPr>
                <w:noProof/>
                <w:webHidden/>
              </w:rPr>
            </w:r>
            <w:r w:rsidR="00AA34E7" w:rsidRPr="00150ABA">
              <w:rPr>
                <w:noProof/>
                <w:webHidden/>
              </w:rPr>
              <w:fldChar w:fldCharType="separate"/>
            </w:r>
            <w:r w:rsidR="00CF090D" w:rsidRPr="00150ABA">
              <w:rPr>
                <w:noProof/>
                <w:webHidden/>
              </w:rPr>
              <w:t>37</w:t>
            </w:r>
            <w:r w:rsidR="00AA34E7" w:rsidRPr="00150ABA">
              <w:rPr>
                <w:noProof/>
                <w:webHidden/>
              </w:rPr>
              <w:fldChar w:fldCharType="end"/>
            </w:r>
          </w:hyperlink>
        </w:p>
        <w:p w14:paraId="20B49B3D" w14:textId="71DD6186" w:rsidR="00AA34E7" w:rsidRPr="00150ABA" w:rsidRDefault="00143DAF">
          <w:pPr>
            <w:pStyle w:val="TOC2"/>
            <w:rPr>
              <w:rFonts w:asciiTheme="minorHAnsi" w:eastAsiaTheme="minorEastAsia" w:hAnsiTheme="minorHAnsi" w:cstheme="minorBidi"/>
              <w:noProof/>
              <w:sz w:val="22"/>
              <w:lang w:eastAsia="fr-BE"/>
            </w:rPr>
          </w:pPr>
          <w:hyperlink w:anchor="_Toc85196947" w:history="1">
            <w:r w:rsidR="00AA34E7" w:rsidRPr="00150ABA">
              <w:rPr>
                <w:rStyle w:val="Hyperlink"/>
                <w:noProof/>
              </w:rPr>
              <w:t>1.4.</w:t>
            </w:r>
            <w:r w:rsidR="00AA34E7" w:rsidRPr="00150ABA">
              <w:rPr>
                <w:rFonts w:asciiTheme="minorHAnsi" w:eastAsiaTheme="minorEastAsia" w:hAnsiTheme="minorHAnsi" w:cstheme="minorBidi"/>
                <w:noProof/>
                <w:sz w:val="22"/>
                <w:lang w:eastAsia="fr-BE"/>
              </w:rPr>
              <w:tab/>
            </w:r>
            <w:r w:rsidR="00AA34E7" w:rsidRPr="00150ABA">
              <w:rPr>
                <w:rStyle w:val="Hyperlink"/>
                <w:noProof/>
              </w:rPr>
              <w:t>Objective(s)</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_Toc85196947 \h </w:instrText>
            </w:r>
            <w:r w:rsidR="00AA34E7" w:rsidRPr="00150ABA">
              <w:rPr>
                <w:noProof/>
                <w:webHidden/>
              </w:rPr>
            </w:r>
            <w:r w:rsidR="00AA34E7" w:rsidRPr="00150ABA">
              <w:rPr>
                <w:noProof/>
                <w:webHidden/>
              </w:rPr>
              <w:fldChar w:fldCharType="separate"/>
            </w:r>
            <w:r w:rsidR="00CF090D" w:rsidRPr="00150ABA">
              <w:rPr>
                <w:noProof/>
                <w:webHidden/>
              </w:rPr>
              <w:t>37</w:t>
            </w:r>
            <w:r w:rsidR="00AA34E7" w:rsidRPr="00150ABA">
              <w:rPr>
                <w:noProof/>
                <w:webHidden/>
              </w:rPr>
              <w:fldChar w:fldCharType="end"/>
            </w:r>
          </w:hyperlink>
        </w:p>
        <w:p w14:paraId="4BB42ECD" w14:textId="386FEE5D" w:rsidR="00AA34E7" w:rsidRPr="00150ABA" w:rsidRDefault="00143DAF">
          <w:pPr>
            <w:pStyle w:val="TOC3"/>
            <w:rPr>
              <w:rFonts w:asciiTheme="minorHAnsi" w:eastAsiaTheme="minorEastAsia" w:hAnsiTheme="minorHAnsi" w:cstheme="minorBidi"/>
              <w:noProof/>
              <w:sz w:val="22"/>
              <w:lang w:eastAsia="fr-BE"/>
            </w:rPr>
          </w:pPr>
          <w:hyperlink w:anchor="_Toc85196948" w:history="1">
            <w:r w:rsidR="00AA34E7" w:rsidRPr="00150ABA">
              <w:rPr>
                <w:rStyle w:val="Hyperlink"/>
                <w:noProof/>
              </w:rPr>
              <w:t>1.4.1.</w:t>
            </w:r>
            <w:r w:rsidR="00AA34E7" w:rsidRPr="00150ABA">
              <w:rPr>
                <w:rFonts w:asciiTheme="minorHAnsi" w:eastAsiaTheme="minorEastAsia" w:hAnsiTheme="minorHAnsi" w:cstheme="minorBidi"/>
                <w:noProof/>
                <w:sz w:val="22"/>
                <w:lang w:eastAsia="fr-BE"/>
              </w:rPr>
              <w:tab/>
            </w:r>
            <w:r w:rsidR="00AA34E7" w:rsidRPr="00150ABA">
              <w:rPr>
                <w:rStyle w:val="Hyperlink"/>
                <w:noProof/>
              </w:rPr>
              <w:t>General objective(s)</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_Toc85196948 \h </w:instrText>
            </w:r>
            <w:r w:rsidR="00AA34E7" w:rsidRPr="00150ABA">
              <w:rPr>
                <w:noProof/>
                <w:webHidden/>
              </w:rPr>
            </w:r>
            <w:r w:rsidR="00AA34E7" w:rsidRPr="00150ABA">
              <w:rPr>
                <w:noProof/>
                <w:webHidden/>
              </w:rPr>
              <w:fldChar w:fldCharType="separate"/>
            </w:r>
            <w:r w:rsidR="00CF090D" w:rsidRPr="00150ABA">
              <w:rPr>
                <w:noProof/>
                <w:webHidden/>
              </w:rPr>
              <w:t>37</w:t>
            </w:r>
            <w:r w:rsidR="00AA34E7" w:rsidRPr="00150ABA">
              <w:rPr>
                <w:noProof/>
                <w:webHidden/>
              </w:rPr>
              <w:fldChar w:fldCharType="end"/>
            </w:r>
          </w:hyperlink>
        </w:p>
        <w:p w14:paraId="5A745ECA" w14:textId="1B2CB66A" w:rsidR="00AA34E7" w:rsidRPr="00150ABA" w:rsidRDefault="00143DAF">
          <w:pPr>
            <w:pStyle w:val="TOC3"/>
            <w:rPr>
              <w:rFonts w:asciiTheme="minorHAnsi" w:eastAsiaTheme="minorEastAsia" w:hAnsiTheme="minorHAnsi" w:cstheme="minorBidi"/>
              <w:noProof/>
              <w:sz w:val="22"/>
              <w:lang w:eastAsia="fr-BE"/>
            </w:rPr>
          </w:pPr>
          <w:hyperlink w:anchor="_Toc85196949" w:history="1">
            <w:r w:rsidR="00AA34E7" w:rsidRPr="00150ABA">
              <w:rPr>
                <w:rStyle w:val="Hyperlink"/>
                <w:noProof/>
              </w:rPr>
              <w:t>1.4.2.</w:t>
            </w:r>
            <w:r w:rsidR="00AA34E7" w:rsidRPr="00150ABA">
              <w:rPr>
                <w:rFonts w:asciiTheme="minorHAnsi" w:eastAsiaTheme="minorEastAsia" w:hAnsiTheme="minorHAnsi" w:cstheme="minorBidi"/>
                <w:noProof/>
                <w:sz w:val="22"/>
                <w:lang w:eastAsia="fr-BE"/>
              </w:rPr>
              <w:tab/>
            </w:r>
            <w:r w:rsidR="00AA34E7" w:rsidRPr="00150ABA">
              <w:rPr>
                <w:rStyle w:val="Hyperlink"/>
                <w:noProof/>
              </w:rPr>
              <w:t>Specific objective(s)</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_Toc85196949 \h </w:instrText>
            </w:r>
            <w:r w:rsidR="00AA34E7" w:rsidRPr="00150ABA">
              <w:rPr>
                <w:noProof/>
                <w:webHidden/>
              </w:rPr>
            </w:r>
            <w:r w:rsidR="00AA34E7" w:rsidRPr="00150ABA">
              <w:rPr>
                <w:noProof/>
                <w:webHidden/>
              </w:rPr>
              <w:fldChar w:fldCharType="separate"/>
            </w:r>
            <w:r w:rsidR="00CF090D" w:rsidRPr="00150ABA">
              <w:rPr>
                <w:noProof/>
                <w:webHidden/>
              </w:rPr>
              <w:t>37</w:t>
            </w:r>
            <w:r w:rsidR="00AA34E7" w:rsidRPr="00150ABA">
              <w:rPr>
                <w:noProof/>
                <w:webHidden/>
              </w:rPr>
              <w:fldChar w:fldCharType="end"/>
            </w:r>
          </w:hyperlink>
        </w:p>
        <w:p w14:paraId="3D654FF0" w14:textId="5BAED71C" w:rsidR="00AA34E7" w:rsidRPr="00150ABA" w:rsidRDefault="00143DAF">
          <w:pPr>
            <w:pStyle w:val="TOC3"/>
            <w:rPr>
              <w:rFonts w:asciiTheme="minorHAnsi" w:eastAsiaTheme="minorEastAsia" w:hAnsiTheme="minorHAnsi" w:cstheme="minorBidi"/>
              <w:noProof/>
              <w:sz w:val="22"/>
              <w:lang w:eastAsia="fr-BE"/>
            </w:rPr>
          </w:pPr>
          <w:hyperlink w:anchor="_Toc85196950" w:history="1">
            <w:r w:rsidR="00AA34E7" w:rsidRPr="00150ABA">
              <w:rPr>
                <w:rStyle w:val="Hyperlink"/>
                <w:noProof/>
              </w:rPr>
              <w:t>1.4.3.</w:t>
            </w:r>
            <w:r w:rsidR="00AA34E7" w:rsidRPr="00150ABA">
              <w:rPr>
                <w:rFonts w:asciiTheme="minorHAnsi" w:eastAsiaTheme="minorEastAsia" w:hAnsiTheme="minorHAnsi" w:cstheme="minorBidi"/>
                <w:noProof/>
                <w:sz w:val="22"/>
                <w:lang w:eastAsia="fr-BE"/>
              </w:rPr>
              <w:tab/>
            </w:r>
            <w:r w:rsidR="00AA34E7" w:rsidRPr="00150ABA">
              <w:rPr>
                <w:rStyle w:val="Hyperlink"/>
                <w:noProof/>
              </w:rPr>
              <w:t>Expected result(s) and impact</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_Toc85196950 \h </w:instrText>
            </w:r>
            <w:r w:rsidR="00AA34E7" w:rsidRPr="00150ABA">
              <w:rPr>
                <w:noProof/>
                <w:webHidden/>
              </w:rPr>
            </w:r>
            <w:r w:rsidR="00AA34E7" w:rsidRPr="00150ABA">
              <w:rPr>
                <w:noProof/>
                <w:webHidden/>
              </w:rPr>
              <w:fldChar w:fldCharType="separate"/>
            </w:r>
            <w:r w:rsidR="00CF090D" w:rsidRPr="00150ABA">
              <w:rPr>
                <w:noProof/>
                <w:webHidden/>
              </w:rPr>
              <w:t>37</w:t>
            </w:r>
            <w:r w:rsidR="00AA34E7" w:rsidRPr="00150ABA">
              <w:rPr>
                <w:noProof/>
                <w:webHidden/>
              </w:rPr>
              <w:fldChar w:fldCharType="end"/>
            </w:r>
          </w:hyperlink>
        </w:p>
        <w:p w14:paraId="72B87AE2" w14:textId="3513EB0F" w:rsidR="00AA34E7" w:rsidRPr="00150ABA" w:rsidRDefault="00143DAF">
          <w:pPr>
            <w:pStyle w:val="TOC3"/>
            <w:rPr>
              <w:rFonts w:asciiTheme="minorHAnsi" w:eastAsiaTheme="minorEastAsia" w:hAnsiTheme="minorHAnsi" w:cstheme="minorBidi"/>
              <w:noProof/>
              <w:sz w:val="22"/>
              <w:lang w:eastAsia="fr-BE"/>
            </w:rPr>
          </w:pPr>
          <w:hyperlink w:anchor="_Toc85196951" w:history="1">
            <w:r w:rsidR="00AA34E7" w:rsidRPr="00150ABA">
              <w:rPr>
                <w:rStyle w:val="Hyperlink"/>
                <w:noProof/>
              </w:rPr>
              <w:t>1.4.4.</w:t>
            </w:r>
            <w:r w:rsidR="00AA34E7" w:rsidRPr="00150ABA">
              <w:rPr>
                <w:rFonts w:asciiTheme="minorHAnsi" w:eastAsiaTheme="minorEastAsia" w:hAnsiTheme="minorHAnsi" w:cstheme="minorBidi"/>
                <w:noProof/>
                <w:sz w:val="22"/>
                <w:lang w:eastAsia="fr-BE"/>
              </w:rPr>
              <w:tab/>
            </w:r>
            <w:r w:rsidR="00AA34E7" w:rsidRPr="00150ABA">
              <w:rPr>
                <w:rStyle w:val="Hyperlink"/>
                <w:noProof/>
              </w:rPr>
              <w:t>Indicators of performance</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_Toc85196951 \h </w:instrText>
            </w:r>
            <w:r w:rsidR="00AA34E7" w:rsidRPr="00150ABA">
              <w:rPr>
                <w:noProof/>
                <w:webHidden/>
              </w:rPr>
            </w:r>
            <w:r w:rsidR="00AA34E7" w:rsidRPr="00150ABA">
              <w:rPr>
                <w:noProof/>
                <w:webHidden/>
              </w:rPr>
              <w:fldChar w:fldCharType="separate"/>
            </w:r>
            <w:r w:rsidR="00CF090D" w:rsidRPr="00150ABA">
              <w:rPr>
                <w:noProof/>
                <w:webHidden/>
              </w:rPr>
              <w:t>37</w:t>
            </w:r>
            <w:r w:rsidR="00AA34E7" w:rsidRPr="00150ABA">
              <w:rPr>
                <w:noProof/>
                <w:webHidden/>
              </w:rPr>
              <w:fldChar w:fldCharType="end"/>
            </w:r>
          </w:hyperlink>
        </w:p>
        <w:p w14:paraId="2A4F21FF" w14:textId="0A54F4D7" w:rsidR="00AA34E7" w:rsidRPr="00150ABA" w:rsidRDefault="00143DAF">
          <w:pPr>
            <w:pStyle w:val="TOC2"/>
            <w:rPr>
              <w:rFonts w:asciiTheme="minorHAnsi" w:eastAsiaTheme="minorEastAsia" w:hAnsiTheme="minorHAnsi" w:cstheme="minorBidi"/>
              <w:noProof/>
              <w:sz w:val="22"/>
              <w:lang w:eastAsia="fr-BE"/>
            </w:rPr>
          </w:pPr>
          <w:hyperlink w:anchor="_Toc85196952" w:history="1">
            <w:r w:rsidR="00AA34E7" w:rsidRPr="00150ABA">
              <w:rPr>
                <w:rStyle w:val="Hyperlink"/>
                <w:noProof/>
              </w:rPr>
              <w:t>1.5.</w:t>
            </w:r>
            <w:r w:rsidR="00AA34E7" w:rsidRPr="00150ABA">
              <w:rPr>
                <w:rFonts w:asciiTheme="minorHAnsi" w:eastAsiaTheme="minorEastAsia" w:hAnsiTheme="minorHAnsi" w:cstheme="minorBidi"/>
                <w:noProof/>
                <w:sz w:val="22"/>
                <w:lang w:eastAsia="fr-BE"/>
              </w:rPr>
              <w:tab/>
            </w:r>
            <w:r w:rsidR="00AA34E7" w:rsidRPr="00150ABA">
              <w:rPr>
                <w:rStyle w:val="Hyperlink"/>
                <w:noProof/>
              </w:rPr>
              <w:t>Grounds for the proposal/initiative</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_Toc85196952 \h </w:instrText>
            </w:r>
            <w:r w:rsidR="00AA34E7" w:rsidRPr="00150ABA">
              <w:rPr>
                <w:noProof/>
                <w:webHidden/>
              </w:rPr>
            </w:r>
            <w:r w:rsidR="00AA34E7" w:rsidRPr="00150ABA">
              <w:rPr>
                <w:noProof/>
                <w:webHidden/>
              </w:rPr>
              <w:fldChar w:fldCharType="separate"/>
            </w:r>
            <w:r w:rsidR="00CF090D" w:rsidRPr="00150ABA">
              <w:rPr>
                <w:noProof/>
                <w:webHidden/>
              </w:rPr>
              <w:t>38</w:t>
            </w:r>
            <w:r w:rsidR="00AA34E7" w:rsidRPr="00150ABA">
              <w:rPr>
                <w:noProof/>
                <w:webHidden/>
              </w:rPr>
              <w:fldChar w:fldCharType="end"/>
            </w:r>
          </w:hyperlink>
        </w:p>
        <w:p w14:paraId="38D7EAB6" w14:textId="2D10F047" w:rsidR="00AA34E7" w:rsidRPr="00150ABA" w:rsidRDefault="00143DAF">
          <w:pPr>
            <w:pStyle w:val="TOC3"/>
            <w:rPr>
              <w:rFonts w:asciiTheme="minorHAnsi" w:eastAsiaTheme="minorEastAsia" w:hAnsiTheme="minorHAnsi" w:cstheme="minorBidi"/>
              <w:noProof/>
              <w:sz w:val="22"/>
              <w:lang w:eastAsia="fr-BE"/>
            </w:rPr>
          </w:pPr>
          <w:hyperlink w:anchor="_Toc85196953" w:history="1">
            <w:r w:rsidR="00AA34E7" w:rsidRPr="00150ABA">
              <w:rPr>
                <w:rStyle w:val="Hyperlink"/>
                <w:noProof/>
              </w:rPr>
              <w:t>1.5.1.</w:t>
            </w:r>
            <w:r w:rsidR="00AA34E7" w:rsidRPr="00150ABA">
              <w:rPr>
                <w:rFonts w:asciiTheme="minorHAnsi" w:eastAsiaTheme="minorEastAsia" w:hAnsiTheme="minorHAnsi" w:cstheme="minorBidi"/>
                <w:noProof/>
                <w:sz w:val="22"/>
                <w:lang w:eastAsia="fr-BE"/>
              </w:rPr>
              <w:tab/>
            </w:r>
            <w:r w:rsidR="00AA34E7" w:rsidRPr="00150ABA">
              <w:rPr>
                <w:rStyle w:val="Hyperlink"/>
                <w:noProof/>
              </w:rPr>
              <w:t>Requirement(s) to be met in the short or long term including a detailed timeline for roll-out of the implementation of the initiative</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_Toc85196953 \h </w:instrText>
            </w:r>
            <w:r w:rsidR="00AA34E7" w:rsidRPr="00150ABA">
              <w:rPr>
                <w:noProof/>
                <w:webHidden/>
              </w:rPr>
            </w:r>
            <w:r w:rsidR="00AA34E7" w:rsidRPr="00150ABA">
              <w:rPr>
                <w:noProof/>
                <w:webHidden/>
              </w:rPr>
              <w:fldChar w:fldCharType="separate"/>
            </w:r>
            <w:r w:rsidR="00CF090D" w:rsidRPr="00150ABA">
              <w:rPr>
                <w:noProof/>
                <w:webHidden/>
              </w:rPr>
              <w:t>38</w:t>
            </w:r>
            <w:r w:rsidR="00AA34E7" w:rsidRPr="00150ABA">
              <w:rPr>
                <w:noProof/>
                <w:webHidden/>
              </w:rPr>
              <w:fldChar w:fldCharType="end"/>
            </w:r>
          </w:hyperlink>
        </w:p>
        <w:p w14:paraId="4E540F00" w14:textId="5421BD8D" w:rsidR="00AA34E7" w:rsidRPr="00150ABA" w:rsidRDefault="00143DAF">
          <w:pPr>
            <w:pStyle w:val="TOC3"/>
            <w:rPr>
              <w:rFonts w:asciiTheme="minorHAnsi" w:eastAsiaTheme="minorEastAsia" w:hAnsiTheme="minorHAnsi" w:cstheme="minorBidi"/>
              <w:noProof/>
              <w:sz w:val="22"/>
              <w:lang w:eastAsia="fr-BE"/>
            </w:rPr>
          </w:pPr>
          <w:hyperlink w:anchor="_Toc85196954" w:history="1">
            <w:r w:rsidR="00AA34E7" w:rsidRPr="00150ABA">
              <w:rPr>
                <w:rStyle w:val="Hyperlink"/>
                <w:noProof/>
              </w:rPr>
              <w:t>1.5.2.</w:t>
            </w:r>
            <w:r w:rsidR="00AA34E7" w:rsidRPr="00150ABA">
              <w:rPr>
                <w:rFonts w:asciiTheme="minorHAnsi" w:eastAsiaTheme="minorEastAsia" w:hAnsiTheme="minorHAnsi" w:cstheme="minorBidi"/>
                <w:noProof/>
                <w:sz w:val="22"/>
                <w:lang w:eastAsia="fr-BE"/>
              </w:rPr>
              <w:tab/>
            </w:r>
            <w:r w:rsidR="00AA34E7" w:rsidRPr="00150ABA">
              <w:rPr>
                <w:rStyle w:val="Hyperlink"/>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_Toc85196954 \h </w:instrText>
            </w:r>
            <w:r w:rsidR="00AA34E7" w:rsidRPr="00150ABA">
              <w:rPr>
                <w:noProof/>
                <w:webHidden/>
              </w:rPr>
            </w:r>
            <w:r w:rsidR="00AA34E7" w:rsidRPr="00150ABA">
              <w:rPr>
                <w:noProof/>
                <w:webHidden/>
              </w:rPr>
              <w:fldChar w:fldCharType="separate"/>
            </w:r>
            <w:r w:rsidR="00CF090D" w:rsidRPr="00150ABA">
              <w:rPr>
                <w:noProof/>
                <w:webHidden/>
              </w:rPr>
              <w:t>38</w:t>
            </w:r>
            <w:r w:rsidR="00AA34E7" w:rsidRPr="00150ABA">
              <w:rPr>
                <w:noProof/>
                <w:webHidden/>
              </w:rPr>
              <w:fldChar w:fldCharType="end"/>
            </w:r>
          </w:hyperlink>
        </w:p>
        <w:p w14:paraId="09D04666" w14:textId="6868F456" w:rsidR="00AA34E7" w:rsidRPr="00150ABA" w:rsidRDefault="00143DAF">
          <w:pPr>
            <w:pStyle w:val="TOC3"/>
            <w:rPr>
              <w:rFonts w:asciiTheme="minorHAnsi" w:eastAsiaTheme="minorEastAsia" w:hAnsiTheme="minorHAnsi" w:cstheme="minorBidi"/>
              <w:noProof/>
              <w:sz w:val="22"/>
              <w:lang w:eastAsia="fr-BE"/>
            </w:rPr>
          </w:pPr>
          <w:hyperlink w:anchor="_Toc85196955" w:history="1">
            <w:r w:rsidR="00AA34E7" w:rsidRPr="00150ABA">
              <w:rPr>
                <w:rStyle w:val="Hyperlink"/>
                <w:noProof/>
              </w:rPr>
              <w:t>1.5.3.</w:t>
            </w:r>
            <w:r w:rsidR="00AA34E7" w:rsidRPr="00150ABA">
              <w:rPr>
                <w:rFonts w:asciiTheme="minorHAnsi" w:eastAsiaTheme="minorEastAsia" w:hAnsiTheme="minorHAnsi" w:cstheme="minorBidi"/>
                <w:noProof/>
                <w:sz w:val="22"/>
                <w:lang w:eastAsia="fr-BE"/>
              </w:rPr>
              <w:tab/>
            </w:r>
            <w:r w:rsidR="00AA34E7" w:rsidRPr="00150ABA">
              <w:rPr>
                <w:rStyle w:val="Hyperlink"/>
                <w:noProof/>
              </w:rPr>
              <w:t>Lessons learned from similar experiences in the past</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_Toc85196955 \h </w:instrText>
            </w:r>
            <w:r w:rsidR="00AA34E7" w:rsidRPr="00150ABA">
              <w:rPr>
                <w:noProof/>
                <w:webHidden/>
              </w:rPr>
            </w:r>
            <w:r w:rsidR="00AA34E7" w:rsidRPr="00150ABA">
              <w:rPr>
                <w:noProof/>
                <w:webHidden/>
              </w:rPr>
              <w:fldChar w:fldCharType="separate"/>
            </w:r>
            <w:r w:rsidR="00CF090D" w:rsidRPr="00150ABA">
              <w:rPr>
                <w:noProof/>
                <w:webHidden/>
              </w:rPr>
              <w:t>38</w:t>
            </w:r>
            <w:r w:rsidR="00AA34E7" w:rsidRPr="00150ABA">
              <w:rPr>
                <w:noProof/>
                <w:webHidden/>
              </w:rPr>
              <w:fldChar w:fldCharType="end"/>
            </w:r>
          </w:hyperlink>
        </w:p>
        <w:p w14:paraId="162970E7" w14:textId="1BB35092" w:rsidR="00AA34E7" w:rsidRPr="00150ABA" w:rsidRDefault="00143DAF">
          <w:pPr>
            <w:pStyle w:val="TOC3"/>
            <w:rPr>
              <w:rFonts w:asciiTheme="minorHAnsi" w:eastAsiaTheme="minorEastAsia" w:hAnsiTheme="minorHAnsi" w:cstheme="minorBidi"/>
              <w:noProof/>
              <w:sz w:val="22"/>
              <w:lang w:eastAsia="fr-BE"/>
            </w:rPr>
          </w:pPr>
          <w:hyperlink w:anchor="_Toc85196956" w:history="1">
            <w:r w:rsidR="00AA34E7" w:rsidRPr="00150ABA">
              <w:rPr>
                <w:rStyle w:val="Hyperlink"/>
                <w:noProof/>
              </w:rPr>
              <w:t>1.5.4.</w:t>
            </w:r>
            <w:r w:rsidR="00AA34E7" w:rsidRPr="00150ABA">
              <w:rPr>
                <w:rFonts w:asciiTheme="minorHAnsi" w:eastAsiaTheme="minorEastAsia" w:hAnsiTheme="minorHAnsi" w:cstheme="minorBidi"/>
                <w:noProof/>
                <w:sz w:val="22"/>
                <w:lang w:eastAsia="fr-BE"/>
              </w:rPr>
              <w:tab/>
            </w:r>
            <w:r w:rsidR="00AA34E7" w:rsidRPr="00150ABA">
              <w:rPr>
                <w:rStyle w:val="Hyperlink"/>
                <w:noProof/>
              </w:rPr>
              <w:t>Compatibility with the Multiannual Financial Framework and possible synergies with other appropriate instruments</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_Toc85196956 \h </w:instrText>
            </w:r>
            <w:r w:rsidR="00AA34E7" w:rsidRPr="00150ABA">
              <w:rPr>
                <w:noProof/>
                <w:webHidden/>
              </w:rPr>
            </w:r>
            <w:r w:rsidR="00AA34E7" w:rsidRPr="00150ABA">
              <w:rPr>
                <w:noProof/>
                <w:webHidden/>
              </w:rPr>
              <w:fldChar w:fldCharType="separate"/>
            </w:r>
            <w:r w:rsidR="00CF090D" w:rsidRPr="00150ABA">
              <w:rPr>
                <w:noProof/>
                <w:webHidden/>
              </w:rPr>
              <w:t>38</w:t>
            </w:r>
            <w:r w:rsidR="00AA34E7" w:rsidRPr="00150ABA">
              <w:rPr>
                <w:noProof/>
                <w:webHidden/>
              </w:rPr>
              <w:fldChar w:fldCharType="end"/>
            </w:r>
          </w:hyperlink>
        </w:p>
        <w:p w14:paraId="4EDD0A16" w14:textId="7BC91D66" w:rsidR="00AA34E7" w:rsidRPr="00150ABA" w:rsidRDefault="00143DAF">
          <w:pPr>
            <w:pStyle w:val="TOC3"/>
            <w:rPr>
              <w:rFonts w:asciiTheme="minorHAnsi" w:eastAsiaTheme="minorEastAsia" w:hAnsiTheme="minorHAnsi" w:cstheme="minorBidi"/>
              <w:noProof/>
              <w:sz w:val="22"/>
              <w:lang w:eastAsia="fr-BE"/>
            </w:rPr>
          </w:pPr>
          <w:hyperlink w:anchor="_Toc85196957" w:history="1">
            <w:r w:rsidR="00AA34E7" w:rsidRPr="00150ABA">
              <w:rPr>
                <w:rStyle w:val="Hyperlink"/>
                <w:noProof/>
              </w:rPr>
              <w:t>1.5.5.</w:t>
            </w:r>
            <w:r w:rsidR="00AA34E7" w:rsidRPr="00150ABA">
              <w:rPr>
                <w:rFonts w:asciiTheme="minorHAnsi" w:eastAsiaTheme="minorEastAsia" w:hAnsiTheme="minorHAnsi" w:cstheme="minorBidi"/>
                <w:noProof/>
                <w:sz w:val="22"/>
                <w:lang w:eastAsia="fr-BE"/>
              </w:rPr>
              <w:tab/>
            </w:r>
            <w:r w:rsidR="00AA34E7" w:rsidRPr="00150ABA">
              <w:rPr>
                <w:rStyle w:val="Hyperlink"/>
                <w:noProof/>
              </w:rPr>
              <w:t>Assessment of the different available financing options, including scope for redeployment</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_Toc85196957 \h </w:instrText>
            </w:r>
            <w:r w:rsidR="00AA34E7" w:rsidRPr="00150ABA">
              <w:rPr>
                <w:noProof/>
                <w:webHidden/>
              </w:rPr>
            </w:r>
            <w:r w:rsidR="00AA34E7" w:rsidRPr="00150ABA">
              <w:rPr>
                <w:noProof/>
                <w:webHidden/>
              </w:rPr>
              <w:fldChar w:fldCharType="separate"/>
            </w:r>
            <w:r w:rsidR="00CF090D" w:rsidRPr="00150ABA">
              <w:rPr>
                <w:noProof/>
                <w:webHidden/>
              </w:rPr>
              <w:t>39</w:t>
            </w:r>
            <w:r w:rsidR="00AA34E7" w:rsidRPr="00150ABA">
              <w:rPr>
                <w:noProof/>
                <w:webHidden/>
              </w:rPr>
              <w:fldChar w:fldCharType="end"/>
            </w:r>
          </w:hyperlink>
        </w:p>
        <w:p w14:paraId="10D8C25D" w14:textId="7B839C0B" w:rsidR="00AA34E7" w:rsidRPr="00150ABA" w:rsidRDefault="00143DAF">
          <w:pPr>
            <w:pStyle w:val="TOC2"/>
            <w:rPr>
              <w:rFonts w:asciiTheme="minorHAnsi" w:eastAsiaTheme="minorEastAsia" w:hAnsiTheme="minorHAnsi" w:cstheme="minorBidi"/>
              <w:noProof/>
              <w:sz w:val="22"/>
              <w:lang w:eastAsia="fr-BE"/>
            </w:rPr>
          </w:pPr>
          <w:hyperlink w:anchor="_Toc85196958" w:history="1">
            <w:r w:rsidR="00AA34E7" w:rsidRPr="00150ABA">
              <w:rPr>
                <w:rStyle w:val="Hyperlink"/>
                <w:noProof/>
              </w:rPr>
              <w:t>1.6.</w:t>
            </w:r>
            <w:r w:rsidR="00AA34E7" w:rsidRPr="00150ABA">
              <w:rPr>
                <w:rFonts w:asciiTheme="minorHAnsi" w:eastAsiaTheme="minorEastAsia" w:hAnsiTheme="minorHAnsi" w:cstheme="minorBidi"/>
                <w:noProof/>
                <w:sz w:val="22"/>
                <w:lang w:eastAsia="fr-BE"/>
              </w:rPr>
              <w:tab/>
            </w:r>
            <w:r w:rsidR="00AA34E7" w:rsidRPr="00150ABA">
              <w:rPr>
                <w:rStyle w:val="Hyperlink"/>
                <w:noProof/>
              </w:rPr>
              <w:t>Duration and financial impact of the proposal/initiative</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_Toc85196958 \h </w:instrText>
            </w:r>
            <w:r w:rsidR="00AA34E7" w:rsidRPr="00150ABA">
              <w:rPr>
                <w:noProof/>
                <w:webHidden/>
              </w:rPr>
            </w:r>
            <w:r w:rsidR="00AA34E7" w:rsidRPr="00150ABA">
              <w:rPr>
                <w:noProof/>
                <w:webHidden/>
              </w:rPr>
              <w:fldChar w:fldCharType="separate"/>
            </w:r>
            <w:r w:rsidR="00CF090D" w:rsidRPr="00150ABA">
              <w:rPr>
                <w:noProof/>
                <w:webHidden/>
              </w:rPr>
              <w:t>39</w:t>
            </w:r>
            <w:r w:rsidR="00AA34E7" w:rsidRPr="00150ABA">
              <w:rPr>
                <w:noProof/>
                <w:webHidden/>
              </w:rPr>
              <w:fldChar w:fldCharType="end"/>
            </w:r>
          </w:hyperlink>
        </w:p>
        <w:p w14:paraId="66A5317D" w14:textId="31657F83" w:rsidR="00AA34E7" w:rsidRPr="00150ABA" w:rsidRDefault="00143DAF">
          <w:pPr>
            <w:pStyle w:val="TOC2"/>
            <w:rPr>
              <w:rFonts w:asciiTheme="minorHAnsi" w:eastAsiaTheme="minorEastAsia" w:hAnsiTheme="minorHAnsi" w:cstheme="minorBidi"/>
              <w:noProof/>
              <w:sz w:val="22"/>
              <w:lang w:eastAsia="fr-BE"/>
            </w:rPr>
          </w:pPr>
          <w:hyperlink w:anchor="_Toc85196959" w:history="1">
            <w:r w:rsidR="00AA34E7" w:rsidRPr="00150ABA">
              <w:rPr>
                <w:rStyle w:val="Hyperlink"/>
                <w:noProof/>
              </w:rPr>
              <w:t>1.7.</w:t>
            </w:r>
            <w:r w:rsidR="00AA34E7" w:rsidRPr="00150ABA">
              <w:rPr>
                <w:rFonts w:asciiTheme="minorHAnsi" w:eastAsiaTheme="minorEastAsia" w:hAnsiTheme="minorHAnsi" w:cstheme="minorBidi"/>
                <w:noProof/>
                <w:sz w:val="22"/>
                <w:lang w:eastAsia="fr-BE"/>
              </w:rPr>
              <w:tab/>
            </w:r>
            <w:r w:rsidR="00AA34E7" w:rsidRPr="00150ABA">
              <w:rPr>
                <w:rStyle w:val="Hyperlink"/>
                <w:noProof/>
              </w:rPr>
              <w:t>Management mode(s) planned</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_Toc85196959 \h </w:instrText>
            </w:r>
            <w:r w:rsidR="00AA34E7" w:rsidRPr="00150ABA">
              <w:rPr>
                <w:noProof/>
                <w:webHidden/>
              </w:rPr>
            </w:r>
            <w:r w:rsidR="00AA34E7" w:rsidRPr="00150ABA">
              <w:rPr>
                <w:noProof/>
                <w:webHidden/>
              </w:rPr>
              <w:fldChar w:fldCharType="separate"/>
            </w:r>
            <w:r w:rsidR="00CF090D" w:rsidRPr="00150ABA">
              <w:rPr>
                <w:noProof/>
                <w:webHidden/>
              </w:rPr>
              <w:t>39</w:t>
            </w:r>
            <w:r w:rsidR="00AA34E7" w:rsidRPr="00150ABA">
              <w:rPr>
                <w:noProof/>
                <w:webHidden/>
              </w:rPr>
              <w:fldChar w:fldCharType="end"/>
            </w:r>
          </w:hyperlink>
        </w:p>
        <w:p w14:paraId="6A688217" w14:textId="7ADBE739" w:rsidR="00AA34E7" w:rsidRPr="00150ABA" w:rsidRDefault="00143DAF">
          <w:pPr>
            <w:pStyle w:val="TOC1"/>
            <w:rPr>
              <w:rFonts w:asciiTheme="minorHAnsi" w:eastAsiaTheme="minorEastAsia" w:hAnsiTheme="minorHAnsi" w:cstheme="minorBidi"/>
              <w:noProof/>
              <w:sz w:val="22"/>
              <w:lang w:eastAsia="fr-BE"/>
            </w:rPr>
          </w:pPr>
          <w:hyperlink w:anchor="_Toc85196960" w:history="1">
            <w:r w:rsidR="00AA34E7" w:rsidRPr="00150ABA">
              <w:rPr>
                <w:rStyle w:val="Hyperlink"/>
                <w:noProof/>
              </w:rPr>
              <w:t>2.</w:t>
            </w:r>
            <w:r w:rsidR="00AA34E7" w:rsidRPr="00150ABA">
              <w:rPr>
                <w:rFonts w:asciiTheme="minorHAnsi" w:eastAsiaTheme="minorEastAsia" w:hAnsiTheme="minorHAnsi" w:cstheme="minorBidi"/>
                <w:noProof/>
                <w:sz w:val="22"/>
                <w:lang w:eastAsia="fr-BE"/>
              </w:rPr>
              <w:tab/>
            </w:r>
            <w:r w:rsidR="00AA34E7" w:rsidRPr="00150ABA">
              <w:rPr>
                <w:rStyle w:val="Hyperlink"/>
                <w:noProof/>
              </w:rPr>
              <w:t>MANAGEMENT MEASURES</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_Toc85196960 \h </w:instrText>
            </w:r>
            <w:r w:rsidR="00AA34E7" w:rsidRPr="00150ABA">
              <w:rPr>
                <w:noProof/>
                <w:webHidden/>
              </w:rPr>
            </w:r>
            <w:r w:rsidR="00AA34E7" w:rsidRPr="00150ABA">
              <w:rPr>
                <w:noProof/>
                <w:webHidden/>
              </w:rPr>
              <w:fldChar w:fldCharType="separate"/>
            </w:r>
            <w:r w:rsidR="00CF090D" w:rsidRPr="00150ABA">
              <w:rPr>
                <w:noProof/>
                <w:webHidden/>
              </w:rPr>
              <w:t>40</w:t>
            </w:r>
            <w:r w:rsidR="00AA34E7" w:rsidRPr="00150ABA">
              <w:rPr>
                <w:noProof/>
                <w:webHidden/>
              </w:rPr>
              <w:fldChar w:fldCharType="end"/>
            </w:r>
          </w:hyperlink>
        </w:p>
        <w:p w14:paraId="4653ABF5" w14:textId="7AEBA890" w:rsidR="00AA34E7" w:rsidRPr="00150ABA" w:rsidRDefault="00143DAF">
          <w:pPr>
            <w:pStyle w:val="TOC2"/>
            <w:rPr>
              <w:rFonts w:asciiTheme="minorHAnsi" w:eastAsiaTheme="minorEastAsia" w:hAnsiTheme="minorHAnsi" w:cstheme="minorBidi"/>
              <w:noProof/>
              <w:sz w:val="22"/>
              <w:lang w:eastAsia="fr-BE"/>
            </w:rPr>
          </w:pPr>
          <w:hyperlink w:anchor="_Toc85196961" w:history="1">
            <w:r w:rsidR="00AA34E7" w:rsidRPr="00150ABA">
              <w:rPr>
                <w:rStyle w:val="Hyperlink"/>
                <w:noProof/>
              </w:rPr>
              <w:t>2.1.</w:t>
            </w:r>
            <w:r w:rsidR="00AA34E7" w:rsidRPr="00150ABA">
              <w:rPr>
                <w:rFonts w:asciiTheme="minorHAnsi" w:eastAsiaTheme="minorEastAsia" w:hAnsiTheme="minorHAnsi" w:cstheme="minorBidi"/>
                <w:noProof/>
                <w:sz w:val="22"/>
                <w:lang w:eastAsia="fr-BE"/>
              </w:rPr>
              <w:tab/>
            </w:r>
            <w:r w:rsidR="00AA34E7" w:rsidRPr="00150ABA">
              <w:rPr>
                <w:rStyle w:val="Hyperlink"/>
                <w:noProof/>
              </w:rPr>
              <w:t>Monitoring and reporting rules</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_Toc85196961 \h </w:instrText>
            </w:r>
            <w:r w:rsidR="00AA34E7" w:rsidRPr="00150ABA">
              <w:rPr>
                <w:noProof/>
                <w:webHidden/>
              </w:rPr>
            </w:r>
            <w:r w:rsidR="00AA34E7" w:rsidRPr="00150ABA">
              <w:rPr>
                <w:noProof/>
                <w:webHidden/>
              </w:rPr>
              <w:fldChar w:fldCharType="separate"/>
            </w:r>
            <w:r w:rsidR="00CF090D" w:rsidRPr="00150ABA">
              <w:rPr>
                <w:noProof/>
                <w:webHidden/>
              </w:rPr>
              <w:t>40</w:t>
            </w:r>
            <w:r w:rsidR="00AA34E7" w:rsidRPr="00150ABA">
              <w:rPr>
                <w:noProof/>
                <w:webHidden/>
              </w:rPr>
              <w:fldChar w:fldCharType="end"/>
            </w:r>
          </w:hyperlink>
        </w:p>
        <w:p w14:paraId="12F8BCA9" w14:textId="7A6B4DB9" w:rsidR="00AA34E7" w:rsidRPr="00150ABA" w:rsidRDefault="00143DAF">
          <w:pPr>
            <w:pStyle w:val="TOC2"/>
            <w:rPr>
              <w:rFonts w:asciiTheme="minorHAnsi" w:eastAsiaTheme="minorEastAsia" w:hAnsiTheme="minorHAnsi" w:cstheme="minorBidi"/>
              <w:noProof/>
              <w:sz w:val="22"/>
              <w:lang w:eastAsia="fr-BE"/>
            </w:rPr>
          </w:pPr>
          <w:hyperlink w:anchor="_Toc85196962" w:history="1">
            <w:r w:rsidR="00AA34E7" w:rsidRPr="00150ABA">
              <w:rPr>
                <w:rStyle w:val="Hyperlink"/>
                <w:noProof/>
              </w:rPr>
              <w:t>2.2.</w:t>
            </w:r>
            <w:r w:rsidR="00AA34E7" w:rsidRPr="00150ABA">
              <w:rPr>
                <w:rFonts w:asciiTheme="minorHAnsi" w:eastAsiaTheme="minorEastAsia" w:hAnsiTheme="minorHAnsi" w:cstheme="minorBidi"/>
                <w:noProof/>
                <w:sz w:val="22"/>
                <w:lang w:eastAsia="fr-BE"/>
              </w:rPr>
              <w:tab/>
            </w:r>
            <w:r w:rsidR="00AA34E7" w:rsidRPr="00150ABA">
              <w:rPr>
                <w:rStyle w:val="Hyperlink"/>
                <w:noProof/>
              </w:rPr>
              <w:t>Management and control system(s)</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_Toc85196962 \h </w:instrText>
            </w:r>
            <w:r w:rsidR="00AA34E7" w:rsidRPr="00150ABA">
              <w:rPr>
                <w:noProof/>
                <w:webHidden/>
              </w:rPr>
            </w:r>
            <w:r w:rsidR="00AA34E7" w:rsidRPr="00150ABA">
              <w:rPr>
                <w:noProof/>
                <w:webHidden/>
              </w:rPr>
              <w:fldChar w:fldCharType="separate"/>
            </w:r>
            <w:r w:rsidR="00CF090D" w:rsidRPr="00150ABA">
              <w:rPr>
                <w:noProof/>
                <w:webHidden/>
              </w:rPr>
              <w:t>40</w:t>
            </w:r>
            <w:r w:rsidR="00AA34E7" w:rsidRPr="00150ABA">
              <w:rPr>
                <w:noProof/>
                <w:webHidden/>
              </w:rPr>
              <w:fldChar w:fldCharType="end"/>
            </w:r>
          </w:hyperlink>
        </w:p>
        <w:p w14:paraId="6B6A4D06" w14:textId="1E939FDD" w:rsidR="00AA34E7" w:rsidRPr="00150ABA" w:rsidRDefault="00143DAF">
          <w:pPr>
            <w:pStyle w:val="TOC3"/>
            <w:rPr>
              <w:rFonts w:asciiTheme="minorHAnsi" w:eastAsiaTheme="minorEastAsia" w:hAnsiTheme="minorHAnsi" w:cstheme="minorBidi"/>
              <w:noProof/>
              <w:sz w:val="22"/>
              <w:lang w:eastAsia="fr-BE"/>
            </w:rPr>
          </w:pPr>
          <w:hyperlink w:anchor="_Toc85196963" w:history="1">
            <w:r w:rsidR="00AA34E7" w:rsidRPr="00150ABA">
              <w:rPr>
                <w:rStyle w:val="Hyperlink"/>
                <w:noProof/>
              </w:rPr>
              <w:t>2.2.1.</w:t>
            </w:r>
            <w:r w:rsidR="00AA34E7" w:rsidRPr="00150ABA">
              <w:rPr>
                <w:rFonts w:asciiTheme="minorHAnsi" w:eastAsiaTheme="minorEastAsia" w:hAnsiTheme="minorHAnsi" w:cstheme="minorBidi"/>
                <w:noProof/>
                <w:sz w:val="22"/>
                <w:lang w:eastAsia="fr-BE"/>
              </w:rPr>
              <w:tab/>
            </w:r>
            <w:r w:rsidR="00AA34E7" w:rsidRPr="00150ABA">
              <w:rPr>
                <w:rStyle w:val="Hyperlink"/>
                <w:noProof/>
              </w:rPr>
              <w:t>Justification of the management mode(s), the funding implementation mechanism(s), the payment modalities and the control strategy proposed</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_Toc85196963 \h </w:instrText>
            </w:r>
            <w:r w:rsidR="00AA34E7" w:rsidRPr="00150ABA">
              <w:rPr>
                <w:noProof/>
                <w:webHidden/>
              </w:rPr>
            </w:r>
            <w:r w:rsidR="00AA34E7" w:rsidRPr="00150ABA">
              <w:rPr>
                <w:noProof/>
                <w:webHidden/>
              </w:rPr>
              <w:fldChar w:fldCharType="separate"/>
            </w:r>
            <w:r w:rsidR="00CF090D" w:rsidRPr="00150ABA">
              <w:rPr>
                <w:noProof/>
                <w:webHidden/>
              </w:rPr>
              <w:t>40</w:t>
            </w:r>
            <w:r w:rsidR="00AA34E7" w:rsidRPr="00150ABA">
              <w:rPr>
                <w:noProof/>
                <w:webHidden/>
              </w:rPr>
              <w:fldChar w:fldCharType="end"/>
            </w:r>
          </w:hyperlink>
        </w:p>
        <w:p w14:paraId="6819D0C5" w14:textId="104EDDAC" w:rsidR="00AA34E7" w:rsidRPr="00150ABA" w:rsidRDefault="00143DAF">
          <w:pPr>
            <w:pStyle w:val="TOC3"/>
            <w:rPr>
              <w:rFonts w:asciiTheme="minorHAnsi" w:eastAsiaTheme="minorEastAsia" w:hAnsiTheme="minorHAnsi" w:cstheme="minorBidi"/>
              <w:noProof/>
              <w:sz w:val="22"/>
              <w:lang w:eastAsia="fr-BE"/>
            </w:rPr>
          </w:pPr>
          <w:hyperlink w:anchor="_Toc85196964" w:history="1">
            <w:r w:rsidR="00AA34E7" w:rsidRPr="00150ABA">
              <w:rPr>
                <w:rStyle w:val="Hyperlink"/>
                <w:noProof/>
              </w:rPr>
              <w:t>2.2.2.</w:t>
            </w:r>
            <w:r w:rsidR="00AA34E7" w:rsidRPr="00150ABA">
              <w:rPr>
                <w:rFonts w:asciiTheme="minorHAnsi" w:eastAsiaTheme="minorEastAsia" w:hAnsiTheme="minorHAnsi" w:cstheme="minorBidi"/>
                <w:noProof/>
                <w:sz w:val="22"/>
                <w:lang w:eastAsia="fr-BE"/>
              </w:rPr>
              <w:tab/>
            </w:r>
            <w:r w:rsidR="00AA34E7" w:rsidRPr="00150ABA">
              <w:rPr>
                <w:rStyle w:val="Hyperlink"/>
                <w:noProof/>
              </w:rPr>
              <w:t>Information concerning the risks identified and the internal control system(s) set up to mitigate them</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_Toc85196964 \h </w:instrText>
            </w:r>
            <w:r w:rsidR="00AA34E7" w:rsidRPr="00150ABA">
              <w:rPr>
                <w:noProof/>
                <w:webHidden/>
              </w:rPr>
            </w:r>
            <w:r w:rsidR="00AA34E7" w:rsidRPr="00150ABA">
              <w:rPr>
                <w:noProof/>
                <w:webHidden/>
              </w:rPr>
              <w:fldChar w:fldCharType="separate"/>
            </w:r>
            <w:r w:rsidR="00CF090D" w:rsidRPr="00150ABA">
              <w:rPr>
                <w:noProof/>
                <w:webHidden/>
              </w:rPr>
              <w:t>40</w:t>
            </w:r>
            <w:r w:rsidR="00AA34E7" w:rsidRPr="00150ABA">
              <w:rPr>
                <w:noProof/>
                <w:webHidden/>
              </w:rPr>
              <w:fldChar w:fldCharType="end"/>
            </w:r>
          </w:hyperlink>
        </w:p>
        <w:p w14:paraId="416AFD7E" w14:textId="571EC056" w:rsidR="00AA34E7" w:rsidRPr="00150ABA" w:rsidRDefault="00143DAF">
          <w:pPr>
            <w:pStyle w:val="TOC3"/>
            <w:rPr>
              <w:rFonts w:asciiTheme="minorHAnsi" w:eastAsiaTheme="minorEastAsia" w:hAnsiTheme="minorHAnsi" w:cstheme="minorBidi"/>
              <w:noProof/>
              <w:sz w:val="22"/>
              <w:lang w:eastAsia="fr-BE"/>
            </w:rPr>
          </w:pPr>
          <w:hyperlink w:anchor="_Toc85196965" w:history="1">
            <w:r w:rsidR="00AA34E7" w:rsidRPr="00150ABA">
              <w:rPr>
                <w:rStyle w:val="Hyperlink"/>
                <w:noProof/>
              </w:rPr>
              <w:t>2.2.3.</w:t>
            </w:r>
            <w:r w:rsidR="00AA34E7" w:rsidRPr="00150ABA">
              <w:rPr>
                <w:rFonts w:asciiTheme="minorHAnsi" w:eastAsiaTheme="minorEastAsia" w:hAnsiTheme="minorHAnsi" w:cstheme="minorBidi"/>
                <w:noProof/>
                <w:sz w:val="22"/>
                <w:lang w:eastAsia="fr-BE"/>
              </w:rPr>
              <w:tab/>
            </w:r>
            <w:r w:rsidR="00AA34E7" w:rsidRPr="00150ABA">
              <w:rPr>
                <w:rStyle w:val="Hyperlink"/>
                <w:noProof/>
              </w:rPr>
              <w:t>Estimation and justification of the cost-effectiveness of the controls (ratio of "control costs ÷ value of the related funds managed"), and assessment of the expected levels of risk of error (at payment &amp; at closure)</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_Toc85196965 \h </w:instrText>
            </w:r>
            <w:r w:rsidR="00AA34E7" w:rsidRPr="00150ABA">
              <w:rPr>
                <w:noProof/>
                <w:webHidden/>
              </w:rPr>
            </w:r>
            <w:r w:rsidR="00AA34E7" w:rsidRPr="00150ABA">
              <w:rPr>
                <w:noProof/>
                <w:webHidden/>
              </w:rPr>
              <w:fldChar w:fldCharType="separate"/>
            </w:r>
            <w:r w:rsidR="00CF090D" w:rsidRPr="00150ABA">
              <w:rPr>
                <w:noProof/>
                <w:webHidden/>
              </w:rPr>
              <w:t>41</w:t>
            </w:r>
            <w:r w:rsidR="00AA34E7" w:rsidRPr="00150ABA">
              <w:rPr>
                <w:noProof/>
                <w:webHidden/>
              </w:rPr>
              <w:fldChar w:fldCharType="end"/>
            </w:r>
          </w:hyperlink>
        </w:p>
        <w:p w14:paraId="408BA224" w14:textId="4DC8B1E2" w:rsidR="00AA34E7" w:rsidRPr="00150ABA" w:rsidRDefault="00143DAF">
          <w:pPr>
            <w:pStyle w:val="TOC2"/>
            <w:rPr>
              <w:rFonts w:asciiTheme="minorHAnsi" w:eastAsiaTheme="minorEastAsia" w:hAnsiTheme="minorHAnsi" w:cstheme="minorBidi"/>
              <w:noProof/>
              <w:sz w:val="22"/>
              <w:lang w:eastAsia="fr-BE"/>
            </w:rPr>
          </w:pPr>
          <w:hyperlink w:anchor="_Toc85196966" w:history="1">
            <w:r w:rsidR="00AA34E7" w:rsidRPr="00150ABA">
              <w:rPr>
                <w:rStyle w:val="Hyperlink"/>
                <w:noProof/>
              </w:rPr>
              <w:t>2.3.</w:t>
            </w:r>
            <w:r w:rsidR="00AA34E7" w:rsidRPr="00150ABA">
              <w:rPr>
                <w:rFonts w:asciiTheme="minorHAnsi" w:eastAsiaTheme="minorEastAsia" w:hAnsiTheme="minorHAnsi" w:cstheme="minorBidi"/>
                <w:noProof/>
                <w:sz w:val="22"/>
                <w:lang w:eastAsia="fr-BE"/>
              </w:rPr>
              <w:tab/>
            </w:r>
            <w:r w:rsidR="00AA34E7" w:rsidRPr="00150ABA">
              <w:rPr>
                <w:rStyle w:val="Hyperlink"/>
                <w:noProof/>
              </w:rPr>
              <w:t>Measures to prevent fraud and irregularities</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_Toc85196966 \h </w:instrText>
            </w:r>
            <w:r w:rsidR="00AA34E7" w:rsidRPr="00150ABA">
              <w:rPr>
                <w:noProof/>
                <w:webHidden/>
              </w:rPr>
            </w:r>
            <w:r w:rsidR="00AA34E7" w:rsidRPr="00150ABA">
              <w:rPr>
                <w:noProof/>
                <w:webHidden/>
              </w:rPr>
              <w:fldChar w:fldCharType="separate"/>
            </w:r>
            <w:r w:rsidR="00CF090D" w:rsidRPr="00150ABA">
              <w:rPr>
                <w:noProof/>
                <w:webHidden/>
              </w:rPr>
              <w:t>41</w:t>
            </w:r>
            <w:r w:rsidR="00AA34E7" w:rsidRPr="00150ABA">
              <w:rPr>
                <w:noProof/>
                <w:webHidden/>
              </w:rPr>
              <w:fldChar w:fldCharType="end"/>
            </w:r>
          </w:hyperlink>
        </w:p>
        <w:p w14:paraId="47D810F9" w14:textId="24439EA0" w:rsidR="00AA34E7" w:rsidRPr="00150ABA" w:rsidRDefault="00143DAF">
          <w:pPr>
            <w:pStyle w:val="TOC1"/>
            <w:rPr>
              <w:rFonts w:asciiTheme="minorHAnsi" w:eastAsiaTheme="minorEastAsia" w:hAnsiTheme="minorHAnsi" w:cstheme="minorBidi"/>
              <w:noProof/>
              <w:sz w:val="22"/>
              <w:lang w:eastAsia="fr-BE"/>
            </w:rPr>
          </w:pPr>
          <w:hyperlink w:anchor="_Toc85196967" w:history="1">
            <w:r w:rsidR="00AA34E7" w:rsidRPr="00150ABA">
              <w:rPr>
                <w:rStyle w:val="Hyperlink"/>
                <w:noProof/>
              </w:rPr>
              <w:t>3.</w:t>
            </w:r>
            <w:r w:rsidR="00AA34E7" w:rsidRPr="00150ABA">
              <w:rPr>
                <w:rFonts w:asciiTheme="minorHAnsi" w:eastAsiaTheme="minorEastAsia" w:hAnsiTheme="minorHAnsi" w:cstheme="minorBidi"/>
                <w:noProof/>
                <w:sz w:val="22"/>
                <w:lang w:eastAsia="fr-BE"/>
              </w:rPr>
              <w:tab/>
            </w:r>
            <w:r w:rsidR="00AA34E7" w:rsidRPr="00150ABA">
              <w:rPr>
                <w:rStyle w:val="Hyperlink"/>
                <w:noProof/>
              </w:rPr>
              <w:t>ESTIMATED FINANCIAL IMPACT OF THE PROPOSAL/INITIATIVE</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_Toc85196967 \h </w:instrText>
            </w:r>
            <w:r w:rsidR="00AA34E7" w:rsidRPr="00150ABA">
              <w:rPr>
                <w:noProof/>
                <w:webHidden/>
              </w:rPr>
            </w:r>
            <w:r w:rsidR="00AA34E7" w:rsidRPr="00150ABA">
              <w:rPr>
                <w:noProof/>
                <w:webHidden/>
              </w:rPr>
              <w:fldChar w:fldCharType="separate"/>
            </w:r>
            <w:r w:rsidR="00CF090D" w:rsidRPr="00150ABA">
              <w:rPr>
                <w:noProof/>
                <w:webHidden/>
              </w:rPr>
              <w:t>42</w:t>
            </w:r>
            <w:r w:rsidR="00AA34E7" w:rsidRPr="00150ABA">
              <w:rPr>
                <w:noProof/>
                <w:webHidden/>
              </w:rPr>
              <w:fldChar w:fldCharType="end"/>
            </w:r>
          </w:hyperlink>
        </w:p>
        <w:p w14:paraId="47100EC0" w14:textId="022F6768" w:rsidR="00AA34E7" w:rsidRPr="00150ABA" w:rsidRDefault="00143DAF">
          <w:pPr>
            <w:pStyle w:val="TOC2"/>
            <w:rPr>
              <w:rFonts w:asciiTheme="minorHAnsi" w:eastAsiaTheme="minorEastAsia" w:hAnsiTheme="minorHAnsi" w:cstheme="minorBidi"/>
              <w:noProof/>
              <w:sz w:val="22"/>
              <w:lang w:eastAsia="fr-BE"/>
            </w:rPr>
          </w:pPr>
          <w:hyperlink w:anchor="_Toc85196968" w:history="1">
            <w:r w:rsidR="00AA34E7" w:rsidRPr="00150ABA">
              <w:rPr>
                <w:rStyle w:val="Hyperlink"/>
                <w:noProof/>
              </w:rPr>
              <w:t>3.1.</w:t>
            </w:r>
            <w:r w:rsidR="00AA34E7" w:rsidRPr="00150ABA">
              <w:rPr>
                <w:rFonts w:asciiTheme="minorHAnsi" w:eastAsiaTheme="minorEastAsia" w:hAnsiTheme="minorHAnsi" w:cstheme="minorBidi"/>
                <w:noProof/>
                <w:sz w:val="22"/>
                <w:lang w:eastAsia="fr-BE"/>
              </w:rPr>
              <w:tab/>
            </w:r>
            <w:r w:rsidR="00AA34E7" w:rsidRPr="00150ABA">
              <w:rPr>
                <w:rStyle w:val="Hyperlink"/>
                <w:noProof/>
              </w:rPr>
              <w:t>Heading(s) of the multiannual financial framework and expenditure budget line(s) affected</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_Toc85196968 \h </w:instrText>
            </w:r>
            <w:r w:rsidR="00AA34E7" w:rsidRPr="00150ABA">
              <w:rPr>
                <w:noProof/>
                <w:webHidden/>
              </w:rPr>
            </w:r>
            <w:r w:rsidR="00AA34E7" w:rsidRPr="00150ABA">
              <w:rPr>
                <w:noProof/>
                <w:webHidden/>
              </w:rPr>
              <w:fldChar w:fldCharType="separate"/>
            </w:r>
            <w:r w:rsidR="00CF090D" w:rsidRPr="00150ABA">
              <w:rPr>
                <w:noProof/>
                <w:webHidden/>
              </w:rPr>
              <w:t>42</w:t>
            </w:r>
            <w:r w:rsidR="00AA34E7" w:rsidRPr="00150ABA">
              <w:rPr>
                <w:noProof/>
                <w:webHidden/>
              </w:rPr>
              <w:fldChar w:fldCharType="end"/>
            </w:r>
          </w:hyperlink>
        </w:p>
        <w:p w14:paraId="4E12C3FA" w14:textId="0EF7D7C8" w:rsidR="00AA34E7" w:rsidRPr="00150ABA" w:rsidRDefault="00143DAF">
          <w:pPr>
            <w:pStyle w:val="TOC2"/>
            <w:rPr>
              <w:rFonts w:asciiTheme="minorHAnsi" w:eastAsiaTheme="minorEastAsia" w:hAnsiTheme="minorHAnsi" w:cstheme="minorBidi"/>
              <w:noProof/>
              <w:sz w:val="22"/>
              <w:lang w:eastAsia="fr-BE"/>
            </w:rPr>
          </w:pPr>
          <w:hyperlink w:anchor="_Toc85196969" w:history="1">
            <w:r w:rsidR="00AA34E7" w:rsidRPr="00150ABA">
              <w:rPr>
                <w:rStyle w:val="Hyperlink"/>
                <w:noProof/>
              </w:rPr>
              <w:t>3.2.</w:t>
            </w:r>
            <w:r w:rsidR="00AA34E7" w:rsidRPr="00150ABA">
              <w:rPr>
                <w:rFonts w:asciiTheme="minorHAnsi" w:eastAsiaTheme="minorEastAsia" w:hAnsiTheme="minorHAnsi" w:cstheme="minorBidi"/>
                <w:noProof/>
                <w:sz w:val="22"/>
                <w:lang w:eastAsia="fr-BE"/>
              </w:rPr>
              <w:tab/>
            </w:r>
            <w:r w:rsidR="00AA34E7" w:rsidRPr="00150ABA">
              <w:rPr>
                <w:rStyle w:val="Hyperlink"/>
                <w:noProof/>
              </w:rPr>
              <w:t>Estimated impact on expenditure</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_Toc85196969 \h </w:instrText>
            </w:r>
            <w:r w:rsidR="00AA34E7" w:rsidRPr="00150ABA">
              <w:rPr>
                <w:noProof/>
                <w:webHidden/>
              </w:rPr>
            </w:r>
            <w:r w:rsidR="00AA34E7" w:rsidRPr="00150ABA">
              <w:rPr>
                <w:noProof/>
                <w:webHidden/>
              </w:rPr>
              <w:fldChar w:fldCharType="separate"/>
            </w:r>
            <w:r w:rsidR="00CF090D" w:rsidRPr="00150ABA">
              <w:rPr>
                <w:noProof/>
                <w:webHidden/>
              </w:rPr>
              <w:t>43</w:t>
            </w:r>
            <w:r w:rsidR="00AA34E7" w:rsidRPr="00150ABA">
              <w:rPr>
                <w:noProof/>
                <w:webHidden/>
              </w:rPr>
              <w:fldChar w:fldCharType="end"/>
            </w:r>
          </w:hyperlink>
        </w:p>
        <w:p w14:paraId="40F51AB2" w14:textId="31774095" w:rsidR="00AA34E7" w:rsidRPr="00150ABA" w:rsidRDefault="00143DAF">
          <w:pPr>
            <w:pStyle w:val="TOC3"/>
            <w:rPr>
              <w:rFonts w:asciiTheme="minorHAnsi" w:eastAsiaTheme="minorEastAsia" w:hAnsiTheme="minorHAnsi" w:cstheme="minorBidi"/>
              <w:noProof/>
              <w:sz w:val="22"/>
              <w:lang w:eastAsia="fr-BE"/>
            </w:rPr>
          </w:pPr>
          <w:hyperlink w:anchor="_Toc85196970" w:history="1">
            <w:r w:rsidR="00AA34E7" w:rsidRPr="00150ABA">
              <w:rPr>
                <w:rStyle w:val="Hyperlink"/>
                <w:noProof/>
              </w:rPr>
              <w:t>3.2.1.</w:t>
            </w:r>
            <w:r w:rsidR="00AA34E7" w:rsidRPr="00150ABA">
              <w:rPr>
                <w:rFonts w:asciiTheme="minorHAnsi" w:eastAsiaTheme="minorEastAsia" w:hAnsiTheme="minorHAnsi" w:cstheme="minorBidi"/>
                <w:noProof/>
                <w:sz w:val="22"/>
                <w:lang w:eastAsia="fr-BE"/>
              </w:rPr>
              <w:tab/>
            </w:r>
            <w:r w:rsidR="00AA34E7" w:rsidRPr="00150ABA">
              <w:rPr>
                <w:rStyle w:val="Hyperlink"/>
                <w:noProof/>
              </w:rPr>
              <w:t>Summary of estimated impact on expenditure</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_Toc85196970 \h </w:instrText>
            </w:r>
            <w:r w:rsidR="00AA34E7" w:rsidRPr="00150ABA">
              <w:rPr>
                <w:noProof/>
                <w:webHidden/>
              </w:rPr>
            </w:r>
            <w:r w:rsidR="00AA34E7" w:rsidRPr="00150ABA">
              <w:rPr>
                <w:noProof/>
                <w:webHidden/>
              </w:rPr>
              <w:fldChar w:fldCharType="separate"/>
            </w:r>
            <w:r w:rsidR="00CF090D" w:rsidRPr="00150ABA">
              <w:rPr>
                <w:noProof/>
                <w:webHidden/>
              </w:rPr>
              <w:t>43</w:t>
            </w:r>
            <w:r w:rsidR="00AA34E7" w:rsidRPr="00150ABA">
              <w:rPr>
                <w:noProof/>
                <w:webHidden/>
              </w:rPr>
              <w:fldChar w:fldCharType="end"/>
            </w:r>
          </w:hyperlink>
        </w:p>
        <w:p w14:paraId="160E0671" w14:textId="51DABB68" w:rsidR="00AA34E7" w:rsidRPr="00150ABA" w:rsidRDefault="00143DAF">
          <w:pPr>
            <w:pStyle w:val="TOC3"/>
            <w:rPr>
              <w:rFonts w:asciiTheme="minorHAnsi" w:eastAsiaTheme="minorEastAsia" w:hAnsiTheme="minorHAnsi" w:cstheme="minorBidi"/>
              <w:noProof/>
              <w:sz w:val="22"/>
              <w:lang w:eastAsia="fr-BE"/>
            </w:rPr>
          </w:pPr>
          <w:hyperlink w:anchor="_Toc85196971" w:history="1">
            <w:r w:rsidR="00AA34E7" w:rsidRPr="00150ABA">
              <w:rPr>
                <w:rStyle w:val="Hyperlink"/>
                <w:noProof/>
              </w:rPr>
              <w:t>3.2.2.</w:t>
            </w:r>
            <w:r w:rsidR="00AA34E7" w:rsidRPr="00150ABA">
              <w:rPr>
                <w:rFonts w:asciiTheme="minorHAnsi" w:eastAsiaTheme="minorEastAsia" w:hAnsiTheme="minorHAnsi" w:cstheme="minorBidi"/>
                <w:noProof/>
                <w:sz w:val="22"/>
                <w:lang w:eastAsia="fr-BE"/>
              </w:rPr>
              <w:tab/>
            </w:r>
            <w:r w:rsidR="00AA34E7" w:rsidRPr="00150ABA">
              <w:rPr>
                <w:rStyle w:val="Hyperlink"/>
                <w:noProof/>
              </w:rPr>
              <w:t>Estimated impact on Eurojust's appropriations</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_Toc85196971 \h </w:instrText>
            </w:r>
            <w:r w:rsidR="00AA34E7" w:rsidRPr="00150ABA">
              <w:rPr>
                <w:noProof/>
                <w:webHidden/>
              </w:rPr>
            </w:r>
            <w:r w:rsidR="00AA34E7" w:rsidRPr="00150ABA">
              <w:rPr>
                <w:noProof/>
                <w:webHidden/>
              </w:rPr>
              <w:fldChar w:fldCharType="separate"/>
            </w:r>
            <w:r w:rsidR="00CF090D" w:rsidRPr="00150ABA">
              <w:rPr>
                <w:noProof/>
                <w:webHidden/>
              </w:rPr>
              <w:t>48</w:t>
            </w:r>
            <w:r w:rsidR="00AA34E7" w:rsidRPr="00150ABA">
              <w:rPr>
                <w:noProof/>
                <w:webHidden/>
              </w:rPr>
              <w:fldChar w:fldCharType="end"/>
            </w:r>
          </w:hyperlink>
        </w:p>
        <w:p w14:paraId="3319E67B" w14:textId="4372D7BD" w:rsidR="00AA34E7" w:rsidRPr="00150ABA" w:rsidRDefault="00143DAF">
          <w:pPr>
            <w:pStyle w:val="TOC3"/>
            <w:rPr>
              <w:rFonts w:asciiTheme="minorHAnsi" w:eastAsiaTheme="minorEastAsia" w:hAnsiTheme="minorHAnsi" w:cstheme="minorBidi"/>
              <w:noProof/>
              <w:sz w:val="22"/>
              <w:lang w:eastAsia="fr-BE"/>
            </w:rPr>
          </w:pPr>
          <w:hyperlink w:anchor="_Toc85196972" w:history="1">
            <w:r w:rsidR="00AA34E7" w:rsidRPr="00150ABA">
              <w:rPr>
                <w:rStyle w:val="Hyperlink"/>
                <w:noProof/>
              </w:rPr>
              <w:t>3.2.3.</w:t>
            </w:r>
            <w:r w:rsidR="00AA34E7" w:rsidRPr="00150ABA">
              <w:rPr>
                <w:rFonts w:asciiTheme="minorHAnsi" w:eastAsiaTheme="minorEastAsia" w:hAnsiTheme="minorHAnsi" w:cstheme="minorBidi"/>
                <w:noProof/>
                <w:sz w:val="22"/>
                <w:lang w:eastAsia="fr-BE"/>
              </w:rPr>
              <w:tab/>
            </w:r>
            <w:r w:rsidR="00AA34E7" w:rsidRPr="00150ABA">
              <w:rPr>
                <w:rStyle w:val="Hyperlink"/>
                <w:noProof/>
              </w:rPr>
              <w:t>Estimated impact on eu-LISA's appropriations</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_Toc85196972 \h </w:instrText>
            </w:r>
            <w:r w:rsidR="00AA34E7" w:rsidRPr="00150ABA">
              <w:rPr>
                <w:noProof/>
                <w:webHidden/>
              </w:rPr>
            </w:r>
            <w:r w:rsidR="00AA34E7" w:rsidRPr="00150ABA">
              <w:rPr>
                <w:noProof/>
                <w:webHidden/>
              </w:rPr>
              <w:fldChar w:fldCharType="separate"/>
            </w:r>
            <w:r w:rsidR="00CF090D" w:rsidRPr="00150ABA">
              <w:rPr>
                <w:noProof/>
                <w:webHidden/>
              </w:rPr>
              <w:t>50</w:t>
            </w:r>
            <w:r w:rsidR="00AA34E7" w:rsidRPr="00150ABA">
              <w:rPr>
                <w:noProof/>
                <w:webHidden/>
              </w:rPr>
              <w:fldChar w:fldCharType="end"/>
            </w:r>
          </w:hyperlink>
        </w:p>
        <w:p w14:paraId="03ABD6D4" w14:textId="416E6831" w:rsidR="00AA34E7" w:rsidRPr="00150ABA" w:rsidRDefault="00143DAF">
          <w:pPr>
            <w:pStyle w:val="TOC3"/>
            <w:rPr>
              <w:rFonts w:asciiTheme="minorHAnsi" w:eastAsiaTheme="minorEastAsia" w:hAnsiTheme="minorHAnsi" w:cstheme="minorBidi"/>
              <w:noProof/>
              <w:sz w:val="22"/>
              <w:lang w:eastAsia="fr-BE"/>
            </w:rPr>
          </w:pPr>
          <w:hyperlink w:anchor="_Toc85196973" w:history="1">
            <w:r w:rsidR="00AA34E7" w:rsidRPr="00150ABA">
              <w:rPr>
                <w:rStyle w:val="Hyperlink"/>
                <w:noProof/>
              </w:rPr>
              <w:t>3.2.4.</w:t>
            </w:r>
            <w:r w:rsidR="00AA34E7" w:rsidRPr="00150ABA">
              <w:rPr>
                <w:rFonts w:asciiTheme="minorHAnsi" w:eastAsiaTheme="minorEastAsia" w:hAnsiTheme="minorHAnsi" w:cstheme="minorBidi"/>
                <w:noProof/>
                <w:sz w:val="22"/>
                <w:lang w:eastAsia="fr-BE"/>
              </w:rPr>
              <w:tab/>
            </w:r>
            <w:r w:rsidR="00AA34E7" w:rsidRPr="00150ABA">
              <w:rPr>
                <w:rStyle w:val="Hyperlink"/>
                <w:noProof/>
              </w:rPr>
              <w:t>Estimated impact on Eurojust's human resources</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_Toc85196973 \h </w:instrText>
            </w:r>
            <w:r w:rsidR="00AA34E7" w:rsidRPr="00150ABA">
              <w:rPr>
                <w:noProof/>
                <w:webHidden/>
              </w:rPr>
            </w:r>
            <w:r w:rsidR="00AA34E7" w:rsidRPr="00150ABA">
              <w:rPr>
                <w:noProof/>
                <w:webHidden/>
              </w:rPr>
              <w:fldChar w:fldCharType="separate"/>
            </w:r>
            <w:r w:rsidR="00CF090D" w:rsidRPr="00150ABA">
              <w:rPr>
                <w:noProof/>
                <w:webHidden/>
              </w:rPr>
              <w:t>51</w:t>
            </w:r>
            <w:r w:rsidR="00AA34E7" w:rsidRPr="00150ABA">
              <w:rPr>
                <w:noProof/>
                <w:webHidden/>
              </w:rPr>
              <w:fldChar w:fldCharType="end"/>
            </w:r>
          </w:hyperlink>
        </w:p>
        <w:p w14:paraId="725D23D5" w14:textId="712DD4A8" w:rsidR="00AA34E7" w:rsidRPr="00150ABA" w:rsidRDefault="00143DAF">
          <w:pPr>
            <w:pStyle w:val="TOC3"/>
            <w:rPr>
              <w:rFonts w:asciiTheme="minorHAnsi" w:eastAsiaTheme="minorEastAsia" w:hAnsiTheme="minorHAnsi" w:cstheme="minorBidi"/>
              <w:noProof/>
              <w:sz w:val="22"/>
              <w:lang w:eastAsia="fr-BE"/>
            </w:rPr>
          </w:pPr>
          <w:hyperlink w:anchor="_Toc85196974" w:history="1">
            <w:r w:rsidR="00AA34E7" w:rsidRPr="00150ABA">
              <w:rPr>
                <w:rStyle w:val="Hyperlink"/>
                <w:noProof/>
              </w:rPr>
              <w:t>3.2.5.</w:t>
            </w:r>
            <w:r w:rsidR="00AA34E7" w:rsidRPr="00150ABA">
              <w:rPr>
                <w:rFonts w:asciiTheme="minorHAnsi" w:eastAsiaTheme="minorEastAsia" w:hAnsiTheme="minorHAnsi" w:cstheme="minorBidi"/>
                <w:noProof/>
                <w:sz w:val="22"/>
                <w:lang w:eastAsia="fr-BE"/>
              </w:rPr>
              <w:tab/>
            </w:r>
            <w:r w:rsidR="00AA34E7" w:rsidRPr="00150ABA">
              <w:rPr>
                <w:rStyle w:val="Hyperlink"/>
                <w:noProof/>
              </w:rPr>
              <w:t>Estimated impact on eu-LISA's human resources</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_Toc85196974 \h </w:instrText>
            </w:r>
            <w:r w:rsidR="00AA34E7" w:rsidRPr="00150ABA">
              <w:rPr>
                <w:noProof/>
                <w:webHidden/>
              </w:rPr>
            </w:r>
            <w:r w:rsidR="00AA34E7" w:rsidRPr="00150ABA">
              <w:rPr>
                <w:noProof/>
                <w:webHidden/>
              </w:rPr>
              <w:fldChar w:fldCharType="separate"/>
            </w:r>
            <w:r w:rsidR="00CF090D" w:rsidRPr="00150ABA">
              <w:rPr>
                <w:noProof/>
                <w:webHidden/>
              </w:rPr>
              <w:t>53</w:t>
            </w:r>
            <w:r w:rsidR="00AA34E7" w:rsidRPr="00150ABA">
              <w:rPr>
                <w:noProof/>
                <w:webHidden/>
              </w:rPr>
              <w:fldChar w:fldCharType="end"/>
            </w:r>
          </w:hyperlink>
        </w:p>
        <w:p w14:paraId="7A3491A5" w14:textId="46FB49A8" w:rsidR="00AA34E7" w:rsidRPr="00150ABA" w:rsidRDefault="00143DAF">
          <w:pPr>
            <w:pStyle w:val="TOC3"/>
            <w:rPr>
              <w:rFonts w:asciiTheme="minorHAnsi" w:eastAsiaTheme="minorEastAsia" w:hAnsiTheme="minorHAnsi" w:cstheme="minorBidi"/>
              <w:noProof/>
              <w:sz w:val="22"/>
              <w:lang w:eastAsia="fr-BE"/>
            </w:rPr>
          </w:pPr>
          <w:hyperlink w:anchor="_Toc85196975" w:history="1">
            <w:r w:rsidR="00AA34E7" w:rsidRPr="00150ABA">
              <w:rPr>
                <w:rStyle w:val="Hyperlink"/>
                <w:noProof/>
              </w:rPr>
              <w:t>3.2.6.</w:t>
            </w:r>
            <w:r w:rsidR="00AA34E7" w:rsidRPr="00150ABA">
              <w:rPr>
                <w:rFonts w:asciiTheme="minorHAnsi" w:eastAsiaTheme="minorEastAsia" w:hAnsiTheme="minorHAnsi" w:cstheme="minorBidi"/>
                <w:noProof/>
                <w:sz w:val="22"/>
                <w:lang w:eastAsia="fr-BE"/>
              </w:rPr>
              <w:tab/>
            </w:r>
            <w:r w:rsidR="00AA34E7" w:rsidRPr="00150ABA">
              <w:rPr>
                <w:rStyle w:val="Hyperlink"/>
                <w:noProof/>
              </w:rPr>
              <w:t>Compatibility with the current multiannual financial framework</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_Toc85196975 \h </w:instrText>
            </w:r>
            <w:r w:rsidR="00AA34E7" w:rsidRPr="00150ABA">
              <w:rPr>
                <w:noProof/>
                <w:webHidden/>
              </w:rPr>
            </w:r>
            <w:r w:rsidR="00AA34E7" w:rsidRPr="00150ABA">
              <w:rPr>
                <w:noProof/>
                <w:webHidden/>
              </w:rPr>
              <w:fldChar w:fldCharType="separate"/>
            </w:r>
            <w:r w:rsidR="00CF090D" w:rsidRPr="00150ABA">
              <w:rPr>
                <w:noProof/>
                <w:webHidden/>
              </w:rPr>
              <w:t>57</w:t>
            </w:r>
            <w:r w:rsidR="00AA34E7" w:rsidRPr="00150ABA">
              <w:rPr>
                <w:noProof/>
                <w:webHidden/>
              </w:rPr>
              <w:fldChar w:fldCharType="end"/>
            </w:r>
          </w:hyperlink>
        </w:p>
        <w:p w14:paraId="4DC45D1A" w14:textId="7CC4DCC4" w:rsidR="00AA34E7" w:rsidRPr="00150ABA" w:rsidRDefault="00143DAF">
          <w:pPr>
            <w:pStyle w:val="TOC3"/>
            <w:rPr>
              <w:rFonts w:asciiTheme="minorHAnsi" w:eastAsiaTheme="minorEastAsia" w:hAnsiTheme="minorHAnsi" w:cstheme="minorBidi"/>
              <w:noProof/>
              <w:sz w:val="22"/>
              <w:lang w:eastAsia="fr-BE"/>
            </w:rPr>
          </w:pPr>
          <w:hyperlink w:anchor="_Toc85196976" w:history="1">
            <w:r w:rsidR="00AA34E7" w:rsidRPr="00150ABA">
              <w:rPr>
                <w:rStyle w:val="Hyperlink"/>
                <w:noProof/>
              </w:rPr>
              <w:t>3.2.7.</w:t>
            </w:r>
            <w:r w:rsidR="00AA34E7" w:rsidRPr="00150ABA">
              <w:rPr>
                <w:rFonts w:asciiTheme="minorHAnsi" w:eastAsiaTheme="minorEastAsia" w:hAnsiTheme="minorHAnsi" w:cstheme="minorBidi"/>
                <w:noProof/>
                <w:sz w:val="22"/>
                <w:lang w:eastAsia="fr-BE"/>
              </w:rPr>
              <w:tab/>
            </w:r>
            <w:r w:rsidR="00AA34E7" w:rsidRPr="00150ABA">
              <w:rPr>
                <w:rStyle w:val="Hyperlink"/>
                <w:noProof/>
              </w:rPr>
              <w:t>Third-party contributions</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_Toc85196976 \h </w:instrText>
            </w:r>
            <w:r w:rsidR="00AA34E7" w:rsidRPr="00150ABA">
              <w:rPr>
                <w:noProof/>
                <w:webHidden/>
              </w:rPr>
            </w:r>
            <w:r w:rsidR="00AA34E7" w:rsidRPr="00150ABA">
              <w:rPr>
                <w:noProof/>
                <w:webHidden/>
              </w:rPr>
              <w:fldChar w:fldCharType="separate"/>
            </w:r>
            <w:r w:rsidR="00CF090D" w:rsidRPr="00150ABA">
              <w:rPr>
                <w:noProof/>
                <w:webHidden/>
              </w:rPr>
              <w:t>57</w:t>
            </w:r>
            <w:r w:rsidR="00AA34E7" w:rsidRPr="00150ABA">
              <w:rPr>
                <w:noProof/>
                <w:webHidden/>
              </w:rPr>
              <w:fldChar w:fldCharType="end"/>
            </w:r>
          </w:hyperlink>
        </w:p>
        <w:p w14:paraId="01349986" w14:textId="1953428C" w:rsidR="00AA34E7" w:rsidRPr="00150ABA" w:rsidRDefault="00143DAF">
          <w:pPr>
            <w:pStyle w:val="TOC2"/>
            <w:rPr>
              <w:rFonts w:asciiTheme="minorHAnsi" w:eastAsiaTheme="minorEastAsia" w:hAnsiTheme="minorHAnsi" w:cstheme="minorBidi"/>
              <w:noProof/>
              <w:sz w:val="22"/>
              <w:lang w:eastAsia="fr-BE"/>
            </w:rPr>
          </w:pPr>
          <w:hyperlink w:anchor="_Toc85196977" w:history="1">
            <w:r w:rsidR="00AA34E7" w:rsidRPr="00150ABA">
              <w:rPr>
                <w:rStyle w:val="Hyperlink"/>
                <w:noProof/>
              </w:rPr>
              <w:t>3.3.</w:t>
            </w:r>
            <w:r w:rsidR="00AA34E7" w:rsidRPr="00150ABA">
              <w:rPr>
                <w:rFonts w:asciiTheme="minorHAnsi" w:eastAsiaTheme="minorEastAsia" w:hAnsiTheme="minorHAnsi" w:cstheme="minorBidi"/>
                <w:noProof/>
                <w:sz w:val="22"/>
                <w:lang w:eastAsia="fr-BE"/>
              </w:rPr>
              <w:tab/>
            </w:r>
            <w:r w:rsidR="00AA34E7" w:rsidRPr="00150ABA">
              <w:rPr>
                <w:rStyle w:val="Hyperlink"/>
                <w:noProof/>
              </w:rPr>
              <w:t>Estimated impact on revenue</w:t>
            </w:r>
            <w:r w:rsidR="00AA34E7" w:rsidRPr="00150ABA">
              <w:rPr>
                <w:noProof/>
                <w:webHidden/>
              </w:rPr>
              <w:tab/>
            </w:r>
            <w:r w:rsidR="00AA34E7" w:rsidRPr="00150ABA">
              <w:rPr>
                <w:noProof/>
                <w:webHidden/>
              </w:rPr>
              <w:fldChar w:fldCharType="begin"/>
            </w:r>
            <w:r w:rsidR="00AA34E7" w:rsidRPr="00150ABA">
              <w:rPr>
                <w:noProof/>
                <w:webHidden/>
              </w:rPr>
              <w:instrText xml:space="preserve"> PAGEREF _Toc85196977 \h </w:instrText>
            </w:r>
            <w:r w:rsidR="00AA34E7" w:rsidRPr="00150ABA">
              <w:rPr>
                <w:noProof/>
                <w:webHidden/>
              </w:rPr>
            </w:r>
            <w:r w:rsidR="00AA34E7" w:rsidRPr="00150ABA">
              <w:rPr>
                <w:noProof/>
                <w:webHidden/>
              </w:rPr>
              <w:fldChar w:fldCharType="separate"/>
            </w:r>
            <w:r w:rsidR="00CF090D" w:rsidRPr="00150ABA">
              <w:rPr>
                <w:noProof/>
                <w:webHidden/>
              </w:rPr>
              <w:t>58</w:t>
            </w:r>
            <w:r w:rsidR="00AA34E7" w:rsidRPr="00150ABA">
              <w:rPr>
                <w:noProof/>
                <w:webHidden/>
              </w:rPr>
              <w:fldChar w:fldCharType="end"/>
            </w:r>
          </w:hyperlink>
        </w:p>
        <w:p w14:paraId="59F24C72" w14:textId="46DD4AD1" w:rsidR="00AA34E7" w:rsidRPr="00150ABA" w:rsidRDefault="00AA34E7" w:rsidP="00AA34E7">
          <w:pPr>
            <w:rPr>
              <w:bCs/>
              <w:noProof/>
              <w:lang w:eastAsia="en-GB"/>
            </w:rPr>
          </w:pPr>
          <w:r w:rsidRPr="00150ABA">
            <w:rPr>
              <w:b/>
              <w:bCs/>
              <w:noProof/>
              <w:lang w:eastAsia="en-GB"/>
            </w:rPr>
            <w:fldChar w:fldCharType="end"/>
          </w:r>
        </w:p>
      </w:sdtContent>
    </w:sdt>
    <w:p w14:paraId="3F6B960B" w14:textId="77777777" w:rsidR="00A728BA" w:rsidRPr="00150ABA" w:rsidRDefault="00A728BA" w:rsidP="006F6F3C">
      <w:pPr>
        <w:rPr>
          <w:noProof/>
        </w:rPr>
        <w:sectPr w:rsidR="00A728BA" w:rsidRPr="00150ABA" w:rsidSect="00E45D24">
          <w:pgSz w:w="11907" w:h="16840" w:code="9"/>
          <w:pgMar w:top="1134" w:right="1418" w:bottom="1134" w:left="1418" w:header="709" w:footer="709" w:gutter="0"/>
          <w:cols w:space="708"/>
          <w:docGrid w:linePitch="360"/>
        </w:sectPr>
      </w:pPr>
    </w:p>
    <w:p w14:paraId="1D680721" w14:textId="77777777" w:rsidR="00A728BA" w:rsidRPr="00150ABA" w:rsidRDefault="00A728BA" w:rsidP="006F6F3C">
      <w:pPr>
        <w:jc w:val="center"/>
        <w:rPr>
          <w:noProof/>
        </w:rPr>
      </w:pPr>
      <w:r w:rsidRPr="00150ABA">
        <w:rPr>
          <w:b/>
          <w:noProof/>
          <w:u w:val="single"/>
        </w:rPr>
        <w:t>LEGISLATIVE FINANCIAL STATEMENT</w:t>
      </w:r>
    </w:p>
    <w:p w14:paraId="3AE63C61" w14:textId="74D63997" w:rsidR="00A728BA" w:rsidRPr="00150ABA" w:rsidRDefault="00D76D82" w:rsidP="00D76D82">
      <w:pPr>
        <w:pStyle w:val="ManualHeading1"/>
        <w:rPr>
          <w:noProof/>
        </w:rPr>
      </w:pPr>
      <w:bookmarkStart w:id="1" w:name="_Toc85196943"/>
      <w:r w:rsidRPr="00D76D82">
        <w:t>1.</w:t>
      </w:r>
      <w:r w:rsidRPr="00D76D82">
        <w:tab/>
      </w:r>
      <w:r w:rsidR="00A728BA" w:rsidRPr="00150ABA">
        <w:rPr>
          <w:noProof/>
        </w:rPr>
        <w:t>FRAMEWORK OF THE PROPOSAL/INITIATIVE</w:t>
      </w:r>
      <w:bookmarkEnd w:id="1"/>
      <w:r w:rsidR="00A728BA" w:rsidRPr="00150ABA">
        <w:rPr>
          <w:noProof/>
        </w:rPr>
        <w:t xml:space="preserve"> </w:t>
      </w:r>
    </w:p>
    <w:p w14:paraId="2DA72257" w14:textId="18B1B76B" w:rsidR="00A728BA" w:rsidRPr="00150ABA" w:rsidRDefault="00D76D82" w:rsidP="00D76D82">
      <w:pPr>
        <w:pStyle w:val="ManualHeading2"/>
        <w:rPr>
          <w:noProof/>
        </w:rPr>
      </w:pPr>
      <w:bookmarkStart w:id="2" w:name="_Toc85196944"/>
      <w:r w:rsidRPr="00D76D82">
        <w:t>1.1.</w:t>
      </w:r>
      <w:r w:rsidRPr="00D76D82">
        <w:tab/>
      </w:r>
      <w:r w:rsidR="00A728BA" w:rsidRPr="00150ABA">
        <w:rPr>
          <w:noProof/>
        </w:rPr>
        <w:t>Title of the proposal/initiative</w:t>
      </w:r>
      <w:bookmarkEnd w:id="2"/>
    </w:p>
    <w:p w14:paraId="7FDD39EB" w14:textId="77777777" w:rsidR="00220EB4" w:rsidRPr="00150ABA" w:rsidRDefault="00220EB4" w:rsidP="00220EB4">
      <w:pPr>
        <w:pStyle w:val="Text1"/>
        <w:pBdr>
          <w:top w:val="single" w:sz="4" w:space="1" w:color="auto"/>
          <w:left w:val="single" w:sz="4" w:space="4" w:color="auto"/>
          <w:bottom w:val="single" w:sz="4" w:space="1" w:color="auto"/>
          <w:right w:val="single" w:sz="4" w:space="4" w:color="auto"/>
        </w:pBdr>
        <w:rPr>
          <w:noProof/>
        </w:rPr>
      </w:pPr>
      <w:r w:rsidRPr="00150ABA">
        <w:rPr>
          <w:noProof/>
        </w:rPr>
        <w:t xml:space="preserve">Proposal for a Regulation of the European Parliament and the Council concerning the establishment of a collaboration platform to support the functioning of Joint Investigation Teams </w:t>
      </w:r>
    </w:p>
    <w:p w14:paraId="6503F62A" w14:textId="1108C672" w:rsidR="00A728BA" w:rsidRPr="00150ABA" w:rsidRDefault="00D76D82" w:rsidP="00D76D82">
      <w:pPr>
        <w:pStyle w:val="ManualHeading2"/>
        <w:rPr>
          <w:i/>
          <w:noProof/>
        </w:rPr>
      </w:pPr>
      <w:bookmarkStart w:id="3" w:name="_Toc85196945"/>
      <w:r w:rsidRPr="00D76D82">
        <w:t>1.2.</w:t>
      </w:r>
      <w:r w:rsidRPr="00D76D82">
        <w:tab/>
      </w:r>
      <w:r w:rsidR="00A728BA" w:rsidRPr="00150ABA">
        <w:rPr>
          <w:noProof/>
        </w:rPr>
        <w:t>Policy area(s) concerned</w:t>
      </w:r>
      <w:bookmarkEnd w:id="3"/>
      <w:r w:rsidR="00A728BA" w:rsidRPr="00150ABA">
        <w:rPr>
          <w:i/>
          <w:noProof/>
        </w:rPr>
        <w:t xml:space="preserve"> </w:t>
      </w:r>
    </w:p>
    <w:p w14:paraId="64078498" w14:textId="77777777" w:rsidR="00220EB4" w:rsidRPr="00150ABA" w:rsidRDefault="00220EB4" w:rsidP="00220EB4">
      <w:pPr>
        <w:pStyle w:val="Text1"/>
        <w:pBdr>
          <w:top w:val="single" w:sz="4" w:space="1" w:color="auto"/>
          <w:left w:val="single" w:sz="4" w:space="4" w:color="auto"/>
          <w:bottom w:val="single" w:sz="4" w:space="1" w:color="auto"/>
          <w:right w:val="single" w:sz="4" w:space="4" w:color="auto"/>
        </w:pBdr>
        <w:rPr>
          <w:noProof/>
        </w:rPr>
      </w:pPr>
      <w:r w:rsidRPr="00150ABA">
        <w:rPr>
          <w:noProof/>
        </w:rPr>
        <w:t>Policy area: Justice and consumers</w:t>
      </w:r>
    </w:p>
    <w:p w14:paraId="0F76A52C" w14:textId="77777777" w:rsidR="00220EB4" w:rsidRPr="00150ABA" w:rsidRDefault="00220EB4" w:rsidP="00220EB4">
      <w:pPr>
        <w:pStyle w:val="Text1"/>
        <w:pBdr>
          <w:top w:val="single" w:sz="4" w:space="1" w:color="auto"/>
          <w:left w:val="single" w:sz="4" w:space="4" w:color="auto"/>
          <w:bottom w:val="single" w:sz="4" w:space="1" w:color="auto"/>
          <w:right w:val="single" w:sz="4" w:space="4" w:color="auto"/>
        </w:pBdr>
        <w:rPr>
          <w:noProof/>
        </w:rPr>
      </w:pPr>
      <w:r w:rsidRPr="00150ABA">
        <w:rPr>
          <w:noProof/>
        </w:rPr>
        <w:t>Activity: Justice</w:t>
      </w:r>
    </w:p>
    <w:p w14:paraId="55AB3651" w14:textId="35B58DAC" w:rsidR="00A728BA" w:rsidRPr="00150ABA" w:rsidRDefault="00D76D82" w:rsidP="00D76D82">
      <w:pPr>
        <w:pStyle w:val="ManualHeading2"/>
        <w:rPr>
          <w:bCs/>
          <w:noProof/>
          <w:szCs w:val="24"/>
        </w:rPr>
      </w:pPr>
      <w:bookmarkStart w:id="4" w:name="_Toc85196946"/>
      <w:r w:rsidRPr="00D76D82">
        <w:t>1.3.</w:t>
      </w:r>
      <w:r w:rsidRPr="00D76D82">
        <w:tab/>
      </w:r>
      <w:r w:rsidR="00DD5AE5" w:rsidRPr="00150ABA">
        <w:rPr>
          <w:noProof/>
        </w:rPr>
        <w:t xml:space="preserve">The proposal </w:t>
      </w:r>
      <w:r w:rsidR="00A728BA" w:rsidRPr="00150ABA">
        <w:rPr>
          <w:noProof/>
        </w:rPr>
        <w:t>relates to:</w:t>
      </w:r>
      <w:bookmarkEnd w:id="4"/>
      <w:r w:rsidR="00A728BA" w:rsidRPr="00150ABA">
        <w:rPr>
          <w:noProof/>
        </w:rPr>
        <w:t xml:space="preserve"> </w:t>
      </w:r>
    </w:p>
    <w:p w14:paraId="244F9725" w14:textId="77777777" w:rsidR="00A728BA" w:rsidRPr="00150ABA" w:rsidRDefault="00220EB4" w:rsidP="006F6F3C">
      <w:pPr>
        <w:pStyle w:val="Text1"/>
        <w:rPr>
          <w:b/>
          <w:noProof/>
          <w:sz w:val="22"/>
        </w:rPr>
      </w:pPr>
      <w:r w:rsidRPr="00150ABA">
        <w:rPr>
          <w:noProof/>
          <w:sz w:val="22"/>
        </w:rPr>
        <w:sym w:font="Wingdings" w:char="F0FE"/>
      </w:r>
      <w:r w:rsidR="00A728BA" w:rsidRPr="00150ABA">
        <w:rPr>
          <w:b/>
          <w:i/>
          <w:noProof/>
          <w:sz w:val="22"/>
        </w:rPr>
        <w:t xml:space="preserve"> </w:t>
      </w:r>
      <w:r w:rsidR="00A728BA" w:rsidRPr="00150ABA">
        <w:rPr>
          <w:b/>
          <w:noProof/>
        </w:rPr>
        <w:t>a new action</w:t>
      </w:r>
      <w:r w:rsidR="00A728BA" w:rsidRPr="00150ABA">
        <w:rPr>
          <w:b/>
          <w:noProof/>
          <w:sz w:val="22"/>
        </w:rPr>
        <w:t xml:space="preserve"> </w:t>
      </w:r>
    </w:p>
    <w:p w14:paraId="1C66387E" w14:textId="77777777" w:rsidR="00A728BA" w:rsidRPr="00150ABA" w:rsidRDefault="00A728BA" w:rsidP="006F6F3C">
      <w:pPr>
        <w:pStyle w:val="Text1"/>
        <w:rPr>
          <w:noProof/>
          <w:sz w:val="22"/>
        </w:rPr>
      </w:pPr>
      <w:r w:rsidRPr="00150ABA">
        <w:rPr>
          <w:noProof/>
          <w:sz w:val="22"/>
        </w:rPr>
        <w:sym w:font="Wingdings" w:char="F0A8"/>
      </w:r>
      <w:r w:rsidRPr="00150ABA">
        <w:rPr>
          <w:i/>
          <w:noProof/>
          <w:sz w:val="22"/>
        </w:rPr>
        <w:t xml:space="preserve"> </w:t>
      </w:r>
      <w:r w:rsidRPr="00150ABA">
        <w:rPr>
          <w:b/>
          <w:noProof/>
        </w:rPr>
        <w:t>a new action following a pilot project/preparatory action</w:t>
      </w:r>
      <w:r w:rsidRPr="00150ABA">
        <w:rPr>
          <w:rStyle w:val="FootnoteReference"/>
          <w:b/>
          <w:noProof/>
        </w:rPr>
        <w:footnoteReference w:id="33"/>
      </w:r>
      <w:r w:rsidRPr="00150ABA">
        <w:rPr>
          <w:noProof/>
          <w:sz w:val="22"/>
        </w:rPr>
        <w:t xml:space="preserve"> </w:t>
      </w:r>
    </w:p>
    <w:p w14:paraId="1891E948" w14:textId="77777777" w:rsidR="00A728BA" w:rsidRPr="00150ABA" w:rsidRDefault="00A728BA" w:rsidP="006F6F3C">
      <w:pPr>
        <w:pStyle w:val="Text1"/>
        <w:rPr>
          <w:noProof/>
          <w:sz w:val="22"/>
        </w:rPr>
      </w:pPr>
      <w:r w:rsidRPr="00150ABA">
        <w:rPr>
          <w:noProof/>
          <w:sz w:val="22"/>
        </w:rPr>
        <w:sym w:font="Wingdings" w:char="F0A8"/>
      </w:r>
      <w:r w:rsidRPr="00150ABA">
        <w:rPr>
          <w:i/>
          <w:noProof/>
          <w:sz w:val="22"/>
        </w:rPr>
        <w:t xml:space="preserve"> </w:t>
      </w:r>
      <w:r w:rsidRPr="00150ABA">
        <w:rPr>
          <w:b/>
          <w:noProof/>
        </w:rPr>
        <w:t>the extension of an existing action</w:t>
      </w:r>
      <w:r w:rsidRPr="00150ABA">
        <w:rPr>
          <w:noProof/>
          <w:sz w:val="22"/>
        </w:rPr>
        <w:t xml:space="preserve"> </w:t>
      </w:r>
    </w:p>
    <w:p w14:paraId="30AF28C7" w14:textId="77777777" w:rsidR="00A728BA" w:rsidRPr="00150ABA" w:rsidRDefault="00A728BA" w:rsidP="006F6F3C">
      <w:pPr>
        <w:pStyle w:val="Text1"/>
        <w:rPr>
          <w:noProof/>
        </w:rPr>
      </w:pPr>
      <w:r w:rsidRPr="00150ABA">
        <w:rPr>
          <w:noProof/>
          <w:sz w:val="22"/>
        </w:rPr>
        <w:sym w:font="Wingdings" w:char="F0A8"/>
      </w:r>
      <w:r w:rsidRPr="00150ABA">
        <w:rPr>
          <w:i/>
          <w:noProof/>
          <w:sz w:val="22"/>
        </w:rPr>
        <w:t xml:space="preserve"> </w:t>
      </w:r>
      <w:r w:rsidRPr="00150ABA">
        <w:rPr>
          <w:b/>
          <w:noProof/>
        </w:rPr>
        <w:t>a merger or redirection of one or more actions towards another/a new action</w:t>
      </w:r>
      <w:r w:rsidRPr="00150ABA">
        <w:rPr>
          <w:noProof/>
        </w:rPr>
        <w:t xml:space="preserve"> </w:t>
      </w:r>
    </w:p>
    <w:p w14:paraId="4ABC27EB" w14:textId="7C50756B" w:rsidR="00A728BA" w:rsidRPr="00150ABA" w:rsidRDefault="00D76D82" w:rsidP="00D76D82">
      <w:pPr>
        <w:pStyle w:val="ManualHeading2"/>
        <w:rPr>
          <w:bCs/>
          <w:noProof/>
          <w:szCs w:val="24"/>
        </w:rPr>
      </w:pPr>
      <w:bookmarkStart w:id="5" w:name="_Toc85196947"/>
      <w:r w:rsidRPr="00D76D82">
        <w:t>1.4.</w:t>
      </w:r>
      <w:r w:rsidRPr="00D76D82">
        <w:tab/>
      </w:r>
      <w:r w:rsidR="00A728BA" w:rsidRPr="00150ABA">
        <w:rPr>
          <w:noProof/>
        </w:rPr>
        <w:t>Objective(s)</w:t>
      </w:r>
      <w:bookmarkEnd w:id="5"/>
    </w:p>
    <w:p w14:paraId="2F54431B" w14:textId="6D875839" w:rsidR="00A728BA" w:rsidRPr="00150ABA" w:rsidRDefault="00D76D82" w:rsidP="00D76D82">
      <w:pPr>
        <w:pStyle w:val="ManualHeading3"/>
        <w:rPr>
          <w:noProof/>
        </w:rPr>
      </w:pPr>
      <w:bookmarkStart w:id="6" w:name="_Toc85196948"/>
      <w:r w:rsidRPr="00D76D82">
        <w:t>1.4.1.</w:t>
      </w:r>
      <w:r w:rsidRPr="00D76D82">
        <w:tab/>
      </w:r>
      <w:r w:rsidR="00A728BA" w:rsidRPr="00150ABA">
        <w:rPr>
          <w:noProof/>
        </w:rPr>
        <w:t>General objective(s)</w:t>
      </w:r>
      <w:bookmarkEnd w:id="6"/>
    </w:p>
    <w:p w14:paraId="4E9F2964" w14:textId="279B8ED2" w:rsidR="00140823" w:rsidRPr="00150ABA" w:rsidRDefault="00140823" w:rsidP="00140823">
      <w:pPr>
        <w:pStyle w:val="Text1"/>
        <w:pBdr>
          <w:top w:val="single" w:sz="4" w:space="1" w:color="auto"/>
          <w:left w:val="single" w:sz="4" w:space="4" w:color="auto"/>
          <w:bottom w:val="single" w:sz="4" w:space="1" w:color="auto"/>
          <w:right w:val="single" w:sz="4" w:space="4" w:color="auto"/>
        </w:pBdr>
        <w:rPr>
          <w:noProof/>
        </w:rPr>
      </w:pPr>
      <w:r w:rsidRPr="00150ABA">
        <w:rPr>
          <w:noProof/>
        </w:rPr>
        <w:t xml:space="preserve">To provide technological support to </w:t>
      </w:r>
      <w:r w:rsidR="002C0D43" w:rsidRPr="00150ABA">
        <w:rPr>
          <w:noProof/>
        </w:rPr>
        <w:t xml:space="preserve">those involved in </w:t>
      </w:r>
      <w:r w:rsidRPr="00150ABA">
        <w:rPr>
          <w:noProof/>
        </w:rPr>
        <w:t xml:space="preserve">JITs to increase the efficiency and effectiveness of </w:t>
      </w:r>
      <w:r w:rsidR="002C0D43" w:rsidRPr="00150ABA">
        <w:rPr>
          <w:noProof/>
        </w:rPr>
        <w:t xml:space="preserve">their </w:t>
      </w:r>
      <w:r w:rsidRPr="00150ABA">
        <w:rPr>
          <w:noProof/>
        </w:rPr>
        <w:t>cross-border investigations and prosecutions.</w:t>
      </w:r>
    </w:p>
    <w:p w14:paraId="4B03BF37" w14:textId="1BB79978" w:rsidR="00A728BA" w:rsidRPr="00150ABA" w:rsidRDefault="00D76D82" w:rsidP="00D76D82">
      <w:pPr>
        <w:pStyle w:val="ManualHeading3"/>
        <w:rPr>
          <w:bCs/>
          <w:noProof/>
          <w:szCs w:val="24"/>
        </w:rPr>
      </w:pPr>
      <w:bookmarkStart w:id="7" w:name="_Toc85196949"/>
      <w:r w:rsidRPr="00D76D82">
        <w:t>1.4.2.</w:t>
      </w:r>
      <w:r w:rsidRPr="00D76D82">
        <w:tab/>
      </w:r>
      <w:r w:rsidR="00A728BA" w:rsidRPr="00150ABA">
        <w:rPr>
          <w:noProof/>
        </w:rPr>
        <w:t>Specific objective(s)</w:t>
      </w:r>
      <w:bookmarkEnd w:id="7"/>
    </w:p>
    <w:p w14:paraId="69CB6B4F" w14:textId="153F8D86" w:rsidR="00140823" w:rsidRPr="00150ABA" w:rsidRDefault="00140823" w:rsidP="00140823">
      <w:pPr>
        <w:pStyle w:val="Text1"/>
        <w:pBdr>
          <w:top w:val="single" w:sz="4" w:space="1" w:color="auto"/>
          <w:left w:val="single" w:sz="4" w:space="4" w:color="auto"/>
          <w:bottom w:val="single" w:sz="4" w:space="1" w:color="auto"/>
          <w:right w:val="single" w:sz="4" w:space="4" w:color="auto"/>
        </w:pBdr>
        <w:rPr>
          <w:noProof/>
        </w:rPr>
      </w:pPr>
      <w:r w:rsidRPr="00150ABA">
        <w:rPr>
          <w:noProof/>
        </w:rPr>
        <w:t xml:space="preserve">1. To ensure that the members </w:t>
      </w:r>
      <w:r w:rsidR="00C66019" w:rsidRPr="00150ABA">
        <w:rPr>
          <w:noProof/>
        </w:rPr>
        <w:t xml:space="preserve">and participants </w:t>
      </w:r>
      <w:r w:rsidRPr="00150ABA">
        <w:rPr>
          <w:noProof/>
        </w:rPr>
        <w:t>of JITs can more easily share information and evidence collected in the course of the JIT activities.</w:t>
      </w:r>
    </w:p>
    <w:p w14:paraId="3BE096BB" w14:textId="41A63A9F" w:rsidR="00140823" w:rsidRPr="00150ABA" w:rsidRDefault="00140823" w:rsidP="00140823">
      <w:pPr>
        <w:pStyle w:val="Text1"/>
        <w:pBdr>
          <w:top w:val="single" w:sz="4" w:space="1" w:color="auto"/>
          <w:left w:val="single" w:sz="4" w:space="4" w:color="auto"/>
          <w:bottom w:val="single" w:sz="4" w:space="1" w:color="auto"/>
          <w:right w:val="single" w:sz="4" w:space="4" w:color="auto"/>
        </w:pBdr>
        <w:rPr>
          <w:noProof/>
        </w:rPr>
      </w:pPr>
      <w:r w:rsidRPr="00150ABA">
        <w:rPr>
          <w:noProof/>
        </w:rPr>
        <w:t xml:space="preserve">2. To ensure that the members </w:t>
      </w:r>
      <w:r w:rsidR="00C66019" w:rsidRPr="00150ABA">
        <w:rPr>
          <w:noProof/>
        </w:rPr>
        <w:t xml:space="preserve">and participants </w:t>
      </w:r>
      <w:r w:rsidRPr="00150ABA">
        <w:rPr>
          <w:noProof/>
        </w:rPr>
        <w:t>of JITs can more easily and more safely communicate with each other in the context of the JIT activities.</w:t>
      </w:r>
    </w:p>
    <w:p w14:paraId="32036664" w14:textId="364B48B7" w:rsidR="00140823" w:rsidRPr="00150ABA" w:rsidRDefault="00140823" w:rsidP="00140823">
      <w:pPr>
        <w:pStyle w:val="Text1"/>
        <w:pBdr>
          <w:top w:val="single" w:sz="4" w:space="1" w:color="auto"/>
          <w:left w:val="single" w:sz="4" w:space="4" w:color="auto"/>
          <w:bottom w:val="single" w:sz="4" w:space="1" w:color="auto"/>
          <w:right w:val="single" w:sz="4" w:space="4" w:color="auto"/>
        </w:pBdr>
        <w:rPr>
          <w:noProof/>
        </w:rPr>
      </w:pPr>
      <w:r w:rsidRPr="00150ABA">
        <w:rPr>
          <w:noProof/>
        </w:rPr>
        <w:t xml:space="preserve">3. To facilitate the joint daily management of a JIT, including planning and coordination of parallel activities, enhanced traceability of exchanged evidence and coordination with third </w:t>
      </w:r>
      <w:r w:rsidR="00C66019" w:rsidRPr="00150ABA">
        <w:rPr>
          <w:noProof/>
        </w:rPr>
        <w:t xml:space="preserve">countries, </w:t>
      </w:r>
      <w:r w:rsidRPr="00150ABA">
        <w:rPr>
          <w:noProof/>
        </w:rPr>
        <w:t>especially where physical meetings are too expansive or time consuming.</w:t>
      </w:r>
    </w:p>
    <w:p w14:paraId="477BD7BB" w14:textId="426444FE" w:rsidR="00140823" w:rsidRPr="00150ABA" w:rsidRDefault="00D76D82" w:rsidP="00D76D82">
      <w:pPr>
        <w:pStyle w:val="ManualHeading3"/>
        <w:rPr>
          <w:bCs/>
          <w:noProof/>
          <w:szCs w:val="24"/>
        </w:rPr>
      </w:pPr>
      <w:bookmarkStart w:id="8" w:name="_Toc85196950"/>
      <w:r w:rsidRPr="00D76D82">
        <w:t>1.4.3.</w:t>
      </w:r>
      <w:r w:rsidRPr="00D76D82">
        <w:tab/>
      </w:r>
      <w:r w:rsidR="00140823" w:rsidRPr="00150ABA">
        <w:rPr>
          <w:noProof/>
        </w:rPr>
        <w:t>Expected result(s) and impact</w:t>
      </w:r>
      <w:bookmarkEnd w:id="8"/>
      <w:r w:rsidR="00140823" w:rsidRPr="00150ABA">
        <w:rPr>
          <w:noProof/>
        </w:rPr>
        <w:t xml:space="preserve"> </w:t>
      </w:r>
    </w:p>
    <w:p w14:paraId="750FECC2" w14:textId="77777777" w:rsidR="00A728BA" w:rsidRPr="00150ABA" w:rsidRDefault="00A728BA" w:rsidP="006F6F3C">
      <w:pPr>
        <w:pStyle w:val="Text1"/>
        <w:rPr>
          <w:i/>
          <w:noProof/>
          <w:sz w:val="20"/>
        </w:rPr>
      </w:pPr>
      <w:r w:rsidRPr="00150ABA">
        <w:rPr>
          <w:i/>
          <w:noProof/>
          <w:sz w:val="20"/>
        </w:rPr>
        <w:t>Specify the effects which the proposal/initiative should have on the beneficiaries/groups targeted.</w:t>
      </w:r>
    </w:p>
    <w:p w14:paraId="7EFAC7C8" w14:textId="77777777" w:rsidR="00140823" w:rsidRPr="00150ABA" w:rsidRDefault="00140823" w:rsidP="00140823">
      <w:pPr>
        <w:pStyle w:val="Text1"/>
        <w:pBdr>
          <w:top w:val="single" w:sz="4" w:space="1" w:color="auto"/>
          <w:left w:val="single" w:sz="4" w:space="4" w:color="auto"/>
          <w:bottom w:val="single" w:sz="4" w:space="1" w:color="auto"/>
          <w:right w:val="single" w:sz="4" w:space="4" w:color="auto"/>
        </w:pBdr>
        <w:rPr>
          <w:noProof/>
        </w:rPr>
      </w:pPr>
      <w:r w:rsidRPr="00150ABA">
        <w:rPr>
          <w:noProof/>
        </w:rPr>
        <w:t>The initiative is expected to increase the efficiency and effectiveness of cross-border investigations and prosecutions conducted by JITs.</w:t>
      </w:r>
    </w:p>
    <w:p w14:paraId="75CF46DA" w14:textId="65247332" w:rsidR="00A728BA" w:rsidRPr="00150ABA" w:rsidRDefault="00D76D82" w:rsidP="00D76D82">
      <w:pPr>
        <w:pStyle w:val="ManualHeading3"/>
        <w:rPr>
          <w:noProof/>
          <w:szCs w:val="24"/>
        </w:rPr>
      </w:pPr>
      <w:bookmarkStart w:id="9" w:name="_Toc85196951"/>
      <w:r w:rsidRPr="00D76D82">
        <w:t>1.4.4.</w:t>
      </w:r>
      <w:r w:rsidRPr="00D76D82">
        <w:tab/>
      </w:r>
      <w:r w:rsidR="00A728BA" w:rsidRPr="00150ABA">
        <w:rPr>
          <w:noProof/>
        </w:rPr>
        <w:t>Indicators of performance</w:t>
      </w:r>
      <w:bookmarkEnd w:id="9"/>
    </w:p>
    <w:p w14:paraId="2BDE1B7F" w14:textId="77777777" w:rsidR="00A728BA" w:rsidRPr="00150ABA" w:rsidRDefault="00A728BA" w:rsidP="006F6F3C">
      <w:pPr>
        <w:pStyle w:val="Text1"/>
        <w:rPr>
          <w:i/>
          <w:noProof/>
          <w:sz w:val="20"/>
        </w:rPr>
      </w:pPr>
      <w:r w:rsidRPr="00150ABA">
        <w:rPr>
          <w:i/>
          <w:noProof/>
          <w:sz w:val="20"/>
        </w:rPr>
        <w:t>Specify the indicators for monitoring progress and achievements.</w:t>
      </w:r>
    </w:p>
    <w:p w14:paraId="02D1AC2F" w14:textId="77777777" w:rsidR="00140823" w:rsidRPr="00150ABA" w:rsidRDefault="00140823" w:rsidP="00CA2C7C">
      <w:pPr>
        <w:pStyle w:val="Tiret1"/>
        <w:numPr>
          <w:ilvl w:val="0"/>
          <w:numId w:val="23"/>
        </w:numPr>
        <w:pBdr>
          <w:top w:val="single" w:sz="4" w:space="1" w:color="auto"/>
          <w:left w:val="single" w:sz="4" w:space="4" w:color="auto"/>
          <w:bottom w:val="single" w:sz="4" w:space="1" w:color="auto"/>
          <w:right w:val="single" w:sz="4" w:space="4" w:color="auto"/>
        </w:pBdr>
        <w:rPr>
          <w:noProof/>
        </w:rPr>
      </w:pPr>
      <w:r w:rsidRPr="00150ABA">
        <w:rPr>
          <w:noProof/>
        </w:rPr>
        <w:t>Number of JITs registered in the platform every year</w:t>
      </w:r>
    </w:p>
    <w:p w14:paraId="40C740C5" w14:textId="77777777" w:rsidR="00140823" w:rsidRPr="00150ABA" w:rsidRDefault="00140823" w:rsidP="00420CBA">
      <w:pPr>
        <w:pStyle w:val="Tiret1"/>
        <w:pBdr>
          <w:top w:val="single" w:sz="4" w:space="1" w:color="auto"/>
          <w:left w:val="single" w:sz="4" w:space="4" w:color="auto"/>
          <w:bottom w:val="single" w:sz="4" w:space="1" w:color="auto"/>
          <w:right w:val="single" w:sz="4" w:space="4" w:color="auto"/>
        </w:pBdr>
        <w:rPr>
          <w:noProof/>
        </w:rPr>
      </w:pPr>
      <w:r w:rsidRPr="00150ABA">
        <w:rPr>
          <w:noProof/>
        </w:rPr>
        <w:t>Average duration of a JIT hosted in the platform</w:t>
      </w:r>
    </w:p>
    <w:p w14:paraId="370C9A2A" w14:textId="7E3F284B" w:rsidR="00140823" w:rsidRPr="00150ABA" w:rsidRDefault="00140823" w:rsidP="00420CBA">
      <w:pPr>
        <w:pStyle w:val="Tiret1"/>
        <w:pBdr>
          <w:top w:val="single" w:sz="4" w:space="1" w:color="auto"/>
          <w:left w:val="single" w:sz="4" w:space="4" w:color="auto"/>
          <w:bottom w:val="single" w:sz="4" w:space="1" w:color="auto"/>
          <w:right w:val="single" w:sz="4" w:space="4" w:color="auto"/>
        </w:pBdr>
        <w:rPr>
          <w:noProof/>
        </w:rPr>
      </w:pPr>
      <w:r w:rsidRPr="00150ABA">
        <w:rPr>
          <w:noProof/>
        </w:rPr>
        <w:t>Number of JIT</w:t>
      </w:r>
      <w:r w:rsidR="00984BBF" w:rsidRPr="00150ABA">
        <w:rPr>
          <w:noProof/>
        </w:rPr>
        <w:t>s</w:t>
      </w:r>
      <w:r w:rsidRPr="00150ABA">
        <w:rPr>
          <w:noProof/>
        </w:rPr>
        <w:t xml:space="preserve"> collaboration platform users</w:t>
      </w:r>
    </w:p>
    <w:p w14:paraId="79830A81" w14:textId="5FC94A6F" w:rsidR="00140823" w:rsidRPr="00150ABA" w:rsidRDefault="00140823" w:rsidP="00420CBA">
      <w:pPr>
        <w:pStyle w:val="Tiret1"/>
        <w:pBdr>
          <w:top w:val="single" w:sz="4" w:space="1" w:color="auto"/>
          <w:left w:val="single" w:sz="4" w:space="4" w:color="auto"/>
          <w:bottom w:val="single" w:sz="4" w:space="1" w:color="auto"/>
          <w:right w:val="single" w:sz="4" w:space="4" w:color="auto"/>
        </w:pBdr>
        <w:rPr>
          <w:noProof/>
        </w:rPr>
      </w:pPr>
      <w:r w:rsidRPr="00150ABA">
        <w:rPr>
          <w:noProof/>
        </w:rPr>
        <w:t>Number of JIT</w:t>
      </w:r>
      <w:r w:rsidR="00984BBF" w:rsidRPr="00150ABA">
        <w:rPr>
          <w:noProof/>
        </w:rPr>
        <w:t>s</w:t>
      </w:r>
      <w:r w:rsidRPr="00150ABA">
        <w:rPr>
          <w:noProof/>
        </w:rPr>
        <w:t xml:space="preserve"> collaboration platform users representing third </w:t>
      </w:r>
      <w:r w:rsidR="00C66019" w:rsidRPr="00150ABA">
        <w:rPr>
          <w:noProof/>
        </w:rPr>
        <w:t>countries</w:t>
      </w:r>
    </w:p>
    <w:p w14:paraId="5A42CD4B" w14:textId="1CCEA0F0" w:rsidR="00C66019" w:rsidRPr="00150ABA" w:rsidRDefault="00C66019" w:rsidP="00420CBA">
      <w:pPr>
        <w:pStyle w:val="Tiret1"/>
        <w:pBdr>
          <w:top w:val="single" w:sz="4" w:space="1" w:color="auto"/>
          <w:left w:val="single" w:sz="4" w:space="4" w:color="auto"/>
          <w:bottom w:val="single" w:sz="4" w:space="1" w:color="auto"/>
          <w:right w:val="single" w:sz="4" w:space="4" w:color="auto"/>
        </w:pBdr>
        <w:rPr>
          <w:noProof/>
        </w:rPr>
      </w:pPr>
      <w:r w:rsidRPr="00150ABA">
        <w:rPr>
          <w:noProof/>
        </w:rPr>
        <w:t>Number of JITs collaboration users representing the competent Union bodies, offices and agencies</w:t>
      </w:r>
    </w:p>
    <w:p w14:paraId="3337017B" w14:textId="77777777" w:rsidR="00140823" w:rsidRPr="00150ABA" w:rsidRDefault="00140823" w:rsidP="00420CBA">
      <w:pPr>
        <w:pStyle w:val="Tiret1"/>
        <w:pBdr>
          <w:top w:val="single" w:sz="4" w:space="1" w:color="auto"/>
          <w:left w:val="single" w:sz="4" w:space="4" w:color="auto"/>
          <w:bottom w:val="single" w:sz="4" w:space="1" w:color="auto"/>
          <w:right w:val="single" w:sz="4" w:space="4" w:color="auto"/>
        </w:pBdr>
        <w:rPr>
          <w:noProof/>
        </w:rPr>
      </w:pPr>
      <w:r w:rsidRPr="00150ABA">
        <w:rPr>
          <w:noProof/>
        </w:rPr>
        <w:t>Number of JIT evaluations carried out through the platform</w:t>
      </w:r>
    </w:p>
    <w:p w14:paraId="6040A705" w14:textId="77777777" w:rsidR="00140823" w:rsidRPr="00150ABA" w:rsidRDefault="00140823" w:rsidP="00420CBA">
      <w:pPr>
        <w:pStyle w:val="Tiret1"/>
        <w:pBdr>
          <w:top w:val="single" w:sz="4" w:space="1" w:color="auto"/>
          <w:left w:val="single" w:sz="4" w:space="4" w:color="auto"/>
          <w:bottom w:val="single" w:sz="4" w:space="1" w:color="auto"/>
          <w:right w:val="single" w:sz="4" w:space="4" w:color="auto"/>
        </w:pBdr>
        <w:rPr>
          <w:noProof/>
        </w:rPr>
      </w:pPr>
      <w:r w:rsidRPr="00150ABA">
        <w:rPr>
          <w:noProof/>
        </w:rPr>
        <w:t>Number of visits to the centralised information system</w:t>
      </w:r>
    </w:p>
    <w:p w14:paraId="2B5454C4" w14:textId="77777777" w:rsidR="00A728BA" w:rsidRPr="00150ABA" w:rsidRDefault="00140823" w:rsidP="00420CBA">
      <w:pPr>
        <w:pStyle w:val="Tiret1"/>
        <w:pBdr>
          <w:top w:val="single" w:sz="4" w:space="1" w:color="auto"/>
          <w:left w:val="single" w:sz="4" w:space="4" w:color="auto"/>
          <w:bottom w:val="single" w:sz="4" w:space="1" w:color="auto"/>
          <w:right w:val="single" w:sz="4" w:space="4" w:color="auto"/>
        </w:pBdr>
        <w:rPr>
          <w:noProof/>
        </w:rPr>
      </w:pPr>
      <w:r w:rsidRPr="00150ABA">
        <w:rPr>
          <w:noProof/>
        </w:rPr>
        <w:t>Number of downloads of the communication software</w:t>
      </w:r>
    </w:p>
    <w:p w14:paraId="5D44B6E6" w14:textId="2EE01222" w:rsidR="00A728BA" w:rsidRPr="00150ABA" w:rsidRDefault="00D76D82" w:rsidP="00D76D82">
      <w:pPr>
        <w:pStyle w:val="ManualHeading2"/>
        <w:rPr>
          <w:bCs/>
          <w:noProof/>
          <w:szCs w:val="24"/>
        </w:rPr>
      </w:pPr>
      <w:bookmarkStart w:id="10" w:name="_Toc85196952"/>
      <w:r w:rsidRPr="00D76D82">
        <w:t>1.5.</w:t>
      </w:r>
      <w:r w:rsidRPr="00D76D82">
        <w:tab/>
      </w:r>
      <w:r w:rsidR="00A728BA" w:rsidRPr="00150ABA">
        <w:rPr>
          <w:noProof/>
        </w:rPr>
        <w:t>Grounds for the proposal/initiative</w:t>
      </w:r>
      <w:bookmarkEnd w:id="10"/>
      <w:r w:rsidR="00A728BA" w:rsidRPr="00150ABA">
        <w:rPr>
          <w:noProof/>
        </w:rPr>
        <w:t xml:space="preserve"> </w:t>
      </w:r>
    </w:p>
    <w:p w14:paraId="30296B46" w14:textId="75B15393" w:rsidR="00A728BA" w:rsidRPr="00150ABA" w:rsidRDefault="00D76D82" w:rsidP="00D76D82">
      <w:pPr>
        <w:pStyle w:val="ManualHeading3"/>
        <w:rPr>
          <w:noProof/>
        </w:rPr>
      </w:pPr>
      <w:bookmarkStart w:id="11" w:name="_Toc85196953"/>
      <w:r w:rsidRPr="00D76D82">
        <w:t>1.5.1.</w:t>
      </w:r>
      <w:r w:rsidRPr="00D76D82">
        <w:tab/>
      </w:r>
      <w:r w:rsidR="00A728BA" w:rsidRPr="00150ABA">
        <w:rPr>
          <w:noProof/>
        </w:rPr>
        <w:t>Requirement(s) to be met in the short or long term including a detailed timeline for roll-out of the implementation of the initiative</w:t>
      </w:r>
      <w:bookmarkEnd w:id="11"/>
    </w:p>
    <w:p w14:paraId="40052E7A" w14:textId="5785090B" w:rsidR="00140823" w:rsidRPr="00150ABA" w:rsidRDefault="00140823" w:rsidP="00420CBA">
      <w:pPr>
        <w:pStyle w:val="Text1"/>
        <w:pBdr>
          <w:top w:val="single" w:sz="4" w:space="1" w:color="auto"/>
          <w:left w:val="single" w:sz="4" w:space="4" w:color="auto"/>
          <w:bottom w:val="single" w:sz="4" w:space="1" w:color="auto"/>
          <w:right w:val="single" w:sz="4" w:space="4" w:color="auto"/>
        </w:pBdr>
        <w:rPr>
          <w:noProof/>
        </w:rPr>
      </w:pPr>
      <w:r w:rsidRPr="00150ABA">
        <w:rPr>
          <w:noProof/>
        </w:rPr>
        <w:t xml:space="preserve">The main requirements following entry into force of the </w:t>
      </w:r>
      <w:r w:rsidR="009D79B9" w:rsidRPr="00150ABA">
        <w:rPr>
          <w:noProof/>
        </w:rPr>
        <w:t xml:space="preserve">Regulation </w:t>
      </w:r>
      <w:r w:rsidRPr="00150ABA">
        <w:rPr>
          <w:noProof/>
        </w:rPr>
        <w:t>are as follows:</w:t>
      </w:r>
    </w:p>
    <w:p w14:paraId="21D4D431" w14:textId="77777777" w:rsidR="00140823" w:rsidRPr="00150ABA" w:rsidRDefault="00140823" w:rsidP="00420CBA">
      <w:pPr>
        <w:pStyle w:val="Tiret1"/>
        <w:pBdr>
          <w:top w:val="single" w:sz="4" w:space="1" w:color="auto"/>
          <w:left w:val="single" w:sz="4" w:space="4" w:color="auto"/>
          <w:bottom w:val="single" w:sz="4" w:space="1" w:color="auto"/>
          <w:right w:val="single" w:sz="4" w:space="4" w:color="auto"/>
        </w:pBdr>
        <w:rPr>
          <w:noProof/>
        </w:rPr>
      </w:pPr>
      <w:r w:rsidRPr="00150ABA">
        <w:rPr>
          <w:noProof/>
        </w:rPr>
        <w:t>Requirements gathering and procurement initiation by eu-LISA – in 2024</w:t>
      </w:r>
    </w:p>
    <w:p w14:paraId="7CDD156B" w14:textId="77777777" w:rsidR="00140823" w:rsidRPr="00150ABA" w:rsidRDefault="00140823" w:rsidP="00420CBA">
      <w:pPr>
        <w:pStyle w:val="Tiret1"/>
        <w:pBdr>
          <w:top w:val="single" w:sz="4" w:space="1" w:color="auto"/>
          <w:left w:val="single" w:sz="4" w:space="4" w:color="auto"/>
          <w:bottom w:val="single" w:sz="4" w:space="1" w:color="auto"/>
          <w:right w:val="single" w:sz="4" w:space="4" w:color="auto"/>
        </w:pBdr>
        <w:rPr>
          <w:noProof/>
        </w:rPr>
      </w:pPr>
      <w:r w:rsidRPr="00150ABA">
        <w:rPr>
          <w:noProof/>
        </w:rPr>
        <w:t>Kick-off of the JITs collaboration platform’s implementation by eu-LISA – in 2025</w:t>
      </w:r>
    </w:p>
    <w:p w14:paraId="488B9DDC" w14:textId="77777777" w:rsidR="00140823" w:rsidRPr="00150ABA" w:rsidRDefault="00140823" w:rsidP="00420CBA">
      <w:pPr>
        <w:pStyle w:val="Tiret1"/>
        <w:pBdr>
          <w:top w:val="single" w:sz="4" w:space="1" w:color="auto"/>
          <w:left w:val="single" w:sz="4" w:space="4" w:color="auto"/>
          <w:bottom w:val="single" w:sz="4" w:space="1" w:color="auto"/>
          <w:right w:val="single" w:sz="4" w:space="4" w:color="auto"/>
        </w:pBdr>
        <w:rPr>
          <w:noProof/>
        </w:rPr>
      </w:pPr>
      <w:r w:rsidRPr="00150ABA">
        <w:rPr>
          <w:noProof/>
        </w:rPr>
        <w:t>Going live of the JITs collaboration platform – 01/2026</w:t>
      </w:r>
    </w:p>
    <w:p w14:paraId="2F33E1A8" w14:textId="03A3D3F8" w:rsidR="00140823" w:rsidRPr="00150ABA" w:rsidRDefault="00140823" w:rsidP="00420CBA">
      <w:pPr>
        <w:pStyle w:val="Tiret1"/>
        <w:pBdr>
          <w:top w:val="single" w:sz="4" w:space="1" w:color="auto"/>
          <w:left w:val="single" w:sz="4" w:space="4" w:color="auto"/>
          <w:bottom w:val="single" w:sz="4" w:space="1" w:color="auto"/>
          <w:right w:val="single" w:sz="4" w:space="4" w:color="auto"/>
        </w:pBdr>
        <w:rPr>
          <w:noProof/>
        </w:rPr>
      </w:pPr>
      <w:r w:rsidRPr="00150ABA">
        <w:rPr>
          <w:noProof/>
        </w:rPr>
        <w:t xml:space="preserve">Maintenance and operation of the </w:t>
      </w:r>
      <w:r w:rsidR="009D79B9" w:rsidRPr="00150ABA">
        <w:rPr>
          <w:noProof/>
        </w:rPr>
        <w:t xml:space="preserve">JITs collaboration platform </w:t>
      </w:r>
      <w:r w:rsidRPr="00150ABA">
        <w:rPr>
          <w:noProof/>
        </w:rPr>
        <w:t xml:space="preserve">– </w:t>
      </w:r>
      <w:r w:rsidR="009D79B9" w:rsidRPr="00150ABA">
        <w:rPr>
          <w:noProof/>
        </w:rPr>
        <w:t xml:space="preserve">from </w:t>
      </w:r>
      <w:r w:rsidRPr="00150ABA">
        <w:rPr>
          <w:noProof/>
        </w:rPr>
        <w:t>01/2026 onwards</w:t>
      </w:r>
    </w:p>
    <w:p w14:paraId="7464B09C" w14:textId="49379DE6" w:rsidR="00A728BA" w:rsidRPr="00150ABA" w:rsidRDefault="00D76D82" w:rsidP="00D76D82">
      <w:pPr>
        <w:pStyle w:val="ManualHeading3"/>
        <w:rPr>
          <w:bCs/>
          <w:noProof/>
          <w:szCs w:val="24"/>
        </w:rPr>
      </w:pPr>
      <w:bookmarkStart w:id="12" w:name="_Toc85196954"/>
      <w:r w:rsidRPr="00D76D82">
        <w:t>1.5.2.</w:t>
      </w:r>
      <w:r w:rsidRPr="00D76D82">
        <w:tab/>
      </w:r>
      <w:r w:rsidR="00A728BA" w:rsidRPr="00150ABA">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12"/>
    </w:p>
    <w:p w14:paraId="55D854EB" w14:textId="72D087C2" w:rsidR="00140823" w:rsidRPr="00150ABA" w:rsidRDefault="00140823" w:rsidP="00140823">
      <w:pPr>
        <w:pStyle w:val="Text1"/>
        <w:pBdr>
          <w:top w:val="single" w:sz="4" w:space="1" w:color="auto"/>
          <w:left w:val="single" w:sz="4" w:space="4" w:color="auto"/>
          <w:bottom w:val="single" w:sz="4" w:space="1" w:color="auto"/>
          <w:right w:val="single" w:sz="4" w:space="4" w:color="auto"/>
        </w:pBdr>
        <w:rPr>
          <w:noProof/>
        </w:rPr>
      </w:pPr>
      <w:r w:rsidRPr="00150ABA">
        <w:rPr>
          <w:noProof/>
        </w:rPr>
        <w:t>The creation of a standardised and homogenous IT platform to support JITs, allowing the Member States to make use of a technology solution that does not depend on the national IT infrastructure, can neither be achieved unilaterally at Member State level nor bilaterally between the Member States. The Union</w:t>
      </w:r>
      <w:r w:rsidR="00830C1A" w:rsidRPr="00150ABA">
        <w:rPr>
          <w:noProof/>
        </w:rPr>
        <w:t xml:space="preserve"> </w:t>
      </w:r>
      <w:r w:rsidRPr="00150ABA">
        <w:rPr>
          <w:noProof/>
        </w:rPr>
        <w:t xml:space="preserve">wide platform is the only way to provide JITs with a unified modern technical solution, which would allow them to carry out their cross-border investigations in a more efficient manner. </w:t>
      </w:r>
    </w:p>
    <w:p w14:paraId="673EAC23" w14:textId="41508629" w:rsidR="00A728BA" w:rsidRPr="00150ABA" w:rsidRDefault="00D76D82" w:rsidP="00D76D82">
      <w:pPr>
        <w:pStyle w:val="ManualHeading3"/>
        <w:rPr>
          <w:noProof/>
        </w:rPr>
      </w:pPr>
      <w:bookmarkStart w:id="13" w:name="_Toc85196955"/>
      <w:r w:rsidRPr="00D76D82">
        <w:t>1.5.3.</w:t>
      </w:r>
      <w:r w:rsidRPr="00D76D82">
        <w:tab/>
      </w:r>
      <w:r w:rsidR="00A728BA" w:rsidRPr="00150ABA">
        <w:rPr>
          <w:noProof/>
        </w:rPr>
        <w:t>Lessons learned from similar experiences in the past</w:t>
      </w:r>
      <w:bookmarkEnd w:id="13"/>
    </w:p>
    <w:p w14:paraId="6A5EA2B7" w14:textId="04222E3A" w:rsidR="00A728BA" w:rsidRPr="00150ABA" w:rsidRDefault="00140823" w:rsidP="00140823">
      <w:pPr>
        <w:pStyle w:val="Text1"/>
        <w:pBdr>
          <w:top w:val="single" w:sz="4" w:space="1" w:color="auto"/>
          <w:left w:val="single" w:sz="4" w:space="4" w:color="auto"/>
          <w:bottom w:val="single" w:sz="4" w:space="1" w:color="auto"/>
          <w:right w:val="single" w:sz="4" w:space="4" w:color="auto"/>
        </w:pBdr>
        <w:rPr>
          <w:noProof/>
        </w:rPr>
      </w:pPr>
      <w:r w:rsidRPr="00150ABA">
        <w:rPr>
          <w:noProof/>
        </w:rPr>
        <w:t>There has been no similar projects pertaining to provision of technological support for JITs.</w:t>
      </w:r>
    </w:p>
    <w:p w14:paraId="4B9524D1" w14:textId="5B03F165" w:rsidR="00A728BA" w:rsidRPr="00150ABA" w:rsidRDefault="00D76D82" w:rsidP="00D76D82">
      <w:pPr>
        <w:pStyle w:val="ManualHeading3"/>
        <w:rPr>
          <w:noProof/>
        </w:rPr>
      </w:pPr>
      <w:bookmarkStart w:id="14" w:name="_Toc85196956"/>
      <w:r w:rsidRPr="00D76D82">
        <w:t>1.5.4.</w:t>
      </w:r>
      <w:r w:rsidRPr="00D76D82">
        <w:tab/>
      </w:r>
      <w:r w:rsidR="00A728BA" w:rsidRPr="00150ABA">
        <w:rPr>
          <w:noProof/>
        </w:rPr>
        <w:t>Compatibility with the Multiannual Financial Framework and possible synergies with other appropriate instruments</w:t>
      </w:r>
      <w:bookmarkEnd w:id="14"/>
    </w:p>
    <w:p w14:paraId="33B233B4" w14:textId="77777777" w:rsidR="00140823" w:rsidRPr="00150ABA" w:rsidRDefault="00140823" w:rsidP="00140823">
      <w:pPr>
        <w:pStyle w:val="Text1"/>
        <w:pBdr>
          <w:top w:val="single" w:sz="4" w:space="1" w:color="auto"/>
          <w:left w:val="single" w:sz="4" w:space="4" w:color="auto"/>
          <w:bottom w:val="single" w:sz="4" w:space="1" w:color="auto"/>
          <w:right w:val="single" w:sz="4" w:space="4" w:color="auto"/>
        </w:pBdr>
        <w:rPr>
          <w:noProof/>
        </w:rPr>
      </w:pPr>
      <w:r w:rsidRPr="00150ABA">
        <w:rPr>
          <w:noProof/>
        </w:rPr>
        <w:t xml:space="preserve">The reinforcement of cross-border criminal investigations and prosecutions carried out by JITs is a crucial part of creating an area of freedom, security and justice. </w:t>
      </w:r>
    </w:p>
    <w:p w14:paraId="567648B2" w14:textId="06A2F675" w:rsidR="00140823" w:rsidRPr="00150ABA" w:rsidRDefault="00140823" w:rsidP="00140823">
      <w:pPr>
        <w:pStyle w:val="Text1"/>
        <w:pBdr>
          <w:top w:val="single" w:sz="4" w:space="1" w:color="auto"/>
          <w:left w:val="single" w:sz="4" w:space="4" w:color="auto"/>
          <w:bottom w:val="single" w:sz="4" w:space="1" w:color="auto"/>
          <w:right w:val="single" w:sz="4" w:space="4" w:color="auto"/>
        </w:pBdr>
        <w:rPr>
          <w:noProof/>
        </w:rPr>
      </w:pPr>
      <w:r w:rsidRPr="00150ABA">
        <w:rPr>
          <w:noProof/>
        </w:rPr>
        <w:t xml:space="preserve">It is also in line with the EU Security Union </w:t>
      </w:r>
      <w:r w:rsidR="00830C1A" w:rsidRPr="00150ABA">
        <w:rPr>
          <w:noProof/>
        </w:rPr>
        <w:t>s</w:t>
      </w:r>
      <w:r w:rsidRPr="00150ABA">
        <w:rPr>
          <w:noProof/>
        </w:rPr>
        <w:t xml:space="preserve">trategy, the </w:t>
      </w:r>
      <w:r w:rsidR="00830C1A" w:rsidRPr="00150ABA">
        <w:rPr>
          <w:noProof/>
        </w:rPr>
        <w:t>c</w:t>
      </w:r>
      <w:r w:rsidRPr="00150ABA">
        <w:rPr>
          <w:noProof/>
        </w:rPr>
        <w:t>ounter-</w:t>
      </w:r>
      <w:r w:rsidR="00830C1A" w:rsidRPr="00150ABA">
        <w:rPr>
          <w:noProof/>
        </w:rPr>
        <w:t>t</w:t>
      </w:r>
      <w:r w:rsidRPr="00150ABA">
        <w:rPr>
          <w:noProof/>
        </w:rPr>
        <w:t xml:space="preserve">errorism </w:t>
      </w:r>
      <w:r w:rsidR="00830C1A" w:rsidRPr="00150ABA">
        <w:rPr>
          <w:noProof/>
        </w:rPr>
        <w:t>a</w:t>
      </w:r>
      <w:r w:rsidRPr="00150ABA">
        <w:rPr>
          <w:noProof/>
        </w:rPr>
        <w:t xml:space="preserve">genda for the EU, the Communication on the </w:t>
      </w:r>
      <w:r w:rsidR="00830C1A" w:rsidRPr="00150ABA">
        <w:rPr>
          <w:noProof/>
        </w:rPr>
        <w:t>d</w:t>
      </w:r>
      <w:r w:rsidRPr="00150ABA">
        <w:rPr>
          <w:noProof/>
        </w:rPr>
        <w:t xml:space="preserve">igitalisation of </w:t>
      </w:r>
      <w:r w:rsidR="00830C1A" w:rsidRPr="00150ABA">
        <w:rPr>
          <w:noProof/>
        </w:rPr>
        <w:t>j</w:t>
      </w:r>
      <w:r w:rsidRPr="00150ABA">
        <w:rPr>
          <w:noProof/>
        </w:rPr>
        <w:t xml:space="preserve">ustice and the EU </w:t>
      </w:r>
      <w:r w:rsidR="00830C1A" w:rsidRPr="00150ABA">
        <w:rPr>
          <w:noProof/>
        </w:rPr>
        <w:t>s</w:t>
      </w:r>
      <w:r w:rsidRPr="00150ABA">
        <w:rPr>
          <w:noProof/>
        </w:rPr>
        <w:t xml:space="preserve">trategy to tackle </w:t>
      </w:r>
      <w:r w:rsidR="00830C1A" w:rsidRPr="00150ABA">
        <w:rPr>
          <w:noProof/>
        </w:rPr>
        <w:t>o</w:t>
      </w:r>
      <w:r w:rsidRPr="00150ABA">
        <w:rPr>
          <w:noProof/>
        </w:rPr>
        <w:t xml:space="preserve">rganised </w:t>
      </w:r>
      <w:r w:rsidR="00830C1A" w:rsidRPr="00150ABA">
        <w:rPr>
          <w:noProof/>
        </w:rPr>
        <w:t>c</w:t>
      </w:r>
      <w:r w:rsidRPr="00150ABA">
        <w:rPr>
          <w:noProof/>
        </w:rPr>
        <w:t xml:space="preserve">rime. </w:t>
      </w:r>
    </w:p>
    <w:p w14:paraId="12CFB95F" w14:textId="7D49ADBF" w:rsidR="00140823" w:rsidRPr="00150ABA" w:rsidRDefault="00140823" w:rsidP="00140823">
      <w:pPr>
        <w:pStyle w:val="Text1"/>
        <w:pBdr>
          <w:top w:val="single" w:sz="4" w:space="1" w:color="auto"/>
          <w:left w:val="single" w:sz="4" w:space="4" w:color="auto"/>
          <w:bottom w:val="single" w:sz="4" w:space="1" w:color="auto"/>
          <w:right w:val="single" w:sz="4" w:space="4" w:color="auto"/>
        </w:pBdr>
        <w:rPr>
          <w:noProof/>
        </w:rPr>
      </w:pPr>
      <w:r w:rsidRPr="00150ABA">
        <w:rPr>
          <w:noProof/>
        </w:rPr>
        <w:t>The Commission</w:t>
      </w:r>
      <w:r w:rsidR="00830C1A" w:rsidRPr="00150ABA">
        <w:rPr>
          <w:noProof/>
        </w:rPr>
        <w:t>’s</w:t>
      </w:r>
      <w:r w:rsidRPr="00150ABA">
        <w:rPr>
          <w:noProof/>
        </w:rPr>
        <w:t xml:space="preserve"> Communication on </w:t>
      </w:r>
      <w:r w:rsidR="00830C1A" w:rsidRPr="00150ABA">
        <w:rPr>
          <w:noProof/>
        </w:rPr>
        <w:t>d</w:t>
      </w:r>
      <w:r w:rsidRPr="00150ABA">
        <w:rPr>
          <w:noProof/>
        </w:rPr>
        <w:t xml:space="preserve">igitalisation of </w:t>
      </w:r>
      <w:r w:rsidR="00830C1A" w:rsidRPr="00150ABA">
        <w:rPr>
          <w:noProof/>
        </w:rPr>
        <w:t>j</w:t>
      </w:r>
      <w:r w:rsidRPr="00150ABA">
        <w:rPr>
          <w:noProof/>
        </w:rPr>
        <w:t xml:space="preserve">ustice refers to the present proposal as part of the overall toolbox of opportunities for further digitalisation of justice. This proposal is included in the Commission’s </w:t>
      </w:r>
      <w:r w:rsidR="00830C1A" w:rsidRPr="00150ABA">
        <w:rPr>
          <w:noProof/>
        </w:rPr>
        <w:t>w</w:t>
      </w:r>
      <w:r w:rsidRPr="00150ABA">
        <w:rPr>
          <w:noProof/>
        </w:rPr>
        <w:t xml:space="preserve">ork </w:t>
      </w:r>
      <w:r w:rsidR="00830C1A" w:rsidRPr="00150ABA">
        <w:rPr>
          <w:noProof/>
        </w:rPr>
        <w:t>p</w:t>
      </w:r>
      <w:r w:rsidRPr="00150ABA">
        <w:rPr>
          <w:noProof/>
        </w:rPr>
        <w:t>rogramme for 2021.</w:t>
      </w:r>
    </w:p>
    <w:p w14:paraId="460729C8" w14:textId="77777777" w:rsidR="00A728BA" w:rsidRPr="00150ABA" w:rsidRDefault="00A728BA" w:rsidP="00140823">
      <w:pPr>
        <w:pStyle w:val="Text1"/>
        <w:pBdr>
          <w:top w:val="single" w:sz="4" w:space="1" w:color="auto"/>
          <w:left w:val="single" w:sz="4" w:space="4" w:color="auto"/>
          <w:bottom w:val="single" w:sz="4" w:space="1" w:color="auto"/>
          <w:right w:val="single" w:sz="4" w:space="4" w:color="auto"/>
        </w:pBdr>
        <w:rPr>
          <w:noProof/>
        </w:rPr>
      </w:pPr>
    </w:p>
    <w:p w14:paraId="1BDAC74F" w14:textId="0F195CA5" w:rsidR="00A728BA" w:rsidRPr="00150ABA" w:rsidRDefault="00D76D82" w:rsidP="00D76D82">
      <w:pPr>
        <w:pStyle w:val="ManualHeading3"/>
        <w:rPr>
          <w:noProof/>
        </w:rPr>
      </w:pPr>
      <w:bookmarkStart w:id="15" w:name="_Toc85196957"/>
      <w:r w:rsidRPr="00D76D82">
        <w:t>1.5.5.</w:t>
      </w:r>
      <w:r w:rsidRPr="00D76D82">
        <w:tab/>
      </w:r>
      <w:r w:rsidR="00A728BA" w:rsidRPr="00150ABA">
        <w:rPr>
          <w:noProof/>
        </w:rPr>
        <w:t>Assessment of the different available financing options, including scope for redeployment</w:t>
      </w:r>
      <w:bookmarkEnd w:id="15"/>
    </w:p>
    <w:p w14:paraId="331CD986" w14:textId="5C672E3E" w:rsidR="006F6F3C" w:rsidRPr="00150ABA" w:rsidRDefault="006F6F3C" w:rsidP="006F6F3C">
      <w:pPr>
        <w:pStyle w:val="Text1"/>
        <w:pBdr>
          <w:top w:val="single" w:sz="4" w:space="1" w:color="auto"/>
          <w:left w:val="single" w:sz="4" w:space="4" w:color="auto"/>
          <w:bottom w:val="single" w:sz="4" w:space="1" w:color="auto"/>
          <w:right w:val="single" w:sz="4" w:space="4" w:color="auto"/>
        </w:pBdr>
        <w:rPr>
          <w:noProof/>
        </w:rPr>
      </w:pPr>
      <w:r w:rsidRPr="00150ABA">
        <w:rPr>
          <w:noProof/>
        </w:rPr>
        <w:t xml:space="preserve">The costs concerning establishment and </w:t>
      </w:r>
      <w:r w:rsidR="006259C1" w:rsidRPr="00150ABA">
        <w:rPr>
          <w:noProof/>
        </w:rPr>
        <w:t>maintenance</w:t>
      </w:r>
      <w:r w:rsidRPr="00150ABA">
        <w:rPr>
          <w:noProof/>
        </w:rPr>
        <w:t xml:space="preserve"> of the JITs collaboration p</w:t>
      </w:r>
      <w:r w:rsidR="00C349D6" w:rsidRPr="00150ABA">
        <w:rPr>
          <w:noProof/>
        </w:rPr>
        <w:t xml:space="preserve">latform should be borne by the </w:t>
      </w:r>
      <w:r w:rsidRPr="00150ABA">
        <w:rPr>
          <w:noProof/>
        </w:rPr>
        <w:t>U</w:t>
      </w:r>
      <w:r w:rsidR="00C349D6" w:rsidRPr="00150ABA">
        <w:rPr>
          <w:noProof/>
        </w:rPr>
        <w:t>nion</w:t>
      </w:r>
      <w:r w:rsidRPr="00150ABA">
        <w:rPr>
          <w:noProof/>
        </w:rPr>
        <w:t xml:space="preserve"> budget and should be reflected in the budget of the </w:t>
      </w:r>
      <w:r w:rsidR="006259C1" w:rsidRPr="00150ABA">
        <w:rPr>
          <w:noProof/>
        </w:rPr>
        <w:t>concerned</w:t>
      </w:r>
      <w:r w:rsidRPr="00150ABA">
        <w:rPr>
          <w:noProof/>
        </w:rPr>
        <w:t xml:space="preserve"> agencies – eu-LISA and Eurojust.</w:t>
      </w:r>
    </w:p>
    <w:p w14:paraId="74D1A984" w14:textId="77777777" w:rsidR="00A728BA" w:rsidRPr="00150ABA" w:rsidRDefault="00A728BA" w:rsidP="006F6F3C">
      <w:pPr>
        <w:pStyle w:val="Text1"/>
        <w:rPr>
          <w:noProof/>
        </w:rPr>
      </w:pPr>
    </w:p>
    <w:p w14:paraId="2A6123DE" w14:textId="710605CC" w:rsidR="00A728BA" w:rsidRPr="00150ABA" w:rsidRDefault="00D76D82" w:rsidP="00D76D82">
      <w:pPr>
        <w:pStyle w:val="ManualHeading2"/>
        <w:rPr>
          <w:noProof/>
        </w:rPr>
      </w:pPr>
      <w:bookmarkStart w:id="16" w:name="_Toc85196958"/>
      <w:r w:rsidRPr="00D76D82">
        <w:t>1.6.</w:t>
      </w:r>
      <w:r w:rsidRPr="00D76D82">
        <w:tab/>
      </w:r>
      <w:r w:rsidR="00A728BA" w:rsidRPr="00150ABA">
        <w:rPr>
          <w:noProof/>
        </w:rPr>
        <w:t>Duration and financial impact of the proposal/initiative</w:t>
      </w:r>
      <w:bookmarkEnd w:id="16"/>
    </w:p>
    <w:p w14:paraId="6BA9B950" w14:textId="77777777" w:rsidR="00A728BA" w:rsidRPr="00150ABA" w:rsidRDefault="00A728BA" w:rsidP="006F6F3C">
      <w:pPr>
        <w:pStyle w:val="Text1"/>
        <w:rPr>
          <w:noProof/>
        </w:rPr>
      </w:pPr>
      <w:r w:rsidRPr="00150ABA">
        <w:rPr>
          <w:noProof/>
        </w:rPr>
        <w:sym w:font="Wingdings" w:char="F0A8"/>
      </w:r>
      <w:r w:rsidRPr="00150ABA">
        <w:rPr>
          <w:b/>
          <w:i/>
          <w:noProof/>
        </w:rPr>
        <w:t xml:space="preserve"> </w:t>
      </w:r>
      <w:r w:rsidRPr="00150ABA">
        <w:rPr>
          <w:b/>
          <w:noProof/>
        </w:rPr>
        <w:t xml:space="preserve">limited duration </w:t>
      </w:r>
    </w:p>
    <w:p w14:paraId="69371EB5" w14:textId="77777777" w:rsidR="00A728BA" w:rsidRPr="00150ABA" w:rsidRDefault="00A728BA" w:rsidP="006F6F3C">
      <w:pPr>
        <w:pStyle w:val="ListDash2"/>
        <w:rPr>
          <w:noProof/>
        </w:rPr>
      </w:pPr>
      <w:r w:rsidRPr="00150ABA">
        <w:rPr>
          <w:noProof/>
        </w:rPr>
        <w:sym w:font="Wingdings" w:char="F0A8"/>
      </w:r>
      <w:r w:rsidRPr="00150ABA">
        <w:rPr>
          <w:noProof/>
        </w:rPr>
        <w:tab/>
        <w:t xml:space="preserve">in effect from [DD/MM]YYYY to [DD/MM]YYYY </w:t>
      </w:r>
    </w:p>
    <w:p w14:paraId="02A1EE48" w14:textId="77777777" w:rsidR="00A728BA" w:rsidRPr="00150ABA" w:rsidRDefault="00A728BA" w:rsidP="006F6F3C">
      <w:pPr>
        <w:pStyle w:val="ListDash2"/>
        <w:rPr>
          <w:noProof/>
        </w:rPr>
      </w:pPr>
      <w:r w:rsidRPr="00150ABA">
        <w:rPr>
          <w:noProof/>
        </w:rPr>
        <w:sym w:font="Wingdings" w:char="F0A8"/>
      </w:r>
      <w:r w:rsidRPr="00150ABA">
        <w:rPr>
          <w:noProof/>
        </w:rPr>
        <w:tab/>
        <w:t xml:space="preserve">Financial impact from YYYY to YYYY for commitment appropriations and from YYYY to YYYY for payment appropriations. </w:t>
      </w:r>
    </w:p>
    <w:p w14:paraId="193F028C" w14:textId="77777777" w:rsidR="00A728BA" w:rsidRPr="00150ABA" w:rsidRDefault="006F6F3C" w:rsidP="006F6F3C">
      <w:pPr>
        <w:pStyle w:val="Text1"/>
        <w:rPr>
          <w:noProof/>
        </w:rPr>
      </w:pPr>
      <w:r w:rsidRPr="00150ABA">
        <w:rPr>
          <w:noProof/>
        </w:rPr>
        <w:sym w:font="Wingdings" w:char="F0FE"/>
      </w:r>
      <w:r w:rsidR="00A728BA" w:rsidRPr="00150ABA">
        <w:rPr>
          <w:b/>
          <w:i/>
          <w:noProof/>
        </w:rPr>
        <w:t xml:space="preserve"> </w:t>
      </w:r>
      <w:r w:rsidR="00A728BA" w:rsidRPr="00150ABA">
        <w:rPr>
          <w:b/>
          <w:noProof/>
        </w:rPr>
        <w:t>unlimited duration</w:t>
      </w:r>
    </w:p>
    <w:p w14:paraId="215165CB" w14:textId="77777777" w:rsidR="00A728BA" w:rsidRPr="00150ABA" w:rsidRDefault="00A728BA" w:rsidP="006F6F3C">
      <w:pPr>
        <w:pStyle w:val="ListDash1"/>
        <w:rPr>
          <w:noProof/>
        </w:rPr>
      </w:pPr>
      <w:r w:rsidRPr="00150ABA">
        <w:rPr>
          <w:noProof/>
        </w:rPr>
        <w:t>Implementation with a start-up period from YYYY to YYYY,</w:t>
      </w:r>
    </w:p>
    <w:p w14:paraId="4ABAD850" w14:textId="77777777" w:rsidR="00A728BA" w:rsidRPr="00150ABA" w:rsidRDefault="00A728BA" w:rsidP="006F6F3C">
      <w:pPr>
        <w:pStyle w:val="ListDash1"/>
        <w:rPr>
          <w:noProof/>
        </w:rPr>
      </w:pPr>
      <w:r w:rsidRPr="00150ABA">
        <w:rPr>
          <w:noProof/>
        </w:rPr>
        <w:t>followed by full-scale operation.</w:t>
      </w:r>
    </w:p>
    <w:p w14:paraId="7D095E69" w14:textId="06E7431B" w:rsidR="00A728BA" w:rsidRPr="00150ABA" w:rsidRDefault="00D76D82" w:rsidP="00D76D82">
      <w:pPr>
        <w:pStyle w:val="ManualHeading2"/>
        <w:rPr>
          <w:bCs/>
          <w:noProof/>
          <w:szCs w:val="24"/>
        </w:rPr>
      </w:pPr>
      <w:bookmarkStart w:id="17" w:name="_Toc85196959"/>
      <w:r w:rsidRPr="00D76D82">
        <w:t>1.7.</w:t>
      </w:r>
      <w:r w:rsidRPr="00D76D82">
        <w:tab/>
      </w:r>
      <w:r w:rsidR="00A728BA" w:rsidRPr="00150ABA">
        <w:rPr>
          <w:noProof/>
        </w:rPr>
        <w:t>Management mode(s) planned</w:t>
      </w:r>
      <w:bookmarkEnd w:id="17"/>
      <w:r w:rsidR="00A728BA" w:rsidRPr="00150ABA">
        <w:rPr>
          <w:rStyle w:val="FootnoteReference"/>
          <w:noProof/>
        </w:rPr>
        <w:t xml:space="preserve"> </w:t>
      </w:r>
    </w:p>
    <w:p w14:paraId="6B77CAD1" w14:textId="77777777" w:rsidR="00A728BA" w:rsidRPr="00150ABA" w:rsidRDefault="00A728BA" w:rsidP="006F6F3C">
      <w:pPr>
        <w:pStyle w:val="Text1"/>
        <w:rPr>
          <w:noProof/>
        </w:rPr>
      </w:pPr>
      <w:r w:rsidRPr="00150ABA">
        <w:rPr>
          <w:noProof/>
        </w:rPr>
        <w:sym w:font="Wingdings" w:char="F0A8"/>
      </w:r>
      <w:r w:rsidRPr="00150ABA">
        <w:rPr>
          <w:i/>
          <w:noProof/>
        </w:rPr>
        <w:t xml:space="preserve"> </w:t>
      </w:r>
      <w:r w:rsidRPr="00150ABA">
        <w:rPr>
          <w:b/>
          <w:noProof/>
        </w:rPr>
        <w:t>Direct management</w:t>
      </w:r>
      <w:r w:rsidRPr="00150ABA">
        <w:rPr>
          <w:noProof/>
        </w:rPr>
        <w:t xml:space="preserve"> by the Commission</w:t>
      </w:r>
    </w:p>
    <w:p w14:paraId="6DACAAAF" w14:textId="77777777" w:rsidR="00A728BA" w:rsidRPr="00150ABA" w:rsidRDefault="00A728BA" w:rsidP="006F6F3C">
      <w:pPr>
        <w:pStyle w:val="ListDash2"/>
        <w:rPr>
          <w:rFonts w:cs="EUAlbertina"/>
          <w:noProof/>
        </w:rPr>
      </w:pPr>
      <w:r w:rsidRPr="00150ABA">
        <w:rPr>
          <w:noProof/>
        </w:rPr>
        <w:sym w:font="Wingdings" w:char="F0A8"/>
      </w:r>
      <w:r w:rsidRPr="00150ABA">
        <w:rPr>
          <w:noProof/>
        </w:rPr>
        <w:t xml:space="preserve"> by its departments, including by its staff in the Union delegations; </w:t>
      </w:r>
    </w:p>
    <w:p w14:paraId="141CF808" w14:textId="77777777" w:rsidR="00A728BA" w:rsidRPr="00150ABA" w:rsidRDefault="00A728BA" w:rsidP="006F6F3C">
      <w:pPr>
        <w:pStyle w:val="ListDash2"/>
        <w:rPr>
          <w:noProof/>
        </w:rPr>
      </w:pPr>
      <w:r w:rsidRPr="00150ABA">
        <w:rPr>
          <w:noProof/>
        </w:rPr>
        <w:sym w:font="Wingdings" w:char="F0A8"/>
      </w:r>
      <w:r w:rsidRPr="00150ABA">
        <w:rPr>
          <w:noProof/>
        </w:rPr>
        <w:tab/>
        <w:t xml:space="preserve">by the executive agencies </w:t>
      </w:r>
    </w:p>
    <w:p w14:paraId="36641982" w14:textId="77777777" w:rsidR="00A728BA" w:rsidRPr="00150ABA" w:rsidRDefault="00A728BA" w:rsidP="006F6F3C">
      <w:pPr>
        <w:pStyle w:val="Text1"/>
        <w:rPr>
          <w:noProof/>
        </w:rPr>
      </w:pPr>
      <w:r w:rsidRPr="00150ABA">
        <w:rPr>
          <w:noProof/>
        </w:rPr>
        <w:sym w:font="Wingdings" w:char="F0A8"/>
      </w:r>
      <w:r w:rsidRPr="00150ABA">
        <w:rPr>
          <w:b/>
          <w:i/>
          <w:noProof/>
        </w:rPr>
        <w:t xml:space="preserve"> </w:t>
      </w:r>
      <w:r w:rsidRPr="00150ABA">
        <w:rPr>
          <w:b/>
          <w:noProof/>
        </w:rPr>
        <w:t>Shared management</w:t>
      </w:r>
      <w:r w:rsidRPr="00150ABA">
        <w:rPr>
          <w:noProof/>
        </w:rPr>
        <w:t xml:space="preserve"> with the Member States </w:t>
      </w:r>
    </w:p>
    <w:p w14:paraId="39335875" w14:textId="77777777" w:rsidR="00A728BA" w:rsidRPr="00150ABA" w:rsidRDefault="006F6F3C" w:rsidP="006F6F3C">
      <w:pPr>
        <w:pStyle w:val="Text1"/>
        <w:rPr>
          <w:noProof/>
        </w:rPr>
      </w:pPr>
      <w:r w:rsidRPr="00150ABA">
        <w:rPr>
          <w:noProof/>
        </w:rPr>
        <w:sym w:font="Wingdings" w:char="F0FE"/>
      </w:r>
      <w:r w:rsidR="00A728BA" w:rsidRPr="00150ABA">
        <w:rPr>
          <w:i/>
          <w:noProof/>
        </w:rPr>
        <w:t xml:space="preserve"> </w:t>
      </w:r>
      <w:r w:rsidR="00A728BA" w:rsidRPr="00150ABA">
        <w:rPr>
          <w:b/>
          <w:noProof/>
        </w:rPr>
        <w:t>Indirect management</w:t>
      </w:r>
      <w:r w:rsidR="00A728BA" w:rsidRPr="00150ABA">
        <w:rPr>
          <w:noProof/>
        </w:rPr>
        <w:t xml:space="preserve"> by entrusting budget implementation tasks to:</w:t>
      </w:r>
    </w:p>
    <w:p w14:paraId="01D55E3E" w14:textId="77777777" w:rsidR="00A728BA" w:rsidRPr="00150ABA" w:rsidRDefault="00A728BA" w:rsidP="006F6F3C">
      <w:pPr>
        <w:pStyle w:val="ListDash2"/>
        <w:rPr>
          <w:noProof/>
        </w:rPr>
      </w:pPr>
      <w:r w:rsidRPr="00150ABA">
        <w:rPr>
          <w:noProof/>
        </w:rPr>
        <w:sym w:font="Wingdings" w:char="F0A8"/>
      </w:r>
      <w:r w:rsidRPr="00150ABA">
        <w:rPr>
          <w:noProof/>
        </w:rPr>
        <w:t xml:space="preserve"> third countries or the bodies they have designated;</w:t>
      </w:r>
    </w:p>
    <w:p w14:paraId="718D2CEA" w14:textId="77777777" w:rsidR="00A728BA" w:rsidRPr="00150ABA" w:rsidRDefault="00A728BA" w:rsidP="006F6F3C">
      <w:pPr>
        <w:pStyle w:val="ListDash2"/>
        <w:rPr>
          <w:noProof/>
        </w:rPr>
      </w:pPr>
      <w:r w:rsidRPr="00150ABA">
        <w:rPr>
          <w:noProof/>
        </w:rPr>
        <w:sym w:font="Wingdings" w:char="F0A8"/>
      </w:r>
      <w:r w:rsidRPr="00150ABA">
        <w:rPr>
          <w:noProof/>
        </w:rPr>
        <w:t xml:space="preserve"> international organisations and their agencies (to be specified);</w:t>
      </w:r>
    </w:p>
    <w:p w14:paraId="5000F649" w14:textId="77777777" w:rsidR="00A728BA" w:rsidRPr="00150ABA" w:rsidRDefault="00A728BA" w:rsidP="006F6F3C">
      <w:pPr>
        <w:pStyle w:val="ListDash2"/>
        <w:rPr>
          <w:noProof/>
        </w:rPr>
      </w:pPr>
      <w:r w:rsidRPr="00150ABA">
        <w:rPr>
          <w:noProof/>
        </w:rPr>
        <w:sym w:font="Wingdings" w:char="F0A8"/>
      </w:r>
      <w:r w:rsidRPr="00150ABA">
        <w:rPr>
          <w:noProof/>
        </w:rPr>
        <w:t xml:space="preserve"> the EIB and the European Investment Fund;</w:t>
      </w:r>
    </w:p>
    <w:p w14:paraId="4FF520DD" w14:textId="77777777" w:rsidR="00A728BA" w:rsidRPr="00150ABA" w:rsidRDefault="006F6F3C" w:rsidP="006F6F3C">
      <w:pPr>
        <w:pStyle w:val="ListDash2"/>
        <w:rPr>
          <w:noProof/>
        </w:rPr>
      </w:pPr>
      <w:r w:rsidRPr="00150ABA">
        <w:rPr>
          <w:noProof/>
        </w:rPr>
        <w:sym w:font="Wingdings" w:char="F0FE"/>
      </w:r>
      <w:r w:rsidR="00A728BA" w:rsidRPr="00150ABA">
        <w:rPr>
          <w:noProof/>
        </w:rPr>
        <w:t xml:space="preserve"> bodies referred to in Articles 70 and 71 of the Financial Regulation;</w:t>
      </w:r>
    </w:p>
    <w:p w14:paraId="09FAB008" w14:textId="77777777" w:rsidR="00A728BA" w:rsidRPr="00150ABA" w:rsidRDefault="00A728BA" w:rsidP="006F6F3C">
      <w:pPr>
        <w:pStyle w:val="ListDash2"/>
        <w:rPr>
          <w:noProof/>
        </w:rPr>
      </w:pPr>
      <w:r w:rsidRPr="00150ABA">
        <w:rPr>
          <w:noProof/>
        </w:rPr>
        <w:sym w:font="Wingdings" w:char="F0A8"/>
      </w:r>
      <w:r w:rsidRPr="00150ABA">
        <w:rPr>
          <w:noProof/>
        </w:rPr>
        <w:t xml:space="preserve"> public law bodies;</w:t>
      </w:r>
    </w:p>
    <w:p w14:paraId="713FCC0A" w14:textId="77777777" w:rsidR="00A728BA" w:rsidRPr="00150ABA" w:rsidRDefault="00A728BA" w:rsidP="006F6F3C">
      <w:pPr>
        <w:pStyle w:val="ListDash2"/>
        <w:rPr>
          <w:noProof/>
        </w:rPr>
      </w:pPr>
      <w:r w:rsidRPr="00150ABA">
        <w:rPr>
          <w:noProof/>
        </w:rPr>
        <w:sym w:font="Wingdings" w:char="F0A8"/>
      </w:r>
      <w:r w:rsidRPr="00150ABA">
        <w:rPr>
          <w:noProof/>
        </w:rPr>
        <w:t xml:space="preserve"> bodies governed by private law with a public service mission to the extent that they are provided with adequate financial guarantees;</w:t>
      </w:r>
    </w:p>
    <w:p w14:paraId="3783911F" w14:textId="77777777" w:rsidR="00A728BA" w:rsidRPr="00150ABA" w:rsidRDefault="00A728BA" w:rsidP="006F6F3C">
      <w:pPr>
        <w:pStyle w:val="ListDash2"/>
        <w:rPr>
          <w:noProof/>
        </w:rPr>
      </w:pPr>
      <w:r w:rsidRPr="00150ABA">
        <w:rPr>
          <w:noProof/>
        </w:rPr>
        <w:sym w:font="Wingdings" w:char="F0A8"/>
      </w:r>
      <w:r w:rsidRPr="00150ABA">
        <w:rPr>
          <w:noProof/>
        </w:rPr>
        <w:t xml:space="preserve"> bodies governed by the private law of a Member State that are entrusted with the implementation of a public-private partnership and that are provided with adequate financial guarantees;</w:t>
      </w:r>
    </w:p>
    <w:p w14:paraId="4D6324E8" w14:textId="77777777" w:rsidR="00A728BA" w:rsidRPr="00150ABA" w:rsidRDefault="00A728BA" w:rsidP="006F6F3C">
      <w:pPr>
        <w:pStyle w:val="ListDash2"/>
        <w:rPr>
          <w:noProof/>
        </w:rPr>
      </w:pPr>
      <w:r w:rsidRPr="00150ABA">
        <w:rPr>
          <w:noProof/>
        </w:rPr>
        <w:sym w:font="Wingdings" w:char="F0A8"/>
      </w:r>
      <w:r w:rsidRPr="00150ABA">
        <w:rPr>
          <w:noProof/>
        </w:rPr>
        <w:t xml:space="preserve"> persons entrusted with the implementation of specific actions in the CFSP pursuant to Title V of the TEU, and identified in the relevant basic act.</w:t>
      </w:r>
    </w:p>
    <w:p w14:paraId="6F8BBF88" w14:textId="77777777" w:rsidR="00A728BA" w:rsidRPr="00150ABA" w:rsidRDefault="00A728BA" w:rsidP="006F6F3C">
      <w:pPr>
        <w:rPr>
          <w:noProof/>
        </w:rPr>
        <w:sectPr w:rsidR="00A728BA" w:rsidRPr="00150ABA" w:rsidSect="00E45D24">
          <w:pgSz w:w="11907" w:h="16840" w:code="9"/>
          <w:pgMar w:top="1134" w:right="1418" w:bottom="1134" w:left="1418" w:header="709" w:footer="709" w:gutter="0"/>
          <w:cols w:space="708"/>
          <w:docGrid w:linePitch="360"/>
        </w:sectPr>
      </w:pPr>
    </w:p>
    <w:p w14:paraId="5F3FA9C8" w14:textId="7C453AA2" w:rsidR="00A728BA" w:rsidRPr="00150ABA" w:rsidRDefault="00D76D82" w:rsidP="00D76D82">
      <w:pPr>
        <w:pStyle w:val="ManualHeading1"/>
        <w:rPr>
          <w:bCs/>
          <w:noProof/>
          <w:szCs w:val="24"/>
        </w:rPr>
      </w:pPr>
      <w:bookmarkStart w:id="18" w:name="_Toc85196960"/>
      <w:r w:rsidRPr="00D76D82">
        <w:t>2.</w:t>
      </w:r>
      <w:r w:rsidRPr="00D76D82">
        <w:tab/>
      </w:r>
      <w:r w:rsidR="00A728BA" w:rsidRPr="00150ABA">
        <w:rPr>
          <w:noProof/>
        </w:rPr>
        <w:t>MANAGEMENT MEASURES</w:t>
      </w:r>
      <w:bookmarkEnd w:id="18"/>
      <w:r w:rsidR="00A728BA" w:rsidRPr="00150ABA">
        <w:rPr>
          <w:noProof/>
        </w:rPr>
        <w:t xml:space="preserve"> </w:t>
      </w:r>
    </w:p>
    <w:p w14:paraId="286154B8" w14:textId="27AB9378" w:rsidR="00A728BA" w:rsidRPr="00150ABA" w:rsidRDefault="00D76D82" w:rsidP="00D76D82">
      <w:pPr>
        <w:pStyle w:val="ManualHeading2"/>
        <w:rPr>
          <w:noProof/>
        </w:rPr>
      </w:pPr>
      <w:bookmarkStart w:id="19" w:name="_Toc85196961"/>
      <w:r w:rsidRPr="00D76D82">
        <w:t>2.1.</w:t>
      </w:r>
      <w:r w:rsidRPr="00D76D82">
        <w:tab/>
      </w:r>
      <w:r w:rsidR="00A728BA" w:rsidRPr="00150ABA">
        <w:rPr>
          <w:noProof/>
        </w:rPr>
        <w:t>Monitoring and reporting rules</w:t>
      </w:r>
      <w:bookmarkEnd w:id="19"/>
      <w:r w:rsidR="00A728BA" w:rsidRPr="00150ABA">
        <w:rPr>
          <w:noProof/>
        </w:rPr>
        <w:t xml:space="preserve"> </w:t>
      </w:r>
    </w:p>
    <w:p w14:paraId="38FBE25F" w14:textId="77777777" w:rsidR="00A728BA" w:rsidRPr="00150ABA" w:rsidRDefault="00A728BA" w:rsidP="006F6F3C">
      <w:pPr>
        <w:pStyle w:val="Text1"/>
        <w:rPr>
          <w:i/>
          <w:noProof/>
          <w:sz w:val="20"/>
        </w:rPr>
      </w:pPr>
      <w:r w:rsidRPr="00150ABA">
        <w:rPr>
          <w:i/>
          <w:noProof/>
          <w:sz w:val="20"/>
        </w:rPr>
        <w:t>Specify frequency and conditions.</w:t>
      </w:r>
    </w:p>
    <w:p w14:paraId="322833F3" w14:textId="4666EF7B" w:rsidR="006F6F3C" w:rsidRPr="00150ABA" w:rsidRDefault="006F6F3C" w:rsidP="006F6F3C">
      <w:pPr>
        <w:pStyle w:val="Text1"/>
        <w:pBdr>
          <w:top w:val="single" w:sz="4" w:space="1" w:color="auto"/>
          <w:left w:val="single" w:sz="4" w:space="4" w:color="auto"/>
          <w:bottom w:val="single" w:sz="4" w:space="1" w:color="auto"/>
          <w:right w:val="single" w:sz="4" w:space="4" w:color="auto"/>
        </w:pBdr>
        <w:rPr>
          <w:noProof/>
        </w:rPr>
      </w:pPr>
      <w:r w:rsidRPr="00150ABA">
        <w:rPr>
          <w:noProof/>
        </w:rPr>
        <w:t xml:space="preserve">Monitoring and evaluation of the development and technical functioning of the JITs collaboration platform is of crucial importance and will be applied by following the principles outlined in the </w:t>
      </w:r>
      <w:r w:rsidR="00830C1A" w:rsidRPr="00150ABA">
        <w:rPr>
          <w:noProof/>
        </w:rPr>
        <w:t>c</w:t>
      </w:r>
      <w:r w:rsidRPr="00150ABA">
        <w:rPr>
          <w:noProof/>
        </w:rPr>
        <w:t xml:space="preserve">ommon </w:t>
      </w:r>
      <w:r w:rsidR="00830C1A" w:rsidRPr="00150ABA">
        <w:rPr>
          <w:noProof/>
        </w:rPr>
        <w:t>a</w:t>
      </w:r>
      <w:r w:rsidRPr="00150ABA">
        <w:rPr>
          <w:noProof/>
        </w:rPr>
        <w:t>pproach on decentralised agencies.</w:t>
      </w:r>
    </w:p>
    <w:p w14:paraId="4B5DB829" w14:textId="77777777" w:rsidR="006F6F3C" w:rsidRPr="00150ABA" w:rsidRDefault="006F6F3C" w:rsidP="006F6F3C">
      <w:pPr>
        <w:pStyle w:val="Text1"/>
        <w:pBdr>
          <w:top w:val="single" w:sz="4" w:space="1" w:color="auto"/>
          <w:left w:val="single" w:sz="4" w:space="4" w:color="auto"/>
          <w:bottom w:val="single" w:sz="4" w:space="1" w:color="auto"/>
          <w:right w:val="single" w:sz="4" w:space="4" w:color="auto"/>
        </w:pBdr>
        <w:rPr>
          <w:noProof/>
        </w:rPr>
      </w:pPr>
      <w:r w:rsidRPr="00150ABA">
        <w:rPr>
          <w:noProof/>
        </w:rPr>
        <w:t xml:space="preserve">To start with, eu-LISA and Eurojust must send each year to the Commission, the European Parliament and the Council a Single Programming Document (SPD) containing multi-annual and annual work programmes and resources programming. The SPD sets out the objectives, expected results and performance indicators to monitor the achievement of the objectives and the results. </w:t>
      </w:r>
    </w:p>
    <w:p w14:paraId="656ED04A" w14:textId="77777777" w:rsidR="006F6F3C" w:rsidRPr="00150ABA" w:rsidRDefault="006F6F3C" w:rsidP="006F6F3C">
      <w:pPr>
        <w:pStyle w:val="Text1"/>
        <w:pBdr>
          <w:top w:val="single" w:sz="4" w:space="1" w:color="auto"/>
          <w:left w:val="single" w:sz="4" w:space="4" w:color="auto"/>
          <w:bottom w:val="single" w:sz="4" w:space="1" w:color="auto"/>
          <w:right w:val="single" w:sz="4" w:space="4" w:color="auto"/>
        </w:pBdr>
        <w:rPr>
          <w:noProof/>
        </w:rPr>
      </w:pPr>
      <w:r w:rsidRPr="00150ABA">
        <w:rPr>
          <w:noProof/>
        </w:rPr>
        <w:t>Once the development of the JITs collaboration platform is finalised, eu-LISA would submit a report to the European Parliament and to the Council explaining how the objectives, in particular relating to planning and costs, were achieved.</w:t>
      </w:r>
    </w:p>
    <w:p w14:paraId="67398717" w14:textId="77777777" w:rsidR="006F6F3C" w:rsidRPr="00150ABA" w:rsidRDefault="006F6F3C" w:rsidP="006F6F3C">
      <w:pPr>
        <w:pStyle w:val="Text1"/>
        <w:pBdr>
          <w:top w:val="single" w:sz="4" w:space="1" w:color="auto"/>
          <w:left w:val="single" w:sz="4" w:space="4" w:color="auto"/>
          <w:bottom w:val="single" w:sz="4" w:space="1" w:color="auto"/>
          <w:right w:val="single" w:sz="4" w:space="4" w:color="auto"/>
        </w:pBdr>
        <w:rPr>
          <w:noProof/>
        </w:rPr>
      </w:pPr>
      <w:r w:rsidRPr="00150ABA">
        <w:rPr>
          <w:noProof/>
        </w:rPr>
        <w:t xml:space="preserve">Two years after the start of operations of the JITs collaboration platform and every year thereafter, eu-LISA would submit to the Commission a report on the technical functioning of the JITs cooperation platform, including its security. </w:t>
      </w:r>
    </w:p>
    <w:p w14:paraId="25005FE3" w14:textId="77777777" w:rsidR="006F6F3C" w:rsidRPr="00150ABA" w:rsidRDefault="006F6F3C" w:rsidP="006F6F3C">
      <w:pPr>
        <w:pStyle w:val="Text1"/>
        <w:pBdr>
          <w:top w:val="single" w:sz="4" w:space="1" w:color="auto"/>
          <w:left w:val="single" w:sz="4" w:space="4" w:color="auto"/>
          <w:bottom w:val="single" w:sz="4" w:space="1" w:color="auto"/>
          <w:right w:val="single" w:sz="4" w:space="4" w:color="auto"/>
        </w:pBdr>
        <w:rPr>
          <w:noProof/>
        </w:rPr>
      </w:pPr>
      <w:r w:rsidRPr="00150ABA">
        <w:rPr>
          <w:noProof/>
        </w:rPr>
        <w:t xml:space="preserve">Four years after the start of operations of the JITs collaboration platform and every four years thereafter, the Commission would conduct an overall evaluation of the JITs collaboration platform. The Commission would transmit the overall evaluation report to the European Parliament and the Council. </w:t>
      </w:r>
    </w:p>
    <w:p w14:paraId="1A6B5BD6" w14:textId="2095A36F" w:rsidR="00A728BA" w:rsidRPr="00150ABA" w:rsidRDefault="00D76D82" w:rsidP="00D76D82">
      <w:pPr>
        <w:pStyle w:val="ManualHeading2"/>
        <w:rPr>
          <w:bCs/>
          <w:noProof/>
          <w:szCs w:val="24"/>
        </w:rPr>
      </w:pPr>
      <w:bookmarkStart w:id="20" w:name="_Toc85196962"/>
      <w:r w:rsidRPr="00D76D82">
        <w:t>2.2.</w:t>
      </w:r>
      <w:r w:rsidRPr="00D76D82">
        <w:tab/>
      </w:r>
      <w:r w:rsidR="00A728BA" w:rsidRPr="00150ABA">
        <w:rPr>
          <w:noProof/>
        </w:rPr>
        <w:t>Management and control system(s)</w:t>
      </w:r>
      <w:bookmarkEnd w:id="20"/>
      <w:r w:rsidR="00A728BA" w:rsidRPr="00150ABA">
        <w:rPr>
          <w:noProof/>
        </w:rPr>
        <w:t xml:space="preserve"> </w:t>
      </w:r>
    </w:p>
    <w:p w14:paraId="23AEE873" w14:textId="3717A159" w:rsidR="00A728BA" w:rsidRPr="00150ABA" w:rsidRDefault="00D76D82" w:rsidP="00D76D82">
      <w:pPr>
        <w:pStyle w:val="ManualHeading3"/>
        <w:rPr>
          <w:noProof/>
        </w:rPr>
      </w:pPr>
      <w:bookmarkStart w:id="21" w:name="_Toc85196963"/>
      <w:r w:rsidRPr="00D76D82">
        <w:t>2.2.1.</w:t>
      </w:r>
      <w:r w:rsidRPr="00D76D82">
        <w:tab/>
      </w:r>
      <w:r w:rsidR="00A728BA" w:rsidRPr="00150ABA">
        <w:rPr>
          <w:noProof/>
        </w:rPr>
        <w:t>Justification of the management mode(s), the funding implementation mechanism(s), the payment modalities and the control strategy proposed</w:t>
      </w:r>
      <w:bookmarkEnd w:id="21"/>
    </w:p>
    <w:p w14:paraId="0818571A" w14:textId="401663CC" w:rsidR="006F6F3C" w:rsidRPr="00150ABA" w:rsidRDefault="006F6F3C" w:rsidP="00420CBA">
      <w:pPr>
        <w:pStyle w:val="Text1"/>
        <w:pBdr>
          <w:top w:val="single" w:sz="4" w:space="1" w:color="auto"/>
          <w:left w:val="single" w:sz="4" w:space="4" w:color="auto"/>
          <w:bottom w:val="single" w:sz="4" w:space="1" w:color="auto"/>
          <w:right w:val="single" w:sz="4" w:space="4" w:color="auto"/>
        </w:pBdr>
        <w:rPr>
          <w:noProof/>
        </w:rPr>
      </w:pPr>
      <w:r w:rsidRPr="00150ABA">
        <w:rPr>
          <w:noProof/>
        </w:rPr>
        <w:t>Considering that the proposal impacts the annual EU contributio</w:t>
      </w:r>
      <w:r w:rsidR="00C349D6" w:rsidRPr="00150ABA">
        <w:rPr>
          <w:noProof/>
        </w:rPr>
        <w:t xml:space="preserve">n to eu-LISA and Eurojust, the </w:t>
      </w:r>
      <w:r w:rsidRPr="00150ABA">
        <w:rPr>
          <w:noProof/>
        </w:rPr>
        <w:t>U</w:t>
      </w:r>
      <w:r w:rsidR="00C349D6" w:rsidRPr="00150ABA">
        <w:rPr>
          <w:noProof/>
        </w:rPr>
        <w:t>nion</w:t>
      </w:r>
      <w:r w:rsidRPr="00150ABA">
        <w:rPr>
          <w:noProof/>
        </w:rPr>
        <w:t xml:space="preserve"> budget will be implemented via indirect management.</w:t>
      </w:r>
    </w:p>
    <w:p w14:paraId="28D23353" w14:textId="77777777" w:rsidR="006F6F3C" w:rsidRPr="00150ABA" w:rsidRDefault="006F6F3C" w:rsidP="00420CBA">
      <w:pPr>
        <w:pStyle w:val="Text1"/>
        <w:pBdr>
          <w:top w:val="single" w:sz="4" w:space="1" w:color="auto"/>
          <w:left w:val="single" w:sz="4" w:space="4" w:color="auto"/>
          <w:bottom w:val="single" w:sz="4" w:space="1" w:color="auto"/>
          <w:right w:val="single" w:sz="4" w:space="4" w:color="auto"/>
        </w:pBdr>
        <w:rPr>
          <w:noProof/>
        </w:rPr>
      </w:pPr>
      <w:r w:rsidRPr="00150ABA">
        <w:rPr>
          <w:noProof/>
        </w:rPr>
        <w:t xml:space="preserve">Pursuant to the principle of sound financial management, the budget of both agencies shall be implemented in compliance with effective and efficient internal control. </w:t>
      </w:r>
    </w:p>
    <w:p w14:paraId="2307B771" w14:textId="77777777" w:rsidR="006F6F3C" w:rsidRPr="00150ABA" w:rsidRDefault="006F6F3C" w:rsidP="00420CBA">
      <w:pPr>
        <w:pStyle w:val="Text1"/>
        <w:pBdr>
          <w:top w:val="single" w:sz="4" w:space="1" w:color="auto"/>
          <w:left w:val="single" w:sz="4" w:space="4" w:color="auto"/>
          <w:bottom w:val="single" w:sz="4" w:space="1" w:color="auto"/>
          <w:right w:val="single" w:sz="4" w:space="4" w:color="auto"/>
        </w:pBdr>
        <w:rPr>
          <w:noProof/>
        </w:rPr>
      </w:pPr>
      <w:r w:rsidRPr="00150ABA">
        <w:rPr>
          <w:noProof/>
        </w:rPr>
        <w:t xml:space="preserve">Regarding ex-post controls, both agencies are subject to: </w:t>
      </w:r>
    </w:p>
    <w:p w14:paraId="7A153E0B" w14:textId="77777777" w:rsidR="00420CBA" w:rsidRPr="00150ABA" w:rsidRDefault="00420CBA" w:rsidP="00420CBA">
      <w:pPr>
        <w:pStyle w:val="Tiret1"/>
        <w:pBdr>
          <w:top w:val="single" w:sz="4" w:space="1" w:color="auto"/>
          <w:left w:val="single" w:sz="4" w:space="4" w:color="auto"/>
          <w:bottom w:val="single" w:sz="4" w:space="1" w:color="auto"/>
          <w:right w:val="single" w:sz="4" w:space="4" w:color="auto"/>
        </w:pBdr>
        <w:rPr>
          <w:noProof/>
        </w:rPr>
      </w:pPr>
      <w:r w:rsidRPr="00150ABA">
        <w:rPr>
          <w:noProof/>
        </w:rPr>
        <w:t>internal audit by the Internal Audit Service of the Commission;</w:t>
      </w:r>
    </w:p>
    <w:p w14:paraId="1BFA1D97" w14:textId="77777777" w:rsidR="00420CBA" w:rsidRPr="00150ABA" w:rsidRDefault="00420CBA" w:rsidP="00420CBA">
      <w:pPr>
        <w:pStyle w:val="Tiret1"/>
        <w:pBdr>
          <w:top w:val="single" w:sz="4" w:space="1" w:color="auto"/>
          <w:left w:val="single" w:sz="4" w:space="4" w:color="auto"/>
          <w:bottom w:val="single" w:sz="4" w:space="1" w:color="auto"/>
          <w:right w:val="single" w:sz="4" w:space="4" w:color="auto"/>
        </w:pBdr>
        <w:rPr>
          <w:noProof/>
        </w:rPr>
      </w:pPr>
      <w:r w:rsidRPr="00150ABA">
        <w:rPr>
          <w:noProof/>
        </w:rPr>
        <w:t>annual reports by the European Court of Auditors, giving a statement of assurance as to the reliability of the annual accounts and the legality and regularity of the underlying transactions;</w:t>
      </w:r>
    </w:p>
    <w:p w14:paraId="654DEB6A" w14:textId="77777777" w:rsidR="00420CBA" w:rsidRPr="00150ABA" w:rsidRDefault="00420CBA" w:rsidP="00420CBA">
      <w:pPr>
        <w:pStyle w:val="Tiret1"/>
        <w:pBdr>
          <w:top w:val="single" w:sz="4" w:space="1" w:color="auto"/>
          <w:left w:val="single" w:sz="4" w:space="4" w:color="auto"/>
          <w:bottom w:val="single" w:sz="4" w:space="1" w:color="auto"/>
          <w:right w:val="single" w:sz="4" w:space="4" w:color="auto"/>
        </w:pBdr>
        <w:rPr>
          <w:noProof/>
        </w:rPr>
      </w:pPr>
      <w:r w:rsidRPr="00150ABA">
        <w:rPr>
          <w:noProof/>
        </w:rPr>
        <w:t>annual discharge granted by the European Parliament;</w:t>
      </w:r>
    </w:p>
    <w:p w14:paraId="794D3F3C" w14:textId="77777777" w:rsidR="00420CBA" w:rsidRPr="00150ABA" w:rsidRDefault="00420CBA" w:rsidP="00420CBA">
      <w:pPr>
        <w:pStyle w:val="Tiret1"/>
        <w:pBdr>
          <w:top w:val="single" w:sz="4" w:space="1" w:color="auto"/>
          <w:left w:val="single" w:sz="4" w:space="4" w:color="auto"/>
          <w:bottom w:val="single" w:sz="4" w:space="1" w:color="auto"/>
          <w:right w:val="single" w:sz="4" w:space="4" w:color="auto"/>
        </w:pBdr>
        <w:rPr>
          <w:noProof/>
        </w:rPr>
      </w:pPr>
      <w:r w:rsidRPr="00150ABA">
        <w:rPr>
          <w:noProof/>
        </w:rPr>
        <w:t>possible investigations conducted by OLAF to ensure, in particular, that the resources allocated to agencies are put to proper use;</w:t>
      </w:r>
    </w:p>
    <w:p w14:paraId="237FD90F" w14:textId="77777777" w:rsidR="00420CBA" w:rsidRPr="00150ABA" w:rsidRDefault="00420CBA" w:rsidP="00420CBA">
      <w:pPr>
        <w:pStyle w:val="Tiret1"/>
        <w:pBdr>
          <w:top w:val="single" w:sz="4" w:space="1" w:color="auto"/>
          <w:left w:val="single" w:sz="4" w:space="4" w:color="auto"/>
          <w:bottom w:val="single" w:sz="4" w:space="1" w:color="auto"/>
          <w:right w:val="single" w:sz="4" w:space="4" w:color="auto"/>
        </w:pBdr>
        <w:rPr>
          <w:noProof/>
        </w:rPr>
      </w:pPr>
      <w:r w:rsidRPr="00150ABA">
        <w:rPr>
          <w:noProof/>
        </w:rPr>
        <w:t>a further layer of control and accountability by the European Ombudsman.</w:t>
      </w:r>
    </w:p>
    <w:p w14:paraId="7AB6DC74" w14:textId="415D65D0" w:rsidR="00A728BA" w:rsidRPr="00150ABA" w:rsidRDefault="00D76D82" w:rsidP="00D76D82">
      <w:pPr>
        <w:pStyle w:val="ManualHeading3"/>
        <w:rPr>
          <w:bCs/>
          <w:noProof/>
          <w:szCs w:val="24"/>
        </w:rPr>
      </w:pPr>
      <w:bookmarkStart w:id="22" w:name="_Toc85196964"/>
      <w:r w:rsidRPr="00D76D82">
        <w:t>2.2.2.</w:t>
      </w:r>
      <w:r w:rsidRPr="00D76D82">
        <w:tab/>
      </w:r>
      <w:r w:rsidR="00A728BA" w:rsidRPr="00150ABA">
        <w:rPr>
          <w:noProof/>
        </w:rPr>
        <w:t>Information concerning the risks identified and the internal control system(s) set up to mitigate them</w:t>
      </w:r>
      <w:bookmarkEnd w:id="22"/>
    </w:p>
    <w:p w14:paraId="54343D55" w14:textId="77777777" w:rsidR="00A728BA" w:rsidRPr="00150ABA" w:rsidRDefault="006F6F3C" w:rsidP="006F6F3C">
      <w:pPr>
        <w:pStyle w:val="Text1"/>
        <w:pBdr>
          <w:top w:val="single" w:sz="4" w:space="1" w:color="auto"/>
          <w:left w:val="single" w:sz="4" w:space="4" w:color="auto"/>
          <w:bottom w:val="single" w:sz="4" w:space="1" w:color="auto"/>
          <w:right w:val="single" w:sz="4" w:space="4" w:color="auto"/>
        </w:pBdr>
        <w:rPr>
          <w:noProof/>
        </w:rPr>
      </w:pPr>
      <w:r w:rsidRPr="00150ABA">
        <w:rPr>
          <w:noProof/>
        </w:rPr>
        <w:t>No specific risks have been identified at this stage</w:t>
      </w:r>
      <w:r w:rsidR="00A728BA" w:rsidRPr="00150ABA">
        <w:rPr>
          <w:noProof/>
        </w:rPr>
        <w:t>.</w:t>
      </w:r>
    </w:p>
    <w:p w14:paraId="7321D4FF" w14:textId="549709BC" w:rsidR="00A728BA" w:rsidRPr="00150ABA" w:rsidRDefault="00D76D82" w:rsidP="00D76D82">
      <w:pPr>
        <w:pStyle w:val="ManualHeading3"/>
        <w:rPr>
          <w:noProof/>
        </w:rPr>
      </w:pPr>
      <w:bookmarkStart w:id="23" w:name="_Toc85196965"/>
      <w:r w:rsidRPr="00D76D82">
        <w:t>2.2.3.</w:t>
      </w:r>
      <w:r w:rsidRPr="00D76D82">
        <w:tab/>
      </w:r>
      <w:r w:rsidR="00A728BA" w:rsidRPr="00150ABA">
        <w:rPr>
          <w:noProof/>
        </w:rPr>
        <w:t>Estimation and justification of the cost-effectiveness of the controls (ratio of "control costs ÷ value of the related funds managed"), and assessment of the expected levels of risk of error (at payment &amp; at closure)</w:t>
      </w:r>
      <w:bookmarkEnd w:id="23"/>
      <w:r w:rsidR="00A728BA" w:rsidRPr="00150ABA">
        <w:rPr>
          <w:noProof/>
        </w:rPr>
        <w:t xml:space="preserve"> </w:t>
      </w:r>
    </w:p>
    <w:p w14:paraId="73F522C9" w14:textId="77777777" w:rsidR="006F6F3C" w:rsidRPr="00150ABA" w:rsidRDefault="006F6F3C" w:rsidP="006F6F3C">
      <w:pPr>
        <w:pStyle w:val="Text1"/>
        <w:pBdr>
          <w:top w:val="single" w:sz="4" w:space="1" w:color="auto"/>
          <w:left w:val="single" w:sz="4" w:space="4" w:color="auto"/>
          <w:bottom w:val="single" w:sz="4" w:space="1" w:color="auto"/>
          <w:right w:val="single" w:sz="4" w:space="4" w:color="auto"/>
        </w:pBdr>
        <w:rPr>
          <w:noProof/>
        </w:rPr>
      </w:pPr>
      <w:r w:rsidRPr="00150ABA">
        <w:rPr>
          <w:noProof/>
        </w:rPr>
        <w:t>The ratio of “control costs/payment of the related funds managed” is reported on by the Commission. The 2020 AAR of DG JUST reports 0.74% for this ratio in relation to Indirect Management Entrusted Entities and Decentralised Agencies.</w:t>
      </w:r>
    </w:p>
    <w:p w14:paraId="1E446571" w14:textId="6FE2384E" w:rsidR="00A728BA" w:rsidRPr="00150ABA" w:rsidRDefault="00D76D82" w:rsidP="00D76D82">
      <w:pPr>
        <w:pStyle w:val="ManualHeading2"/>
        <w:rPr>
          <w:bCs/>
          <w:noProof/>
          <w:szCs w:val="24"/>
        </w:rPr>
      </w:pPr>
      <w:bookmarkStart w:id="24" w:name="_Toc85196966"/>
      <w:r w:rsidRPr="00D76D82">
        <w:t>2.3.</w:t>
      </w:r>
      <w:r w:rsidRPr="00D76D82">
        <w:tab/>
      </w:r>
      <w:r w:rsidR="00A728BA" w:rsidRPr="00150ABA">
        <w:rPr>
          <w:noProof/>
        </w:rPr>
        <w:t>Measures to prevent fraud and irregularities</w:t>
      </w:r>
      <w:bookmarkEnd w:id="24"/>
      <w:r w:rsidR="00A728BA" w:rsidRPr="00150ABA">
        <w:rPr>
          <w:noProof/>
        </w:rPr>
        <w:t xml:space="preserve"> </w:t>
      </w:r>
    </w:p>
    <w:p w14:paraId="40F47399" w14:textId="77777777" w:rsidR="006F6F3C" w:rsidRPr="00150ABA" w:rsidRDefault="00A728BA" w:rsidP="006F6F3C">
      <w:pPr>
        <w:pStyle w:val="Text1"/>
        <w:rPr>
          <w:noProof/>
        </w:rPr>
      </w:pPr>
      <w:r w:rsidRPr="00150ABA">
        <w:rPr>
          <w:i/>
          <w:noProof/>
          <w:sz w:val="20"/>
        </w:rPr>
        <w:t>Specify existing or envisaged prevention and protection measures, e.g. from the Anti-Fraud Strategy.</w:t>
      </w:r>
    </w:p>
    <w:p w14:paraId="7D037C5C" w14:textId="77777777" w:rsidR="006F6F3C" w:rsidRPr="00150ABA" w:rsidRDefault="006F6F3C" w:rsidP="006F6F3C">
      <w:pPr>
        <w:pStyle w:val="Text1"/>
        <w:pBdr>
          <w:top w:val="single" w:sz="4" w:space="1" w:color="auto"/>
          <w:left w:val="single" w:sz="4" w:space="4" w:color="auto"/>
          <w:bottom w:val="single" w:sz="4" w:space="1" w:color="auto"/>
          <w:right w:val="single" w:sz="4" w:space="4" w:color="auto"/>
        </w:pBdr>
        <w:rPr>
          <w:noProof/>
        </w:rPr>
      </w:pPr>
      <w:r w:rsidRPr="00150ABA">
        <w:rPr>
          <w:noProof/>
        </w:rPr>
        <w:t>The measures related to combating fraud, corruption and other illegal activities are outlined, inter alia, in Article 50 of the eu-LISA Regulation and Article 75 of the Eurojust Regulation. Both agencies shall participate in fraud prevention activities of the European Anti-fraud Office and inform the Commission without delay on cases of presumed fraud and other financial irregularities</w:t>
      </w:r>
    </w:p>
    <w:p w14:paraId="09C6D614" w14:textId="77777777" w:rsidR="00A728BA" w:rsidRPr="00150ABA" w:rsidRDefault="00A728BA" w:rsidP="006F6F3C">
      <w:pPr>
        <w:rPr>
          <w:noProof/>
        </w:rPr>
        <w:sectPr w:rsidR="00A728BA" w:rsidRPr="00150ABA" w:rsidSect="00E45D24">
          <w:pgSz w:w="11907" w:h="16840" w:code="9"/>
          <w:pgMar w:top="1134" w:right="1418" w:bottom="1134" w:left="1418" w:header="709" w:footer="709" w:gutter="0"/>
          <w:cols w:space="708"/>
          <w:docGrid w:linePitch="360"/>
        </w:sectPr>
      </w:pPr>
    </w:p>
    <w:p w14:paraId="2C0F6C19" w14:textId="7DB3A587" w:rsidR="00A728BA" w:rsidRPr="00150ABA" w:rsidRDefault="00D76D82" w:rsidP="00D76D82">
      <w:pPr>
        <w:pStyle w:val="ManualHeading1"/>
        <w:rPr>
          <w:bCs/>
          <w:noProof/>
          <w:szCs w:val="24"/>
        </w:rPr>
      </w:pPr>
      <w:bookmarkStart w:id="25" w:name="_Toc85196967"/>
      <w:r w:rsidRPr="00D76D82">
        <w:t>3.</w:t>
      </w:r>
      <w:r w:rsidRPr="00D76D82">
        <w:tab/>
      </w:r>
      <w:r w:rsidR="00A728BA" w:rsidRPr="00150ABA">
        <w:rPr>
          <w:noProof/>
        </w:rPr>
        <w:t>ESTIMATED FINANCIAL IMPACT OF THE PROPOSAL/INITIATIVE</w:t>
      </w:r>
      <w:bookmarkEnd w:id="25"/>
      <w:r w:rsidR="00A728BA" w:rsidRPr="00150ABA">
        <w:rPr>
          <w:noProof/>
        </w:rPr>
        <w:t xml:space="preserve"> </w:t>
      </w:r>
    </w:p>
    <w:p w14:paraId="66B2C2B6" w14:textId="6745D971" w:rsidR="00A728BA" w:rsidRPr="00150ABA" w:rsidRDefault="00D76D82" w:rsidP="00D76D82">
      <w:pPr>
        <w:pStyle w:val="ManualHeading2"/>
        <w:rPr>
          <w:noProof/>
        </w:rPr>
      </w:pPr>
      <w:bookmarkStart w:id="26" w:name="_Toc85196968"/>
      <w:r w:rsidRPr="00D76D82">
        <w:t>3.1.</w:t>
      </w:r>
      <w:r w:rsidRPr="00D76D82">
        <w:tab/>
      </w:r>
      <w:r w:rsidR="00A728BA" w:rsidRPr="00150ABA">
        <w:rPr>
          <w:noProof/>
        </w:rPr>
        <w:t>Heading(s) of the multiannual financial framework and expenditure budget line(s) affected</w:t>
      </w:r>
      <w:bookmarkEnd w:id="26"/>
      <w:r w:rsidR="00A728BA" w:rsidRPr="00150ABA">
        <w:rPr>
          <w:noProof/>
        </w:rPr>
        <w:t xml:space="preserve"> </w:t>
      </w:r>
    </w:p>
    <w:p w14:paraId="72E4B2D4" w14:textId="77777777" w:rsidR="00A728BA" w:rsidRPr="00150ABA" w:rsidRDefault="00A728BA" w:rsidP="006F6F3C">
      <w:pPr>
        <w:pStyle w:val="ListBullet1"/>
        <w:rPr>
          <w:noProof/>
        </w:rPr>
      </w:pPr>
      <w:r w:rsidRPr="00150ABA">
        <w:rPr>
          <w:noProof/>
        </w:rPr>
        <w:t xml:space="preserve">Existing budget lines </w:t>
      </w:r>
    </w:p>
    <w:p w14:paraId="4AAD72BD" w14:textId="77777777" w:rsidR="00A728BA" w:rsidRPr="00150ABA" w:rsidRDefault="00A728BA" w:rsidP="006F6F3C">
      <w:pPr>
        <w:pStyle w:val="Text1"/>
        <w:rPr>
          <w:i/>
          <w:noProof/>
        </w:rPr>
      </w:pPr>
      <w:r w:rsidRPr="00150ABA">
        <w:rPr>
          <w:i/>
          <w:noProof/>
          <w:u w:val="single"/>
        </w:rPr>
        <w:t>In order</w:t>
      </w:r>
      <w:r w:rsidRPr="00150ABA">
        <w:rPr>
          <w:i/>
          <w:noProof/>
        </w:rPr>
        <w:t xml:space="preserve"> of multiannual financial framework headings and budget lines.</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6F6F3C" w:rsidRPr="00150ABA" w14:paraId="623DD6F8" w14:textId="77777777" w:rsidTr="006F6F3C">
        <w:tc>
          <w:tcPr>
            <w:tcW w:w="1080" w:type="dxa"/>
            <w:vMerge w:val="restart"/>
            <w:vAlign w:val="center"/>
          </w:tcPr>
          <w:p w14:paraId="7B17A315" w14:textId="77777777" w:rsidR="006F6F3C" w:rsidRPr="00150ABA" w:rsidRDefault="006F6F3C" w:rsidP="006F6F3C">
            <w:pPr>
              <w:spacing w:before="60" w:after="60"/>
              <w:jc w:val="center"/>
              <w:rPr>
                <w:noProof/>
                <w:sz w:val="18"/>
                <w:lang w:eastAsia="en-GB"/>
              </w:rPr>
            </w:pPr>
            <w:r w:rsidRPr="00150ABA">
              <w:rPr>
                <w:noProof/>
                <w:sz w:val="18"/>
                <w:lang w:eastAsia="en-GB"/>
              </w:rPr>
              <w:t>Heading of multiannual financial framework</w:t>
            </w:r>
          </w:p>
        </w:tc>
        <w:tc>
          <w:tcPr>
            <w:tcW w:w="3960" w:type="dxa"/>
            <w:vAlign w:val="center"/>
          </w:tcPr>
          <w:p w14:paraId="54D86872" w14:textId="77777777" w:rsidR="006F6F3C" w:rsidRPr="00150ABA" w:rsidRDefault="006F6F3C" w:rsidP="006F6F3C">
            <w:pPr>
              <w:spacing w:before="60" w:after="60"/>
              <w:jc w:val="center"/>
              <w:rPr>
                <w:noProof/>
                <w:lang w:eastAsia="en-GB"/>
              </w:rPr>
            </w:pPr>
            <w:r w:rsidRPr="00150ABA">
              <w:rPr>
                <w:noProof/>
                <w:sz w:val="20"/>
                <w:lang w:eastAsia="en-GB"/>
              </w:rPr>
              <w:t>Budget line</w:t>
            </w:r>
          </w:p>
        </w:tc>
        <w:tc>
          <w:tcPr>
            <w:tcW w:w="1080" w:type="dxa"/>
            <w:vAlign w:val="center"/>
          </w:tcPr>
          <w:p w14:paraId="0D2BB529" w14:textId="77777777" w:rsidR="006F6F3C" w:rsidRPr="00150ABA" w:rsidRDefault="006F6F3C" w:rsidP="006F6F3C">
            <w:pPr>
              <w:spacing w:before="60" w:after="60"/>
              <w:jc w:val="center"/>
              <w:rPr>
                <w:noProof/>
                <w:lang w:eastAsia="en-GB"/>
              </w:rPr>
            </w:pPr>
            <w:r w:rsidRPr="00150ABA">
              <w:rPr>
                <w:noProof/>
                <w:sz w:val="18"/>
                <w:lang w:eastAsia="en-GB"/>
              </w:rPr>
              <w:t xml:space="preserve">Type of </w:t>
            </w:r>
            <w:r w:rsidRPr="00150ABA">
              <w:rPr>
                <w:noProof/>
                <w:sz w:val="22"/>
                <w:lang w:eastAsia="en-GB"/>
              </w:rPr>
              <w:br/>
            </w:r>
            <w:r w:rsidRPr="00150ABA">
              <w:rPr>
                <w:noProof/>
                <w:sz w:val="18"/>
                <w:lang w:eastAsia="en-GB"/>
              </w:rPr>
              <w:t>expenditure</w:t>
            </w:r>
          </w:p>
        </w:tc>
        <w:tc>
          <w:tcPr>
            <w:tcW w:w="4556" w:type="dxa"/>
            <w:gridSpan w:val="4"/>
            <w:vAlign w:val="center"/>
          </w:tcPr>
          <w:p w14:paraId="60D18DE8" w14:textId="77777777" w:rsidR="006F6F3C" w:rsidRPr="00150ABA" w:rsidRDefault="006F6F3C" w:rsidP="006F6F3C">
            <w:pPr>
              <w:spacing w:before="60" w:after="60"/>
              <w:jc w:val="center"/>
              <w:rPr>
                <w:noProof/>
                <w:lang w:eastAsia="en-GB"/>
              </w:rPr>
            </w:pPr>
            <w:r w:rsidRPr="00150ABA">
              <w:rPr>
                <w:noProof/>
                <w:sz w:val="20"/>
                <w:lang w:eastAsia="en-GB"/>
              </w:rPr>
              <w:t xml:space="preserve">Contribution </w:t>
            </w:r>
          </w:p>
        </w:tc>
      </w:tr>
      <w:tr w:rsidR="006F6F3C" w:rsidRPr="00150ABA" w14:paraId="06E4AE3C" w14:textId="77777777" w:rsidTr="006F6F3C">
        <w:trPr>
          <w:trHeight w:val="618"/>
        </w:trPr>
        <w:tc>
          <w:tcPr>
            <w:tcW w:w="1080" w:type="dxa"/>
            <w:vMerge/>
            <w:vAlign w:val="center"/>
          </w:tcPr>
          <w:p w14:paraId="796CD230" w14:textId="77777777" w:rsidR="006F6F3C" w:rsidRPr="00150ABA" w:rsidRDefault="006F6F3C" w:rsidP="006F6F3C">
            <w:pPr>
              <w:rPr>
                <w:noProof/>
                <w:sz w:val="18"/>
                <w:lang w:eastAsia="en-GB"/>
              </w:rPr>
            </w:pPr>
          </w:p>
        </w:tc>
        <w:tc>
          <w:tcPr>
            <w:tcW w:w="3960" w:type="dxa"/>
            <w:vAlign w:val="center"/>
          </w:tcPr>
          <w:p w14:paraId="5EC8836E" w14:textId="77777777" w:rsidR="006F6F3C" w:rsidRPr="00150ABA" w:rsidRDefault="006F6F3C" w:rsidP="006F6F3C">
            <w:pPr>
              <w:rPr>
                <w:noProof/>
                <w:lang w:eastAsia="en-GB"/>
              </w:rPr>
            </w:pPr>
            <w:r w:rsidRPr="00150ABA">
              <w:rPr>
                <w:noProof/>
                <w:sz w:val="20"/>
                <w:lang w:eastAsia="en-GB"/>
              </w:rPr>
              <w:t xml:space="preserve">Number </w:t>
            </w:r>
            <w:r w:rsidRPr="00150ABA">
              <w:rPr>
                <w:noProof/>
                <w:sz w:val="22"/>
                <w:lang w:eastAsia="en-GB"/>
              </w:rPr>
              <w:br/>
            </w:r>
          </w:p>
        </w:tc>
        <w:tc>
          <w:tcPr>
            <w:tcW w:w="1080" w:type="dxa"/>
            <w:vAlign w:val="center"/>
          </w:tcPr>
          <w:p w14:paraId="4D6706E0" w14:textId="77777777" w:rsidR="006F6F3C" w:rsidRPr="00150ABA" w:rsidRDefault="006F6F3C" w:rsidP="006F6F3C">
            <w:pPr>
              <w:jc w:val="center"/>
              <w:rPr>
                <w:noProof/>
                <w:lang w:eastAsia="en-GB"/>
              </w:rPr>
            </w:pPr>
            <w:r w:rsidRPr="00150ABA">
              <w:rPr>
                <w:noProof/>
                <w:sz w:val="18"/>
                <w:lang w:eastAsia="en-GB"/>
              </w:rPr>
              <w:t>Diff./Non-diff.</w:t>
            </w:r>
            <w:r w:rsidRPr="00150ABA">
              <w:rPr>
                <w:rStyle w:val="FootnoteReference"/>
                <w:noProof/>
              </w:rPr>
              <w:footnoteReference w:id="34"/>
            </w:r>
          </w:p>
        </w:tc>
        <w:tc>
          <w:tcPr>
            <w:tcW w:w="956" w:type="dxa"/>
            <w:vAlign w:val="center"/>
          </w:tcPr>
          <w:p w14:paraId="047F9925" w14:textId="77777777" w:rsidR="006F6F3C" w:rsidRPr="00150ABA" w:rsidRDefault="006F6F3C" w:rsidP="006F6F3C">
            <w:pPr>
              <w:jc w:val="center"/>
              <w:rPr>
                <w:noProof/>
                <w:lang w:eastAsia="en-GB"/>
              </w:rPr>
            </w:pPr>
            <w:r w:rsidRPr="00150ABA">
              <w:rPr>
                <w:noProof/>
                <w:sz w:val="18"/>
                <w:lang w:eastAsia="en-GB"/>
              </w:rPr>
              <w:t>from EFTA countries</w:t>
            </w:r>
            <w:r w:rsidRPr="00150ABA">
              <w:rPr>
                <w:rStyle w:val="FootnoteReference"/>
                <w:noProof/>
              </w:rPr>
              <w:footnoteReference w:id="35"/>
            </w:r>
          </w:p>
        </w:tc>
        <w:tc>
          <w:tcPr>
            <w:tcW w:w="1080" w:type="dxa"/>
            <w:vAlign w:val="center"/>
          </w:tcPr>
          <w:p w14:paraId="2E22C4C8" w14:textId="77777777" w:rsidR="006F6F3C" w:rsidRPr="00150ABA" w:rsidRDefault="006F6F3C" w:rsidP="006F6F3C">
            <w:pPr>
              <w:jc w:val="center"/>
              <w:rPr>
                <w:noProof/>
                <w:sz w:val="18"/>
                <w:lang w:eastAsia="en-GB"/>
              </w:rPr>
            </w:pPr>
            <w:r w:rsidRPr="00150ABA">
              <w:rPr>
                <w:noProof/>
                <w:sz w:val="18"/>
                <w:lang w:eastAsia="en-GB"/>
              </w:rPr>
              <w:t>from candidate countries</w:t>
            </w:r>
            <w:r w:rsidRPr="00150ABA">
              <w:rPr>
                <w:rStyle w:val="FootnoteReference"/>
                <w:noProof/>
              </w:rPr>
              <w:footnoteReference w:id="36"/>
            </w:r>
          </w:p>
        </w:tc>
        <w:tc>
          <w:tcPr>
            <w:tcW w:w="956" w:type="dxa"/>
            <w:vAlign w:val="center"/>
          </w:tcPr>
          <w:p w14:paraId="06E40A2C" w14:textId="77777777" w:rsidR="006F6F3C" w:rsidRPr="00150ABA" w:rsidRDefault="006F6F3C" w:rsidP="006F6F3C">
            <w:pPr>
              <w:jc w:val="center"/>
              <w:rPr>
                <w:noProof/>
                <w:sz w:val="18"/>
                <w:lang w:eastAsia="en-GB"/>
              </w:rPr>
            </w:pPr>
            <w:r w:rsidRPr="00150ABA">
              <w:rPr>
                <w:noProof/>
                <w:sz w:val="18"/>
                <w:lang w:eastAsia="en-GB"/>
              </w:rPr>
              <w:t>from third countries</w:t>
            </w:r>
          </w:p>
        </w:tc>
        <w:tc>
          <w:tcPr>
            <w:tcW w:w="1564" w:type="dxa"/>
            <w:vAlign w:val="center"/>
          </w:tcPr>
          <w:p w14:paraId="7566E178" w14:textId="77777777" w:rsidR="006F6F3C" w:rsidRPr="00150ABA" w:rsidRDefault="006F6F3C" w:rsidP="006F6F3C">
            <w:pPr>
              <w:jc w:val="center"/>
              <w:rPr>
                <w:noProof/>
                <w:sz w:val="16"/>
                <w:szCs w:val="16"/>
                <w:lang w:eastAsia="en-GB"/>
              </w:rPr>
            </w:pPr>
            <w:r w:rsidRPr="00150ABA">
              <w:rPr>
                <w:noProof/>
                <w:sz w:val="16"/>
                <w:szCs w:val="16"/>
                <w:lang w:eastAsia="en-GB"/>
              </w:rPr>
              <w:t xml:space="preserve">within the meaning of Article 21(2)(b) of the Financial Regulation </w:t>
            </w:r>
          </w:p>
        </w:tc>
      </w:tr>
      <w:tr w:rsidR="006F6F3C" w:rsidRPr="00150ABA" w14:paraId="2F975911" w14:textId="77777777" w:rsidTr="006F6F3C">
        <w:tc>
          <w:tcPr>
            <w:tcW w:w="1080" w:type="dxa"/>
            <w:vAlign w:val="center"/>
          </w:tcPr>
          <w:p w14:paraId="3FF3DCD9" w14:textId="4820F493" w:rsidR="006F6F3C" w:rsidRPr="00150ABA" w:rsidRDefault="00B76F83" w:rsidP="006F6F3C">
            <w:pPr>
              <w:jc w:val="center"/>
              <w:rPr>
                <w:noProof/>
                <w:lang w:eastAsia="en-GB"/>
              </w:rPr>
            </w:pPr>
            <w:r w:rsidRPr="00150ABA">
              <w:rPr>
                <w:noProof/>
                <w:lang w:eastAsia="en-GB"/>
              </w:rPr>
              <w:t>1</w:t>
            </w:r>
          </w:p>
        </w:tc>
        <w:tc>
          <w:tcPr>
            <w:tcW w:w="3960" w:type="dxa"/>
            <w:vAlign w:val="center"/>
          </w:tcPr>
          <w:p w14:paraId="096C4D99" w14:textId="78EB1C4E" w:rsidR="006F6F3C" w:rsidRPr="00150ABA" w:rsidRDefault="00B76F83" w:rsidP="00B76F83">
            <w:pPr>
              <w:rPr>
                <w:noProof/>
                <w:lang w:eastAsia="en-GB"/>
              </w:rPr>
            </w:pPr>
            <w:r w:rsidRPr="00150ABA">
              <w:rPr>
                <w:noProof/>
              </w:rPr>
              <w:t>Single market, innovation and digital</w:t>
            </w:r>
            <w:r w:rsidRPr="00150ABA" w:rsidDel="00B76F83">
              <w:rPr>
                <w:noProof/>
                <w:lang w:eastAsia="en-GB"/>
              </w:rPr>
              <w:t xml:space="preserve"> </w:t>
            </w:r>
          </w:p>
        </w:tc>
        <w:tc>
          <w:tcPr>
            <w:tcW w:w="1080" w:type="dxa"/>
            <w:vAlign w:val="center"/>
          </w:tcPr>
          <w:p w14:paraId="1AE9951D" w14:textId="77777777" w:rsidR="006F6F3C" w:rsidRPr="00150ABA" w:rsidRDefault="006F6F3C" w:rsidP="00F93057">
            <w:pPr>
              <w:jc w:val="center"/>
              <w:rPr>
                <w:noProof/>
                <w:szCs w:val="24"/>
                <w:lang w:eastAsia="en-GB"/>
              </w:rPr>
            </w:pPr>
            <w:r w:rsidRPr="00150ABA">
              <w:rPr>
                <w:noProof/>
                <w:szCs w:val="24"/>
                <w:lang w:eastAsia="en-GB"/>
              </w:rPr>
              <w:t>Diff./Non-diff.</w:t>
            </w:r>
          </w:p>
        </w:tc>
        <w:tc>
          <w:tcPr>
            <w:tcW w:w="956" w:type="dxa"/>
            <w:vAlign w:val="center"/>
          </w:tcPr>
          <w:p w14:paraId="0E0A4BA9" w14:textId="77777777" w:rsidR="006F6F3C" w:rsidRPr="00150ABA" w:rsidRDefault="006F6F3C" w:rsidP="00F93057">
            <w:pPr>
              <w:jc w:val="center"/>
              <w:rPr>
                <w:noProof/>
                <w:szCs w:val="24"/>
                <w:lang w:eastAsia="en-GB"/>
              </w:rPr>
            </w:pPr>
            <w:r w:rsidRPr="00150ABA">
              <w:rPr>
                <w:noProof/>
                <w:szCs w:val="24"/>
                <w:lang w:eastAsia="en-GB"/>
              </w:rPr>
              <w:t>NO</w:t>
            </w:r>
          </w:p>
        </w:tc>
        <w:tc>
          <w:tcPr>
            <w:tcW w:w="1080" w:type="dxa"/>
            <w:vAlign w:val="center"/>
          </w:tcPr>
          <w:p w14:paraId="3C0548DE" w14:textId="77777777" w:rsidR="006F6F3C" w:rsidRPr="00150ABA" w:rsidRDefault="006F6F3C" w:rsidP="00F93057">
            <w:pPr>
              <w:jc w:val="center"/>
              <w:rPr>
                <w:noProof/>
                <w:szCs w:val="24"/>
                <w:lang w:eastAsia="en-GB"/>
              </w:rPr>
            </w:pPr>
            <w:r w:rsidRPr="00150ABA">
              <w:rPr>
                <w:noProof/>
                <w:szCs w:val="24"/>
                <w:lang w:eastAsia="en-GB"/>
              </w:rPr>
              <w:t>NO</w:t>
            </w:r>
          </w:p>
        </w:tc>
        <w:tc>
          <w:tcPr>
            <w:tcW w:w="956" w:type="dxa"/>
            <w:vAlign w:val="center"/>
          </w:tcPr>
          <w:p w14:paraId="31C94883" w14:textId="77777777" w:rsidR="006F6F3C" w:rsidRPr="00150ABA" w:rsidRDefault="006F6F3C" w:rsidP="00F93057">
            <w:pPr>
              <w:jc w:val="center"/>
              <w:rPr>
                <w:noProof/>
                <w:szCs w:val="24"/>
                <w:lang w:eastAsia="en-GB"/>
              </w:rPr>
            </w:pPr>
            <w:r w:rsidRPr="00150ABA">
              <w:rPr>
                <w:noProof/>
                <w:szCs w:val="24"/>
                <w:lang w:eastAsia="en-GB"/>
              </w:rPr>
              <w:t>NO</w:t>
            </w:r>
          </w:p>
        </w:tc>
        <w:tc>
          <w:tcPr>
            <w:tcW w:w="1564" w:type="dxa"/>
            <w:vAlign w:val="center"/>
          </w:tcPr>
          <w:p w14:paraId="11EF9798" w14:textId="77777777" w:rsidR="006F6F3C" w:rsidRPr="00150ABA" w:rsidRDefault="006F6F3C" w:rsidP="00F93057">
            <w:pPr>
              <w:jc w:val="center"/>
              <w:rPr>
                <w:noProof/>
                <w:szCs w:val="24"/>
                <w:lang w:eastAsia="en-GB"/>
              </w:rPr>
            </w:pPr>
            <w:r w:rsidRPr="00150ABA">
              <w:rPr>
                <w:noProof/>
                <w:szCs w:val="24"/>
                <w:lang w:eastAsia="en-GB"/>
              </w:rPr>
              <w:t>NO</w:t>
            </w:r>
          </w:p>
        </w:tc>
      </w:tr>
      <w:tr w:rsidR="00FD0C57" w:rsidRPr="00150ABA" w14:paraId="7F5A26E6" w14:textId="77777777" w:rsidTr="00EB506F">
        <w:tc>
          <w:tcPr>
            <w:tcW w:w="1080" w:type="dxa"/>
            <w:vAlign w:val="center"/>
          </w:tcPr>
          <w:p w14:paraId="45FB7F6C" w14:textId="77777777" w:rsidR="00FD0C57" w:rsidRPr="00150ABA" w:rsidRDefault="00FD0C57" w:rsidP="00EB506F">
            <w:pPr>
              <w:jc w:val="center"/>
              <w:rPr>
                <w:noProof/>
                <w:lang w:eastAsia="en-GB"/>
              </w:rPr>
            </w:pPr>
            <w:r w:rsidRPr="00150ABA">
              <w:rPr>
                <w:noProof/>
                <w:lang w:eastAsia="en-GB"/>
              </w:rPr>
              <w:t>2</w:t>
            </w:r>
          </w:p>
        </w:tc>
        <w:tc>
          <w:tcPr>
            <w:tcW w:w="3960" w:type="dxa"/>
            <w:vAlign w:val="center"/>
          </w:tcPr>
          <w:p w14:paraId="5C541CF0" w14:textId="77777777" w:rsidR="00FD0C57" w:rsidRPr="00150ABA" w:rsidRDefault="00FD0C57" w:rsidP="00EB506F">
            <w:pPr>
              <w:spacing w:before="60"/>
              <w:rPr>
                <w:noProof/>
                <w:lang w:eastAsia="en-GB"/>
              </w:rPr>
            </w:pPr>
            <w:r w:rsidRPr="00150ABA">
              <w:rPr>
                <w:noProof/>
                <w:lang w:eastAsia="en-GB"/>
              </w:rPr>
              <w:t>Cohesion, resilience and values</w:t>
            </w:r>
          </w:p>
        </w:tc>
        <w:tc>
          <w:tcPr>
            <w:tcW w:w="1080" w:type="dxa"/>
            <w:vAlign w:val="center"/>
          </w:tcPr>
          <w:p w14:paraId="21E700B3" w14:textId="77777777" w:rsidR="00FD0C57" w:rsidRPr="00150ABA" w:rsidRDefault="00FD0C57" w:rsidP="00EB506F">
            <w:pPr>
              <w:jc w:val="center"/>
              <w:rPr>
                <w:noProof/>
                <w:color w:val="0000FF"/>
                <w:szCs w:val="24"/>
                <w:lang w:eastAsia="en-GB"/>
              </w:rPr>
            </w:pPr>
            <w:r w:rsidRPr="00150ABA">
              <w:rPr>
                <w:noProof/>
                <w:szCs w:val="24"/>
                <w:lang w:eastAsia="en-GB"/>
              </w:rPr>
              <w:t>Diff./Non-diff.</w:t>
            </w:r>
          </w:p>
        </w:tc>
        <w:tc>
          <w:tcPr>
            <w:tcW w:w="956" w:type="dxa"/>
            <w:vAlign w:val="center"/>
          </w:tcPr>
          <w:p w14:paraId="3612A0E1" w14:textId="77777777" w:rsidR="00FD0C57" w:rsidRPr="00150ABA" w:rsidRDefault="00FD0C57" w:rsidP="00EB506F">
            <w:pPr>
              <w:jc w:val="center"/>
              <w:rPr>
                <w:noProof/>
                <w:szCs w:val="24"/>
                <w:lang w:eastAsia="en-GB"/>
              </w:rPr>
            </w:pPr>
            <w:r w:rsidRPr="00150ABA">
              <w:rPr>
                <w:noProof/>
                <w:szCs w:val="24"/>
                <w:lang w:eastAsia="en-GB"/>
              </w:rPr>
              <w:t>NO</w:t>
            </w:r>
          </w:p>
        </w:tc>
        <w:tc>
          <w:tcPr>
            <w:tcW w:w="1080" w:type="dxa"/>
            <w:vAlign w:val="center"/>
          </w:tcPr>
          <w:p w14:paraId="03B2A704" w14:textId="77777777" w:rsidR="00FD0C57" w:rsidRPr="00150ABA" w:rsidRDefault="00FD0C57" w:rsidP="00EB506F">
            <w:pPr>
              <w:jc w:val="center"/>
              <w:rPr>
                <w:noProof/>
                <w:szCs w:val="24"/>
                <w:lang w:eastAsia="en-GB"/>
              </w:rPr>
            </w:pPr>
            <w:r w:rsidRPr="00150ABA">
              <w:rPr>
                <w:noProof/>
                <w:szCs w:val="24"/>
                <w:lang w:eastAsia="en-GB"/>
              </w:rPr>
              <w:t>NO</w:t>
            </w:r>
          </w:p>
        </w:tc>
        <w:tc>
          <w:tcPr>
            <w:tcW w:w="956" w:type="dxa"/>
            <w:vAlign w:val="center"/>
          </w:tcPr>
          <w:p w14:paraId="77BDFEAB" w14:textId="77777777" w:rsidR="00FD0C57" w:rsidRPr="00150ABA" w:rsidRDefault="00FD0C57" w:rsidP="00EB506F">
            <w:pPr>
              <w:jc w:val="center"/>
              <w:rPr>
                <w:noProof/>
                <w:szCs w:val="24"/>
                <w:lang w:eastAsia="en-GB"/>
              </w:rPr>
            </w:pPr>
            <w:r w:rsidRPr="00150ABA">
              <w:rPr>
                <w:noProof/>
                <w:szCs w:val="24"/>
                <w:lang w:eastAsia="en-GB"/>
              </w:rPr>
              <w:t>NO</w:t>
            </w:r>
          </w:p>
        </w:tc>
        <w:tc>
          <w:tcPr>
            <w:tcW w:w="1564" w:type="dxa"/>
            <w:vAlign w:val="center"/>
          </w:tcPr>
          <w:p w14:paraId="4EDFEB7E" w14:textId="77777777" w:rsidR="00FD0C57" w:rsidRPr="00150ABA" w:rsidRDefault="00FD0C57" w:rsidP="00EB506F">
            <w:pPr>
              <w:jc w:val="center"/>
              <w:rPr>
                <w:noProof/>
                <w:szCs w:val="24"/>
                <w:lang w:eastAsia="en-GB"/>
              </w:rPr>
            </w:pPr>
            <w:r w:rsidRPr="00150ABA">
              <w:rPr>
                <w:noProof/>
                <w:szCs w:val="24"/>
                <w:lang w:eastAsia="en-GB"/>
              </w:rPr>
              <w:t>NO</w:t>
            </w:r>
          </w:p>
        </w:tc>
      </w:tr>
      <w:tr w:rsidR="00BA350C" w:rsidRPr="00150ABA" w14:paraId="3104A037" w14:textId="77777777" w:rsidTr="006F6F3C">
        <w:tc>
          <w:tcPr>
            <w:tcW w:w="1080" w:type="dxa"/>
            <w:vAlign w:val="center"/>
          </w:tcPr>
          <w:p w14:paraId="41DBDB2B" w14:textId="599276CB" w:rsidR="00BA350C" w:rsidRPr="00150ABA" w:rsidRDefault="00BA350C" w:rsidP="00BA350C">
            <w:pPr>
              <w:jc w:val="center"/>
              <w:rPr>
                <w:noProof/>
                <w:lang w:eastAsia="en-GB"/>
              </w:rPr>
            </w:pPr>
            <w:r w:rsidRPr="00150ABA">
              <w:rPr>
                <w:noProof/>
                <w:lang w:eastAsia="en-GB"/>
              </w:rPr>
              <w:t>4</w:t>
            </w:r>
          </w:p>
        </w:tc>
        <w:tc>
          <w:tcPr>
            <w:tcW w:w="3960" w:type="dxa"/>
            <w:vAlign w:val="center"/>
          </w:tcPr>
          <w:p w14:paraId="2A73EB2C" w14:textId="4A7C5D21" w:rsidR="00BA350C" w:rsidRPr="00150ABA" w:rsidRDefault="00BA350C" w:rsidP="00BA350C">
            <w:pPr>
              <w:spacing w:before="60"/>
              <w:rPr>
                <w:noProof/>
                <w:lang w:eastAsia="en-GB"/>
              </w:rPr>
            </w:pPr>
            <w:r w:rsidRPr="00150ABA">
              <w:rPr>
                <w:noProof/>
                <w:lang w:eastAsia="en-GB"/>
              </w:rPr>
              <w:t>Migration and border control</w:t>
            </w:r>
          </w:p>
        </w:tc>
        <w:tc>
          <w:tcPr>
            <w:tcW w:w="1080" w:type="dxa"/>
            <w:vAlign w:val="center"/>
          </w:tcPr>
          <w:p w14:paraId="3C11B5B3" w14:textId="4FFFCD43" w:rsidR="00BA350C" w:rsidRPr="00150ABA" w:rsidRDefault="00BA350C" w:rsidP="00BA350C">
            <w:pPr>
              <w:jc w:val="center"/>
              <w:rPr>
                <w:noProof/>
                <w:szCs w:val="24"/>
                <w:lang w:eastAsia="en-GB"/>
              </w:rPr>
            </w:pPr>
            <w:r w:rsidRPr="00150ABA">
              <w:rPr>
                <w:noProof/>
                <w:szCs w:val="24"/>
                <w:lang w:eastAsia="en-GB"/>
              </w:rPr>
              <w:t>Diff./Non-diff.</w:t>
            </w:r>
          </w:p>
        </w:tc>
        <w:tc>
          <w:tcPr>
            <w:tcW w:w="956" w:type="dxa"/>
            <w:vAlign w:val="center"/>
          </w:tcPr>
          <w:p w14:paraId="0E746F25" w14:textId="4CAD3868" w:rsidR="00BA350C" w:rsidRPr="00150ABA" w:rsidRDefault="00BA350C" w:rsidP="00BA350C">
            <w:pPr>
              <w:jc w:val="center"/>
              <w:rPr>
                <w:noProof/>
                <w:szCs w:val="24"/>
                <w:lang w:eastAsia="en-GB"/>
              </w:rPr>
            </w:pPr>
            <w:r w:rsidRPr="00150ABA">
              <w:rPr>
                <w:noProof/>
                <w:szCs w:val="24"/>
                <w:lang w:eastAsia="en-GB"/>
              </w:rPr>
              <w:t>NO</w:t>
            </w:r>
          </w:p>
        </w:tc>
        <w:tc>
          <w:tcPr>
            <w:tcW w:w="1080" w:type="dxa"/>
            <w:vAlign w:val="center"/>
          </w:tcPr>
          <w:p w14:paraId="23D88D20" w14:textId="2C59C167" w:rsidR="00BA350C" w:rsidRPr="00150ABA" w:rsidRDefault="00BA350C" w:rsidP="00BA350C">
            <w:pPr>
              <w:jc w:val="center"/>
              <w:rPr>
                <w:noProof/>
                <w:szCs w:val="24"/>
                <w:lang w:eastAsia="en-GB"/>
              </w:rPr>
            </w:pPr>
            <w:r w:rsidRPr="00150ABA">
              <w:rPr>
                <w:noProof/>
                <w:szCs w:val="24"/>
                <w:lang w:eastAsia="en-GB"/>
              </w:rPr>
              <w:t>NO</w:t>
            </w:r>
          </w:p>
        </w:tc>
        <w:tc>
          <w:tcPr>
            <w:tcW w:w="956" w:type="dxa"/>
            <w:vAlign w:val="center"/>
          </w:tcPr>
          <w:p w14:paraId="45AABE52" w14:textId="0A5D5B2C" w:rsidR="00BA350C" w:rsidRPr="00150ABA" w:rsidRDefault="00BA350C" w:rsidP="00BA350C">
            <w:pPr>
              <w:jc w:val="center"/>
              <w:rPr>
                <w:noProof/>
                <w:szCs w:val="24"/>
                <w:lang w:eastAsia="en-GB"/>
              </w:rPr>
            </w:pPr>
            <w:r w:rsidRPr="00150ABA">
              <w:rPr>
                <w:noProof/>
                <w:szCs w:val="24"/>
                <w:lang w:eastAsia="en-GB"/>
              </w:rPr>
              <w:t>NO</w:t>
            </w:r>
          </w:p>
        </w:tc>
        <w:tc>
          <w:tcPr>
            <w:tcW w:w="1564" w:type="dxa"/>
            <w:vAlign w:val="center"/>
          </w:tcPr>
          <w:p w14:paraId="42542462" w14:textId="3A7F56CA" w:rsidR="00BA350C" w:rsidRPr="00150ABA" w:rsidRDefault="00BA350C" w:rsidP="00BA350C">
            <w:pPr>
              <w:jc w:val="center"/>
              <w:rPr>
                <w:noProof/>
                <w:szCs w:val="24"/>
                <w:lang w:eastAsia="en-GB"/>
              </w:rPr>
            </w:pPr>
            <w:r w:rsidRPr="00150ABA">
              <w:rPr>
                <w:noProof/>
                <w:szCs w:val="24"/>
                <w:lang w:eastAsia="en-GB"/>
              </w:rPr>
              <w:t>NO</w:t>
            </w:r>
          </w:p>
        </w:tc>
      </w:tr>
      <w:tr w:rsidR="00BA350C" w:rsidRPr="00150ABA" w14:paraId="2DBC3E46" w14:textId="77777777" w:rsidTr="006F6F3C">
        <w:tc>
          <w:tcPr>
            <w:tcW w:w="1080" w:type="dxa"/>
            <w:vAlign w:val="center"/>
          </w:tcPr>
          <w:p w14:paraId="5C40B984" w14:textId="77777777" w:rsidR="00BA350C" w:rsidRPr="00150ABA" w:rsidRDefault="00BA350C" w:rsidP="00BA350C">
            <w:pPr>
              <w:jc w:val="center"/>
              <w:rPr>
                <w:noProof/>
                <w:lang w:eastAsia="en-GB"/>
              </w:rPr>
            </w:pPr>
            <w:r w:rsidRPr="00150ABA">
              <w:rPr>
                <w:noProof/>
                <w:lang w:eastAsia="en-GB"/>
              </w:rPr>
              <w:t>7</w:t>
            </w:r>
          </w:p>
        </w:tc>
        <w:tc>
          <w:tcPr>
            <w:tcW w:w="3960" w:type="dxa"/>
            <w:vAlign w:val="center"/>
          </w:tcPr>
          <w:p w14:paraId="3A19DCB6" w14:textId="435E72FC" w:rsidR="00BA350C" w:rsidRPr="00150ABA" w:rsidRDefault="00BA350C" w:rsidP="00BA350C">
            <w:pPr>
              <w:spacing w:before="60"/>
              <w:rPr>
                <w:noProof/>
                <w:lang w:eastAsia="en-GB"/>
              </w:rPr>
            </w:pPr>
            <w:r w:rsidRPr="00150ABA">
              <w:rPr>
                <w:noProof/>
                <w:lang w:eastAsia="en-GB"/>
              </w:rPr>
              <w:t>Euro</w:t>
            </w:r>
            <w:r w:rsidRPr="00150ABA">
              <w:rPr>
                <w:noProof/>
                <w:sz w:val="23"/>
                <w:szCs w:val="23"/>
                <w:lang w:eastAsia="en-GB"/>
              </w:rPr>
              <w:t>pean public administration</w:t>
            </w:r>
          </w:p>
        </w:tc>
        <w:tc>
          <w:tcPr>
            <w:tcW w:w="1080" w:type="dxa"/>
            <w:vAlign w:val="center"/>
          </w:tcPr>
          <w:p w14:paraId="0D351134" w14:textId="77777777" w:rsidR="00BA350C" w:rsidRPr="00150ABA" w:rsidRDefault="00BA350C" w:rsidP="00BA350C">
            <w:pPr>
              <w:jc w:val="center"/>
              <w:rPr>
                <w:noProof/>
                <w:szCs w:val="24"/>
                <w:lang w:eastAsia="en-GB"/>
              </w:rPr>
            </w:pPr>
            <w:r w:rsidRPr="00150ABA">
              <w:rPr>
                <w:noProof/>
                <w:szCs w:val="24"/>
                <w:lang w:eastAsia="en-GB"/>
              </w:rPr>
              <w:t>Non-diff.</w:t>
            </w:r>
          </w:p>
        </w:tc>
        <w:tc>
          <w:tcPr>
            <w:tcW w:w="956" w:type="dxa"/>
            <w:vAlign w:val="center"/>
          </w:tcPr>
          <w:p w14:paraId="47E1BE9F" w14:textId="77777777" w:rsidR="00BA350C" w:rsidRPr="00150ABA" w:rsidRDefault="00BA350C" w:rsidP="00BA350C">
            <w:pPr>
              <w:jc w:val="center"/>
              <w:rPr>
                <w:noProof/>
                <w:szCs w:val="24"/>
                <w:lang w:eastAsia="en-GB"/>
              </w:rPr>
            </w:pPr>
            <w:r w:rsidRPr="00150ABA">
              <w:rPr>
                <w:noProof/>
                <w:szCs w:val="24"/>
                <w:lang w:eastAsia="en-GB"/>
              </w:rPr>
              <w:t>NO</w:t>
            </w:r>
          </w:p>
        </w:tc>
        <w:tc>
          <w:tcPr>
            <w:tcW w:w="1080" w:type="dxa"/>
            <w:vAlign w:val="center"/>
          </w:tcPr>
          <w:p w14:paraId="3A5AC596" w14:textId="77777777" w:rsidR="00BA350C" w:rsidRPr="00150ABA" w:rsidRDefault="00BA350C" w:rsidP="00BA350C">
            <w:pPr>
              <w:jc w:val="center"/>
              <w:rPr>
                <w:noProof/>
                <w:szCs w:val="24"/>
                <w:lang w:eastAsia="en-GB"/>
              </w:rPr>
            </w:pPr>
            <w:r w:rsidRPr="00150ABA">
              <w:rPr>
                <w:noProof/>
                <w:szCs w:val="24"/>
                <w:lang w:eastAsia="en-GB"/>
              </w:rPr>
              <w:t>NO</w:t>
            </w:r>
          </w:p>
        </w:tc>
        <w:tc>
          <w:tcPr>
            <w:tcW w:w="956" w:type="dxa"/>
            <w:vAlign w:val="center"/>
          </w:tcPr>
          <w:p w14:paraId="475ACD94" w14:textId="77777777" w:rsidR="00BA350C" w:rsidRPr="00150ABA" w:rsidRDefault="00BA350C" w:rsidP="00BA350C">
            <w:pPr>
              <w:jc w:val="center"/>
              <w:rPr>
                <w:noProof/>
                <w:szCs w:val="24"/>
                <w:lang w:eastAsia="en-GB"/>
              </w:rPr>
            </w:pPr>
            <w:r w:rsidRPr="00150ABA">
              <w:rPr>
                <w:noProof/>
                <w:szCs w:val="24"/>
                <w:lang w:eastAsia="en-GB"/>
              </w:rPr>
              <w:t>NO</w:t>
            </w:r>
          </w:p>
        </w:tc>
        <w:tc>
          <w:tcPr>
            <w:tcW w:w="1564" w:type="dxa"/>
            <w:vAlign w:val="center"/>
          </w:tcPr>
          <w:p w14:paraId="018D888D" w14:textId="77777777" w:rsidR="00BA350C" w:rsidRPr="00150ABA" w:rsidRDefault="00BA350C" w:rsidP="00BA350C">
            <w:pPr>
              <w:jc w:val="center"/>
              <w:rPr>
                <w:noProof/>
                <w:szCs w:val="24"/>
                <w:lang w:eastAsia="en-GB"/>
              </w:rPr>
            </w:pPr>
            <w:r w:rsidRPr="00150ABA">
              <w:rPr>
                <w:noProof/>
                <w:szCs w:val="24"/>
                <w:lang w:eastAsia="en-GB"/>
              </w:rPr>
              <w:t>NO</w:t>
            </w:r>
          </w:p>
        </w:tc>
      </w:tr>
    </w:tbl>
    <w:p w14:paraId="29ADCDFC" w14:textId="77777777" w:rsidR="006F6F3C" w:rsidRPr="00150ABA" w:rsidRDefault="006F6F3C" w:rsidP="006F6F3C">
      <w:pPr>
        <w:pStyle w:val="Text1"/>
        <w:ind w:left="0"/>
        <w:rPr>
          <w:i/>
          <w:noProof/>
        </w:rPr>
      </w:pPr>
    </w:p>
    <w:p w14:paraId="0BC417A0" w14:textId="77777777" w:rsidR="00A728BA" w:rsidRPr="00150ABA" w:rsidRDefault="00A728BA" w:rsidP="006F6F3C">
      <w:pPr>
        <w:pStyle w:val="ListBullet1"/>
        <w:rPr>
          <w:noProof/>
        </w:rPr>
      </w:pPr>
      <w:r w:rsidRPr="00150ABA">
        <w:rPr>
          <w:noProof/>
        </w:rPr>
        <w:t xml:space="preserve">New budget lines requested </w:t>
      </w:r>
    </w:p>
    <w:p w14:paraId="7CCB1380" w14:textId="77777777" w:rsidR="00A728BA" w:rsidRPr="00150ABA" w:rsidRDefault="00A728BA" w:rsidP="006F6F3C">
      <w:pPr>
        <w:pStyle w:val="Text1"/>
        <w:rPr>
          <w:i/>
          <w:noProof/>
          <w:sz w:val="20"/>
        </w:rPr>
      </w:pPr>
      <w:r w:rsidRPr="00150ABA">
        <w:rPr>
          <w:i/>
          <w:noProof/>
          <w:u w:val="single"/>
        </w:rPr>
        <w:t>In order</w:t>
      </w:r>
      <w:r w:rsidRPr="00150ABA">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A728BA" w:rsidRPr="00150ABA" w14:paraId="5A153290" w14:textId="77777777" w:rsidTr="006F6F3C">
        <w:tc>
          <w:tcPr>
            <w:tcW w:w="1080" w:type="dxa"/>
            <w:vMerge w:val="restart"/>
            <w:vAlign w:val="center"/>
          </w:tcPr>
          <w:p w14:paraId="15B80ACE" w14:textId="77777777" w:rsidR="00A728BA" w:rsidRPr="00150ABA" w:rsidRDefault="00A728BA" w:rsidP="006F6F3C">
            <w:pPr>
              <w:spacing w:before="60" w:after="60"/>
              <w:jc w:val="center"/>
              <w:rPr>
                <w:noProof/>
                <w:sz w:val="18"/>
                <w:szCs w:val="18"/>
              </w:rPr>
            </w:pPr>
            <w:r w:rsidRPr="00150ABA">
              <w:rPr>
                <w:noProof/>
                <w:sz w:val="18"/>
              </w:rPr>
              <w:t>Heading of multiannual financial framework</w:t>
            </w:r>
          </w:p>
        </w:tc>
        <w:tc>
          <w:tcPr>
            <w:tcW w:w="3960" w:type="dxa"/>
            <w:vAlign w:val="center"/>
          </w:tcPr>
          <w:p w14:paraId="50832EEB" w14:textId="77777777" w:rsidR="00A728BA" w:rsidRPr="00150ABA" w:rsidRDefault="00A728BA" w:rsidP="006F6F3C">
            <w:pPr>
              <w:spacing w:before="60" w:after="60"/>
              <w:jc w:val="center"/>
              <w:rPr>
                <w:noProof/>
              </w:rPr>
            </w:pPr>
            <w:r w:rsidRPr="00150ABA">
              <w:rPr>
                <w:noProof/>
                <w:sz w:val="20"/>
              </w:rPr>
              <w:t>Budget line</w:t>
            </w:r>
          </w:p>
        </w:tc>
        <w:tc>
          <w:tcPr>
            <w:tcW w:w="1080" w:type="dxa"/>
            <w:vAlign w:val="center"/>
          </w:tcPr>
          <w:p w14:paraId="53ABBC0C" w14:textId="77777777" w:rsidR="00A728BA" w:rsidRPr="00150ABA" w:rsidRDefault="00A728BA" w:rsidP="006F6F3C">
            <w:pPr>
              <w:spacing w:before="60" w:after="60"/>
              <w:jc w:val="center"/>
              <w:rPr>
                <w:noProof/>
              </w:rPr>
            </w:pPr>
            <w:r w:rsidRPr="00150ABA">
              <w:rPr>
                <w:noProof/>
                <w:sz w:val="18"/>
              </w:rPr>
              <w:t>Type of</w:t>
            </w:r>
            <w:r w:rsidRPr="00150ABA">
              <w:rPr>
                <w:noProof/>
                <w:sz w:val="22"/>
              </w:rPr>
              <w:br/>
            </w:r>
            <w:r w:rsidRPr="00150ABA">
              <w:rPr>
                <w:noProof/>
                <w:sz w:val="18"/>
              </w:rPr>
              <w:t>expenditure</w:t>
            </w:r>
          </w:p>
        </w:tc>
        <w:tc>
          <w:tcPr>
            <w:tcW w:w="4440" w:type="dxa"/>
            <w:gridSpan w:val="4"/>
            <w:vAlign w:val="center"/>
          </w:tcPr>
          <w:p w14:paraId="7E59E78E" w14:textId="77777777" w:rsidR="00A728BA" w:rsidRPr="00150ABA" w:rsidRDefault="00A728BA" w:rsidP="006F6F3C">
            <w:pPr>
              <w:spacing w:before="60" w:after="60"/>
              <w:jc w:val="center"/>
              <w:rPr>
                <w:noProof/>
              </w:rPr>
            </w:pPr>
            <w:r w:rsidRPr="00150ABA">
              <w:rPr>
                <w:noProof/>
                <w:sz w:val="20"/>
              </w:rPr>
              <w:t xml:space="preserve">Contribution </w:t>
            </w:r>
          </w:p>
        </w:tc>
      </w:tr>
      <w:tr w:rsidR="00A728BA" w:rsidRPr="00150ABA" w14:paraId="64C29A49" w14:textId="77777777" w:rsidTr="006F6F3C">
        <w:tc>
          <w:tcPr>
            <w:tcW w:w="1080" w:type="dxa"/>
            <w:vMerge/>
            <w:vAlign w:val="center"/>
          </w:tcPr>
          <w:p w14:paraId="7A41A170" w14:textId="77777777" w:rsidR="00A728BA" w:rsidRPr="00150ABA" w:rsidRDefault="00A728BA" w:rsidP="006F6F3C">
            <w:pPr>
              <w:jc w:val="center"/>
              <w:rPr>
                <w:noProof/>
              </w:rPr>
            </w:pPr>
          </w:p>
        </w:tc>
        <w:tc>
          <w:tcPr>
            <w:tcW w:w="3960" w:type="dxa"/>
            <w:vAlign w:val="center"/>
          </w:tcPr>
          <w:p w14:paraId="42DB51CE" w14:textId="77777777" w:rsidR="00A728BA" w:rsidRPr="00150ABA" w:rsidRDefault="00A728BA" w:rsidP="006F6F3C">
            <w:pPr>
              <w:rPr>
                <w:noProof/>
              </w:rPr>
            </w:pPr>
            <w:r w:rsidRPr="00150ABA">
              <w:rPr>
                <w:noProof/>
                <w:sz w:val="20"/>
              </w:rPr>
              <w:t xml:space="preserve">Number </w:t>
            </w:r>
            <w:r w:rsidRPr="00150ABA">
              <w:rPr>
                <w:noProof/>
                <w:sz w:val="22"/>
              </w:rPr>
              <w:br/>
            </w:r>
          </w:p>
        </w:tc>
        <w:tc>
          <w:tcPr>
            <w:tcW w:w="1080" w:type="dxa"/>
            <w:vAlign w:val="center"/>
          </w:tcPr>
          <w:p w14:paraId="72DE1916" w14:textId="77777777" w:rsidR="00A728BA" w:rsidRPr="00150ABA" w:rsidRDefault="00A728BA" w:rsidP="006F6F3C">
            <w:pPr>
              <w:jc w:val="center"/>
              <w:rPr>
                <w:noProof/>
              </w:rPr>
            </w:pPr>
            <w:r w:rsidRPr="00150ABA">
              <w:rPr>
                <w:noProof/>
                <w:sz w:val="18"/>
              </w:rPr>
              <w:t>Diff./Non-diff.</w:t>
            </w:r>
          </w:p>
        </w:tc>
        <w:tc>
          <w:tcPr>
            <w:tcW w:w="956" w:type="dxa"/>
            <w:vAlign w:val="center"/>
          </w:tcPr>
          <w:p w14:paraId="4D75453F" w14:textId="77777777" w:rsidR="00A728BA" w:rsidRPr="00150ABA" w:rsidRDefault="00A728BA" w:rsidP="006F6F3C">
            <w:pPr>
              <w:jc w:val="center"/>
              <w:rPr>
                <w:noProof/>
                <w:sz w:val="18"/>
              </w:rPr>
            </w:pPr>
            <w:r w:rsidRPr="00150ABA">
              <w:rPr>
                <w:noProof/>
                <w:sz w:val="18"/>
              </w:rPr>
              <w:t>from EFTA countries</w:t>
            </w:r>
          </w:p>
        </w:tc>
        <w:tc>
          <w:tcPr>
            <w:tcW w:w="1080" w:type="dxa"/>
            <w:vAlign w:val="center"/>
          </w:tcPr>
          <w:p w14:paraId="26EE5D3A" w14:textId="77777777" w:rsidR="00A728BA" w:rsidRPr="00150ABA" w:rsidRDefault="00A728BA" w:rsidP="006F6F3C">
            <w:pPr>
              <w:jc w:val="center"/>
              <w:rPr>
                <w:noProof/>
                <w:sz w:val="18"/>
              </w:rPr>
            </w:pPr>
            <w:r w:rsidRPr="00150ABA">
              <w:rPr>
                <w:noProof/>
                <w:sz w:val="18"/>
              </w:rPr>
              <w:t>from candidate countries</w:t>
            </w:r>
          </w:p>
        </w:tc>
        <w:tc>
          <w:tcPr>
            <w:tcW w:w="956" w:type="dxa"/>
            <w:vAlign w:val="center"/>
          </w:tcPr>
          <w:p w14:paraId="217B3DA8" w14:textId="77777777" w:rsidR="00A728BA" w:rsidRPr="00150ABA" w:rsidRDefault="00A728BA" w:rsidP="006F6F3C">
            <w:pPr>
              <w:jc w:val="center"/>
              <w:rPr>
                <w:noProof/>
                <w:sz w:val="18"/>
              </w:rPr>
            </w:pPr>
            <w:r w:rsidRPr="00150ABA">
              <w:rPr>
                <w:noProof/>
                <w:sz w:val="18"/>
              </w:rPr>
              <w:t>from third countries</w:t>
            </w:r>
          </w:p>
        </w:tc>
        <w:tc>
          <w:tcPr>
            <w:tcW w:w="1448" w:type="dxa"/>
            <w:vAlign w:val="center"/>
          </w:tcPr>
          <w:p w14:paraId="0FF929BB" w14:textId="77777777" w:rsidR="00A728BA" w:rsidRPr="00150ABA" w:rsidRDefault="00A728BA" w:rsidP="006F6F3C">
            <w:pPr>
              <w:jc w:val="center"/>
              <w:rPr>
                <w:noProof/>
              </w:rPr>
            </w:pPr>
            <w:r w:rsidRPr="00150ABA">
              <w:rPr>
                <w:noProof/>
                <w:sz w:val="16"/>
              </w:rPr>
              <w:t xml:space="preserve">within the meaning of Article 21(2)(b) of the Financial Regulation </w:t>
            </w:r>
          </w:p>
        </w:tc>
      </w:tr>
      <w:tr w:rsidR="00A728BA" w:rsidRPr="00150ABA" w14:paraId="393E17CC" w14:textId="77777777" w:rsidTr="006F6F3C">
        <w:tc>
          <w:tcPr>
            <w:tcW w:w="1080" w:type="dxa"/>
            <w:vAlign w:val="center"/>
          </w:tcPr>
          <w:p w14:paraId="18A5DAEF" w14:textId="77777777" w:rsidR="00A728BA" w:rsidRPr="00150ABA" w:rsidRDefault="00A728BA" w:rsidP="006F6F3C">
            <w:pPr>
              <w:jc w:val="center"/>
              <w:rPr>
                <w:noProof/>
                <w:color w:val="0000FF"/>
              </w:rPr>
            </w:pPr>
          </w:p>
        </w:tc>
        <w:tc>
          <w:tcPr>
            <w:tcW w:w="3960" w:type="dxa"/>
            <w:vAlign w:val="center"/>
          </w:tcPr>
          <w:p w14:paraId="2DCCB255" w14:textId="77777777" w:rsidR="00A728BA" w:rsidRPr="00150ABA" w:rsidRDefault="00A728BA" w:rsidP="006F6F3C">
            <w:pPr>
              <w:spacing w:before="60"/>
              <w:rPr>
                <w:noProof/>
              </w:rPr>
            </w:pPr>
            <w:r w:rsidRPr="00150ABA">
              <w:rPr>
                <w:noProof/>
                <w:sz w:val="22"/>
              </w:rPr>
              <w:t>[XX.YY.YY.YY]</w:t>
            </w:r>
          </w:p>
          <w:p w14:paraId="20E22080" w14:textId="77777777" w:rsidR="00A728BA" w:rsidRPr="00150ABA" w:rsidRDefault="00A728BA" w:rsidP="006F6F3C">
            <w:pPr>
              <w:spacing w:after="60"/>
              <w:rPr>
                <w:noProof/>
                <w:color w:val="0000FF"/>
              </w:rPr>
            </w:pPr>
          </w:p>
        </w:tc>
        <w:tc>
          <w:tcPr>
            <w:tcW w:w="1080" w:type="dxa"/>
            <w:vAlign w:val="center"/>
          </w:tcPr>
          <w:p w14:paraId="1E059C21" w14:textId="77777777" w:rsidR="00A728BA" w:rsidRPr="00150ABA" w:rsidRDefault="00A728BA" w:rsidP="006F6F3C">
            <w:pPr>
              <w:jc w:val="center"/>
              <w:rPr>
                <w:noProof/>
                <w:color w:val="0000FF"/>
              </w:rPr>
            </w:pPr>
          </w:p>
        </w:tc>
        <w:tc>
          <w:tcPr>
            <w:tcW w:w="956" w:type="dxa"/>
            <w:vAlign w:val="center"/>
          </w:tcPr>
          <w:p w14:paraId="5843585B" w14:textId="77777777" w:rsidR="00A728BA" w:rsidRPr="00150ABA" w:rsidRDefault="00A728BA" w:rsidP="006F6F3C">
            <w:pPr>
              <w:jc w:val="center"/>
              <w:rPr>
                <w:noProof/>
                <w:sz w:val="20"/>
                <w:szCs w:val="20"/>
              </w:rPr>
            </w:pPr>
            <w:r w:rsidRPr="00150ABA">
              <w:rPr>
                <w:noProof/>
                <w:sz w:val="20"/>
                <w:szCs w:val="20"/>
              </w:rPr>
              <w:t>YES/NO</w:t>
            </w:r>
          </w:p>
        </w:tc>
        <w:tc>
          <w:tcPr>
            <w:tcW w:w="1080" w:type="dxa"/>
            <w:vAlign w:val="center"/>
          </w:tcPr>
          <w:p w14:paraId="2AA18802" w14:textId="77777777" w:rsidR="00A728BA" w:rsidRPr="00150ABA" w:rsidRDefault="00A728BA" w:rsidP="006F6F3C">
            <w:pPr>
              <w:jc w:val="center"/>
              <w:rPr>
                <w:noProof/>
                <w:color w:val="0000FF"/>
                <w:sz w:val="20"/>
                <w:szCs w:val="20"/>
              </w:rPr>
            </w:pPr>
            <w:r w:rsidRPr="00150ABA">
              <w:rPr>
                <w:noProof/>
                <w:sz w:val="20"/>
                <w:szCs w:val="20"/>
              </w:rPr>
              <w:t>YES/NO</w:t>
            </w:r>
          </w:p>
        </w:tc>
        <w:tc>
          <w:tcPr>
            <w:tcW w:w="956" w:type="dxa"/>
            <w:vAlign w:val="center"/>
          </w:tcPr>
          <w:p w14:paraId="11EB6C40" w14:textId="77777777" w:rsidR="00A728BA" w:rsidRPr="00150ABA" w:rsidRDefault="00A728BA" w:rsidP="006F6F3C">
            <w:pPr>
              <w:jc w:val="center"/>
              <w:rPr>
                <w:noProof/>
                <w:color w:val="0000FF"/>
                <w:sz w:val="20"/>
                <w:szCs w:val="20"/>
              </w:rPr>
            </w:pPr>
            <w:r w:rsidRPr="00150ABA">
              <w:rPr>
                <w:noProof/>
                <w:sz w:val="20"/>
                <w:szCs w:val="20"/>
              </w:rPr>
              <w:t>YES/NO</w:t>
            </w:r>
          </w:p>
        </w:tc>
        <w:tc>
          <w:tcPr>
            <w:tcW w:w="1448" w:type="dxa"/>
            <w:vAlign w:val="center"/>
          </w:tcPr>
          <w:p w14:paraId="0FA49D95" w14:textId="77777777" w:rsidR="00A728BA" w:rsidRPr="00150ABA" w:rsidRDefault="00A728BA" w:rsidP="006F6F3C">
            <w:pPr>
              <w:jc w:val="center"/>
              <w:rPr>
                <w:noProof/>
                <w:sz w:val="20"/>
                <w:szCs w:val="20"/>
              </w:rPr>
            </w:pPr>
            <w:r w:rsidRPr="00150ABA">
              <w:rPr>
                <w:noProof/>
                <w:sz w:val="20"/>
                <w:szCs w:val="20"/>
              </w:rPr>
              <w:t>YES/NO</w:t>
            </w:r>
          </w:p>
        </w:tc>
      </w:tr>
    </w:tbl>
    <w:p w14:paraId="1E23CF91" w14:textId="77777777" w:rsidR="00A728BA" w:rsidRPr="00150ABA" w:rsidRDefault="00A728BA" w:rsidP="006F6F3C">
      <w:pPr>
        <w:rPr>
          <w:noProof/>
        </w:rPr>
        <w:sectPr w:rsidR="00A728BA" w:rsidRPr="00150ABA" w:rsidSect="00E45D24">
          <w:pgSz w:w="11907" w:h="16840" w:code="1"/>
          <w:pgMar w:top="1134" w:right="1418" w:bottom="1134" w:left="1418" w:header="709" w:footer="709" w:gutter="0"/>
          <w:cols w:space="708"/>
          <w:docGrid w:linePitch="360"/>
        </w:sectPr>
      </w:pPr>
    </w:p>
    <w:p w14:paraId="5EDEBB13" w14:textId="3720255B" w:rsidR="007D0D6D" w:rsidRPr="00150ABA" w:rsidRDefault="00D76D82" w:rsidP="00D76D82">
      <w:pPr>
        <w:pStyle w:val="ManualHeading2"/>
        <w:rPr>
          <w:bCs/>
          <w:noProof/>
          <w:szCs w:val="24"/>
        </w:rPr>
      </w:pPr>
      <w:bookmarkStart w:id="27" w:name="_Toc85196969"/>
      <w:r w:rsidRPr="00D76D82">
        <w:t>3.2.</w:t>
      </w:r>
      <w:r w:rsidRPr="00D76D82">
        <w:tab/>
      </w:r>
      <w:r w:rsidR="007D0D6D" w:rsidRPr="00150ABA">
        <w:rPr>
          <w:noProof/>
        </w:rPr>
        <w:t>Estimated impact on expenditure</w:t>
      </w:r>
      <w:bookmarkEnd w:id="27"/>
      <w:r w:rsidR="007D0D6D" w:rsidRPr="00150ABA">
        <w:rPr>
          <w:noProof/>
        </w:rPr>
        <w:t xml:space="preserve"> </w:t>
      </w:r>
    </w:p>
    <w:p w14:paraId="21BBBA18" w14:textId="2ACDE03C" w:rsidR="007D0D6D" w:rsidRPr="00150ABA" w:rsidRDefault="00D76D82" w:rsidP="00D76D82">
      <w:pPr>
        <w:pStyle w:val="ManualHeading3"/>
        <w:rPr>
          <w:noProof/>
        </w:rPr>
      </w:pPr>
      <w:bookmarkStart w:id="28" w:name="_Toc85196970"/>
      <w:r w:rsidRPr="00D76D82">
        <w:t>3.2.1.</w:t>
      </w:r>
      <w:r w:rsidRPr="00D76D82">
        <w:tab/>
      </w:r>
      <w:r w:rsidR="007D0D6D" w:rsidRPr="00150ABA">
        <w:rPr>
          <w:noProof/>
        </w:rPr>
        <w:t>Summary of estimated impact on expenditure</w:t>
      </w:r>
      <w:bookmarkEnd w:id="28"/>
    </w:p>
    <w:p w14:paraId="5692D158" w14:textId="77777777" w:rsidR="00CF090D" w:rsidRPr="00150ABA" w:rsidRDefault="00CF090D" w:rsidP="00CF090D">
      <w:pPr>
        <w:jc w:val="right"/>
        <w:rPr>
          <w:noProof/>
        </w:rPr>
      </w:pPr>
      <w:r w:rsidRPr="00150ABA">
        <w:rPr>
          <w:noProof/>
          <w:sz w:val="18"/>
          <w:szCs w:val="18"/>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A350C" w:rsidRPr="00150ABA" w14:paraId="075492E9" w14:textId="77777777" w:rsidTr="00BA350C">
        <w:trPr>
          <w:jc w:val="center"/>
        </w:trPr>
        <w:tc>
          <w:tcPr>
            <w:tcW w:w="4744" w:type="dxa"/>
            <w:shd w:val="thinDiagStripe" w:color="C0C0C0" w:fill="auto"/>
            <w:vAlign w:val="center"/>
          </w:tcPr>
          <w:p w14:paraId="3995C0A6" w14:textId="77777777" w:rsidR="00BA350C" w:rsidRPr="00150ABA" w:rsidRDefault="00BA350C" w:rsidP="00BA350C">
            <w:pPr>
              <w:spacing w:before="60" w:after="60"/>
              <w:jc w:val="center"/>
              <w:rPr>
                <w:b/>
                <w:noProof/>
              </w:rPr>
            </w:pPr>
            <w:r w:rsidRPr="00150ABA">
              <w:rPr>
                <w:b/>
                <w:noProof/>
                <w:sz w:val="22"/>
              </w:rPr>
              <w:t xml:space="preserve">Heading of multiannual financial </w:t>
            </w:r>
            <w:r w:rsidRPr="00150ABA">
              <w:rPr>
                <w:noProof/>
                <w:sz w:val="22"/>
              </w:rPr>
              <w:br/>
            </w:r>
            <w:r w:rsidRPr="00150ABA">
              <w:rPr>
                <w:b/>
                <w:noProof/>
                <w:sz w:val="22"/>
              </w:rPr>
              <w:t xml:space="preserve">framework </w:t>
            </w:r>
          </w:p>
        </w:tc>
        <w:tc>
          <w:tcPr>
            <w:tcW w:w="1080" w:type="dxa"/>
            <w:vAlign w:val="center"/>
          </w:tcPr>
          <w:p w14:paraId="410C74AD" w14:textId="77777777" w:rsidR="00BA350C" w:rsidRPr="00150ABA" w:rsidRDefault="00BA350C" w:rsidP="00BA350C">
            <w:pPr>
              <w:spacing w:before="60" w:after="60"/>
              <w:jc w:val="center"/>
              <w:rPr>
                <w:noProof/>
              </w:rPr>
            </w:pPr>
            <w:r w:rsidRPr="00150ABA">
              <w:rPr>
                <w:noProof/>
                <w:sz w:val="22"/>
              </w:rPr>
              <w:t>1</w:t>
            </w:r>
          </w:p>
        </w:tc>
        <w:tc>
          <w:tcPr>
            <w:tcW w:w="7817" w:type="dxa"/>
            <w:vAlign w:val="center"/>
          </w:tcPr>
          <w:p w14:paraId="7B909B5D" w14:textId="77777777" w:rsidR="00CF090D" w:rsidRPr="00150ABA" w:rsidRDefault="00BA350C" w:rsidP="00BA350C">
            <w:pPr>
              <w:spacing w:before="60" w:after="60"/>
              <w:rPr>
                <w:noProof/>
                <w:lang w:eastAsia="en-GB"/>
              </w:rPr>
            </w:pPr>
            <w:r w:rsidRPr="00150ABA">
              <w:rPr>
                <w:noProof/>
              </w:rPr>
              <w:t>Single market, innovation and digital</w:t>
            </w:r>
            <w:r w:rsidRPr="00150ABA" w:rsidDel="00B76F83">
              <w:rPr>
                <w:noProof/>
                <w:lang w:eastAsia="en-GB"/>
              </w:rPr>
              <w:t xml:space="preserve"> </w:t>
            </w:r>
            <w:r w:rsidR="00CF090D" w:rsidRPr="00150ABA">
              <w:rPr>
                <w:noProof/>
                <w:lang w:eastAsia="en-GB"/>
              </w:rPr>
              <w:t>(</w:t>
            </w:r>
            <w:r w:rsidR="00CF090D" w:rsidRPr="00150ABA">
              <w:rPr>
                <w:noProof/>
                <w:szCs w:val="24"/>
              </w:rPr>
              <w:t>budget line 02.04</w:t>
            </w:r>
            <w:r w:rsidR="00CF090D" w:rsidRPr="00150ABA">
              <w:rPr>
                <w:noProof/>
                <w:lang w:eastAsia="en-GB"/>
              </w:rPr>
              <w:t xml:space="preserve">). </w:t>
            </w:r>
          </w:p>
          <w:p w14:paraId="15E4D88F" w14:textId="4631B243" w:rsidR="00BA350C" w:rsidRPr="00150ABA" w:rsidRDefault="00CF090D" w:rsidP="00BA350C">
            <w:pPr>
              <w:spacing w:before="60" w:after="60"/>
              <w:rPr>
                <w:noProof/>
              </w:rPr>
            </w:pPr>
            <w:r w:rsidRPr="00150ABA">
              <w:rPr>
                <w:noProof/>
              </w:rPr>
              <w:t>The appropriations will be made available from the Digital Europe Programme in the context of the preparation of the Work Programmes 2023-2027 and through contribution agreement based on Article 7 of the Financial Regulation. Their ultimate allocation will be subject to the prioritisation for funding in the context of the underpinning adoption procedure and agreement of the respective Programme Committee.</w:t>
            </w:r>
          </w:p>
        </w:tc>
      </w:tr>
    </w:tbl>
    <w:p w14:paraId="5294A785" w14:textId="77777777" w:rsidR="00BA350C" w:rsidRPr="00150ABA" w:rsidRDefault="00BA350C" w:rsidP="00BA350C">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03"/>
        <w:gridCol w:w="591"/>
        <w:gridCol w:w="868"/>
        <w:gridCol w:w="868"/>
        <w:gridCol w:w="868"/>
        <w:gridCol w:w="868"/>
        <w:gridCol w:w="1777"/>
      </w:tblGrid>
      <w:tr w:rsidR="00BA350C" w:rsidRPr="00150ABA" w14:paraId="4EA2BC14" w14:textId="77777777" w:rsidTr="00BA350C">
        <w:trPr>
          <w:jc w:val="center"/>
        </w:trPr>
        <w:tc>
          <w:tcPr>
            <w:tcW w:w="3960" w:type="dxa"/>
            <w:vAlign w:val="center"/>
          </w:tcPr>
          <w:p w14:paraId="2BEB7FF8" w14:textId="77777777" w:rsidR="00BA350C" w:rsidRPr="00150ABA" w:rsidRDefault="00BA350C" w:rsidP="00BA350C">
            <w:pPr>
              <w:jc w:val="center"/>
              <w:rPr>
                <w:b/>
                <w:noProof/>
              </w:rPr>
            </w:pPr>
            <w:r w:rsidRPr="00150ABA">
              <w:rPr>
                <w:b/>
                <w:noProof/>
              </w:rPr>
              <w:t>eu-LISA</w:t>
            </w:r>
          </w:p>
        </w:tc>
        <w:tc>
          <w:tcPr>
            <w:tcW w:w="1503" w:type="dxa"/>
          </w:tcPr>
          <w:p w14:paraId="04992118" w14:textId="77777777" w:rsidR="00BA350C" w:rsidRPr="00150ABA" w:rsidRDefault="00BA350C" w:rsidP="00BA350C">
            <w:pPr>
              <w:rPr>
                <w:noProof/>
                <w:sz w:val="20"/>
              </w:rPr>
            </w:pPr>
          </w:p>
        </w:tc>
        <w:tc>
          <w:tcPr>
            <w:tcW w:w="591" w:type="dxa"/>
          </w:tcPr>
          <w:p w14:paraId="01973A96" w14:textId="77777777" w:rsidR="00BA350C" w:rsidRPr="00150ABA" w:rsidRDefault="00BA350C" w:rsidP="00BA350C">
            <w:pPr>
              <w:jc w:val="center"/>
              <w:rPr>
                <w:noProof/>
                <w:sz w:val="20"/>
              </w:rPr>
            </w:pPr>
          </w:p>
        </w:tc>
        <w:tc>
          <w:tcPr>
            <w:tcW w:w="868" w:type="dxa"/>
            <w:vAlign w:val="center"/>
          </w:tcPr>
          <w:p w14:paraId="21AF4E0E" w14:textId="77777777" w:rsidR="00BA350C" w:rsidRPr="00150ABA" w:rsidRDefault="00BA350C" w:rsidP="00BA350C">
            <w:pPr>
              <w:jc w:val="center"/>
              <w:rPr>
                <w:noProof/>
                <w:sz w:val="20"/>
              </w:rPr>
            </w:pPr>
            <w:r w:rsidRPr="00150ABA">
              <w:rPr>
                <w:noProof/>
                <w:sz w:val="20"/>
              </w:rPr>
              <w:t>Year</w:t>
            </w:r>
            <w:r w:rsidRPr="00150ABA">
              <w:rPr>
                <w:noProof/>
                <w:sz w:val="22"/>
              </w:rPr>
              <w:br/>
            </w:r>
            <w:r w:rsidRPr="00150ABA">
              <w:rPr>
                <w:b/>
                <w:noProof/>
                <w:sz w:val="20"/>
              </w:rPr>
              <w:t>2024</w:t>
            </w:r>
            <w:r w:rsidRPr="00150ABA">
              <w:rPr>
                <w:rStyle w:val="FootnoteReference"/>
                <w:b/>
                <w:noProof/>
                <w:sz w:val="20"/>
              </w:rPr>
              <w:footnoteReference w:id="37"/>
            </w:r>
          </w:p>
        </w:tc>
        <w:tc>
          <w:tcPr>
            <w:tcW w:w="868" w:type="dxa"/>
            <w:vAlign w:val="center"/>
          </w:tcPr>
          <w:p w14:paraId="5D524674" w14:textId="77777777" w:rsidR="00BA350C" w:rsidRPr="00150ABA" w:rsidRDefault="00BA350C" w:rsidP="00BA350C">
            <w:pPr>
              <w:jc w:val="center"/>
              <w:rPr>
                <w:noProof/>
                <w:sz w:val="20"/>
              </w:rPr>
            </w:pPr>
            <w:r w:rsidRPr="00150ABA">
              <w:rPr>
                <w:noProof/>
                <w:sz w:val="20"/>
              </w:rPr>
              <w:t>Year</w:t>
            </w:r>
            <w:r w:rsidRPr="00150ABA">
              <w:rPr>
                <w:noProof/>
                <w:sz w:val="22"/>
              </w:rPr>
              <w:br/>
            </w:r>
            <w:r w:rsidRPr="00150ABA">
              <w:rPr>
                <w:b/>
                <w:noProof/>
                <w:sz w:val="20"/>
              </w:rPr>
              <w:t>2025</w:t>
            </w:r>
          </w:p>
        </w:tc>
        <w:tc>
          <w:tcPr>
            <w:tcW w:w="868" w:type="dxa"/>
            <w:vAlign w:val="center"/>
          </w:tcPr>
          <w:p w14:paraId="3865AD8A" w14:textId="77777777" w:rsidR="00BA350C" w:rsidRPr="00150ABA" w:rsidRDefault="00BA350C" w:rsidP="00BA350C">
            <w:pPr>
              <w:jc w:val="center"/>
              <w:rPr>
                <w:noProof/>
                <w:sz w:val="20"/>
              </w:rPr>
            </w:pPr>
            <w:r w:rsidRPr="00150ABA">
              <w:rPr>
                <w:noProof/>
                <w:sz w:val="20"/>
              </w:rPr>
              <w:t>Year</w:t>
            </w:r>
            <w:r w:rsidRPr="00150ABA">
              <w:rPr>
                <w:noProof/>
                <w:sz w:val="22"/>
              </w:rPr>
              <w:br/>
            </w:r>
            <w:r w:rsidRPr="00150ABA">
              <w:rPr>
                <w:b/>
                <w:noProof/>
                <w:sz w:val="20"/>
              </w:rPr>
              <w:t>2026</w:t>
            </w:r>
          </w:p>
        </w:tc>
        <w:tc>
          <w:tcPr>
            <w:tcW w:w="868" w:type="dxa"/>
            <w:vAlign w:val="center"/>
          </w:tcPr>
          <w:p w14:paraId="2FBF5DC0" w14:textId="77777777" w:rsidR="00BA350C" w:rsidRPr="00150ABA" w:rsidRDefault="00BA350C" w:rsidP="00BA350C">
            <w:pPr>
              <w:jc w:val="center"/>
              <w:rPr>
                <w:noProof/>
                <w:sz w:val="20"/>
              </w:rPr>
            </w:pPr>
            <w:r w:rsidRPr="00150ABA">
              <w:rPr>
                <w:noProof/>
                <w:sz w:val="20"/>
              </w:rPr>
              <w:t>Year</w:t>
            </w:r>
            <w:r w:rsidRPr="00150ABA">
              <w:rPr>
                <w:noProof/>
                <w:sz w:val="22"/>
              </w:rPr>
              <w:br/>
            </w:r>
            <w:r w:rsidRPr="00150ABA">
              <w:rPr>
                <w:b/>
                <w:noProof/>
                <w:sz w:val="20"/>
              </w:rPr>
              <w:t>2027</w:t>
            </w:r>
          </w:p>
        </w:tc>
        <w:tc>
          <w:tcPr>
            <w:tcW w:w="1777" w:type="dxa"/>
            <w:vAlign w:val="center"/>
          </w:tcPr>
          <w:p w14:paraId="5B7C67B0" w14:textId="77777777" w:rsidR="00BA350C" w:rsidRPr="00150ABA" w:rsidRDefault="00BA350C" w:rsidP="00BA350C">
            <w:pPr>
              <w:jc w:val="center"/>
              <w:rPr>
                <w:b/>
                <w:noProof/>
                <w:sz w:val="20"/>
              </w:rPr>
            </w:pPr>
            <w:r w:rsidRPr="00150ABA">
              <w:rPr>
                <w:b/>
                <w:noProof/>
                <w:sz w:val="20"/>
              </w:rPr>
              <w:t>TOTAL 2024-2027</w:t>
            </w:r>
          </w:p>
        </w:tc>
      </w:tr>
      <w:tr w:rsidR="00BA350C" w:rsidRPr="00150ABA" w14:paraId="7D303D14" w14:textId="77777777" w:rsidTr="00BA350C">
        <w:trPr>
          <w:trHeight w:val="277"/>
          <w:jc w:val="center"/>
        </w:trPr>
        <w:tc>
          <w:tcPr>
            <w:tcW w:w="3960" w:type="dxa"/>
            <w:vMerge w:val="restart"/>
            <w:vAlign w:val="center"/>
          </w:tcPr>
          <w:p w14:paraId="54162FBE" w14:textId="77777777" w:rsidR="00BA350C" w:rsidRPr="00150ABA" w:rsidRDefault="00BA350C" w:rsidP="00BA350C">
            <w:pPr>
              <w:rPr>
                <w:noProof/>
              </w:rPr>
            </w:pPr>
            <w:r w:rsidRPr="00150ABA">
              <w:rPr>
                <w:noProof/>
                <w:sz w:val="20"/>
              </w:rPr>
              <w:t>Title 1: Staff expenditures</w:t>
            </w:r>
          </w:p>
        </w:tc>
        <w:tc>
          <w:tcPr>
            <w:tcW w:w="1503" w:type="dxa"/>
            <w:vAlign w:val="center"/>
          </w:tcPr>
          <w:p w14:paraId="72327C1D" w14:textId="77777777" w:rsidR="00BA350C" w:rsidRPr="00150ABA" w:rsidRDefault="00BA350C" w:rsidP="00BA350C">
            <w:pPr>
              <w:spacing w:before="20" w:after="20"/>
              <w:rPr>
                <w:noProof/>
              </w:rPr>
            </w:pPr>
            <w:r w:rsidRPr="00150ABA">
              <w:rPr>
                <w:noProof/>
                <w:sz w:val="18"/>
              </w:rPr>
              <w:t>Commitments</w:t>
            </w:r>
          </w:p>
        </w:tc>
        <w:tc>
          <w:tcPr>
            <w:tcW w:w="591" w:type="dxa"/>
            <w:vAlign w:val="center"/>
          </w:tcPr>
          <w:p w14:paraId="15D05A8D" w14:textId="77777777" w:rsidR="00BA350C" w:rsidRPr="00150ABA" w:rsidRDefault="00BA350C" w:rsidP="00BA350C">
            <w:pPr>
              <w:spacing w:before="20" w:after="20"/>
              <w:jc w:val="center"/>
              <w:rPr>
                <w:noProof/>
                <w:sz w:val="14"/>
              </w:rPr>
            </w:pPr>
            <w:r w:rsidRPr="00150ABA">
              <w:rPr>
                <w:noProof/>
                <w:sz w:val="14"/>
              </w:rPr>
              <w:t>(1)</w:t>
            </w:r>
          </w:p>
        </w:tc>
        <w:tc>
          <w:tcPr>
            <w:tcW w:w="868" w:type="dxa"/>
            <w:vAlign w:val="center"/>
          </w:tcPr>
          <w:p w14:paraId="752E89FE" w14:textId="77777777" w:rsidR="00BA350C" w:rsidRPr="00150ABA" w:rsidRDefault="00BA350C" w:rsidP="00BA350C">
            <w:pPr>
              <w:spacing w:before="20" w:after="20"/>
              <w:jc w:val="right"/>
              <w:rPr>
                <w:noProof/>
                <w:sz w:val="20"/>
              </w:rPr>
            </w:pPr>
            <w:r w:rsidRPr="00150ABA">
              <w:rPr>
                <w:noProof/>
                <w:sz w:val="20"/>
              </w:rPr>
              <w:t>0.608</w:t>
            </w:r>
          </w:p>
        </w:tc>
        <w:tc>
          <w:tcPr>
            <w:tcW w:w="868" w:type="dxa"/>
            <w:vAlign w:val="center"/>
          </w:tcPr>
          <w:p w14:paraId="1570CD03" w14:textId="77777777" w:rsidR="00BA350C" w:rsidRPr="00150ABA" w:rsidRDefault="00BA350C" w:rsidP="00BA350C">
            <w:pPr>
              <w:spacing w:before="20" w:after="20"/>
              <w:jc w:val="right"/>
              <w:rPr>
                <w:noProof/>
                <w:sz w:val="20"/>
              </w:rPr>
            </w:pPr>
            <w:r w:rsidRPr="00150ABA">
              <w:rPr>
                <w:noProof/>
                <w:sz w:val="20"/>
              </w:rPr>
              <w:t>1.216</w:t>
            </w:r>
          </w:p>
        </w:tc>
        <w:tc>
          <w:tcPr>
            <w:tcW w:w="868" w:type="dxa"/>
            <w:vAlign w:val="center"/>
          </w:tcPr>
          <w:p w14:paraId="2375A9C2" w14:textId="77777777" w:rsidR="00BA350C" w:rsidRPr="00150ABA" w:rsidRDefault="00BA350C" w:rsidP="00BA350C">
            <w:pPr>
              <w:spacing w:before="20" w:after="20"/>
              <w:jc w:val="right"/>
              <w:rPr>
                <w:noProof/>
                <w:sz w:val="20"/>
              </w:rPr>
            </w:pPr>
            <w:r w:rsidRPr="00150ABA">
              <w:rPr>
                <w:noProof/>
                <w:sz w:val="20"/>
              </w:rPr>
              <w:t>1.380</w:t>
            </w:r>
          </w:p>
        </w:tc>
        <w:tc>
          <w:tcPr>
            <w:tcW w:w="868" w:type="dxa"/>
            <w:vAlign w:val="center"/>
          </w:tcPr>
          <w:p w14:paraId="73FE3DC2" w14:textId="77777777" w:rsidR="00BA350C" w:rsidRPr="00150ABA" w:rsidRDefault="00BA350C" w:rsidP="00BA350C">
            <w:pPr>
              <w:spacing w:before="20" w:after="20"/>
              <w:jc w:val="right"/>
              <w:rPr>
                <w:noProof/>
                <w:sz w:val="20"/>
              </w:rPr>
            </w:pPr>
            <w:r w:rsidRPr="00150ABA">
              <w:rPr>
                <w:noProof/>
                <w:sz w:val="20"/>
              </w:rPr>
              <w:t>1.380</w:t>
            </w:r>
          </w:p>
        </w:tc>
        <w:tc>
          <w:tcPr>
            <w:tcW w:w="1777" w:type="dxa"/>
            <w:vAlign w:val="center"/>
          </w:tcPr>
          <w:p w14:paraId="7B9423D9" w14:textId="77777777" w:rsidR="00BA350C" w:rsidRPr="00150ABA" w:rsidRDefault="00BA350C" w:rsidP="00BA350C">
            <w:pPr>
              <w:spacing w:before="20" w:after="20"/>
              <w:jc w:val="right"/>
              <w:rPr>
                <w:b/>
                <w:noProof/>
                <w:sz w:val="20"/>
              </w:rPr>
            </w:pPr>
            <w:r w:rsidRPr="00150ABA">
              <w:rPr>
                <w:b/>
                <w:noProof/>
                <w:sz w:val="20"/>
              </w:rPr>
              <w:t>4.584</w:t>
            </w:r>
          </w:p>
        </w:tc>
      </w:tr>
      <w:tr w:rsidR="00BA350C" w:rsidRPr="00150ABA" w14:paraId="6E8975AF" w14:textId="77777777" w:rsidTr="00BA350C">
        <w:trPr>
          <w:jc w:val="center"/>
        </w:trPr>
        <w:tc>
          <w:tcPr>
            <w:tcW w:w="3960" w:type="dxa"/>
            <w:vMerge/>
            <w:vAlign w:val="center"/>
          </w:tcPr>
          <w:p w14:paraId="3EA43535" w14:textId="77777777" w:rsidR="00BA350C" w:rsidRPr="00150ABA" w:rsidRDefault="00BA350C" w:rsidP="00BA350C">
            <w:pPr>
              <w:rPr>
                <w:noProof/>
              </w:rPr>
            </w:pPr>
          </w:p>
        </w:tc>
        <w:tc>
          <w:tcPr>
            <w:tcW w:w="1503" w:type="dxa"/>
            <w:vAlign w:val="center"/>
          </w:tcPr>
          <w:p w14:paraId="3C99FF5B" w14:textId="77777777" w:rsidR="00BA350C" w:rsidRPr="00150ABA" w:rsidRDefault="00BA350C" w:rsidP="00BA350C">
            <w:pPr>
              <w:spacing w:before="20" w:after="20"/>
              <w:rPr>
                <w:noProof/>
                <w:sz w:val="18"/>
              </w:rPr>
            </w:pPr>
            <w:r w:rsidRPr="00150ABA">
              <w:rPr>
                <w:noProof/>
                <w:sz w:val="18"/>
              </w:rPr>
              <w:t>Payments</w:t>
            </w:r>
          </w:p>
        </w:tc>
        <w:tc>
          <w:tcPr>
            <w:tcW w:w="591" w:type="dxa"/>
            <w:vAlign w:val="center"/>
          </w:tcPr>
          <w:p w14:paraId="7AE61C5F" w14:textId="77777777" w:rsidR="00BA350C" w:rsidRPr="00150ABA" w:rsidRDefault="00BA350C" w:rsidP="00BA350C">
            <w:pPr>
              <w:spacing w:before="20" w:after="20"/>
              <w:jc w:val="center"/>
              <w:rPr>
                <w:noProof/>
                <w:sz w:val="14"/>
              </w:rPr>
            </w:pPr>
            <w:r w:rsidRPr="00150ABA">
              <w:rPr>
                <w:noProof/>
                <w:sz w:val="14"/>
              </w:rPr>
              <w:t>(2)</w:t>
            </w:r>
          </w:p>
        </w:tc>
        <w:tc>
          <w:tcPr>
            <w:tcW w:w="868" w:type="dxa"/>
            <w:vAlign w:val="center"/>
          </w:tcPr>
          <w:p w14:paraId="68DB724D" w14:textId="77777777" w:rsidR="00BA350C" w:rsidRPr="00150ABA" w:rsidRDefault="00BA350C" w:rsidP="00BA350C">
            <w:pPr>
              <w:spacing w:before="20" w:after="20"/>
              <w:jc w:val="right"/>
              <w:rPr>
                <w:noProof/>
                <w:sz w:val="20"/>
              </w:rPr>
            </w:pPr>
            <w:r w:rsidRPr="00150ABA">
              <w:rPr>
                <w:noProof/>
                <w:sz w:val="20"/>
              </w:rPr>
              <w:t>0.608</w:t>
            </w:r>
          </w:p>
        </w:tc>
        <w:tc>
          <w:tcPr>
            <w:tcW w:w="868" w:type="dxa"/>
            <w:vAlign w:val="center"/>
          </w:tcPr>
          <w:p w14:paraId="45BCF5AC" w14:textId="77777777" w:rsidR="00BA350C" w:rsidRPr="00150ABA" w:rsidRDefault="00BA350C" w:rsidP="00BA350C">
            <w:pPr>
              <w:spacing w:before="20" w:after="20"/>
              <w:jc w:val="right"/>
              <w:rPr>
                <w:noProof/>
                <w:sz w:val="20"/>
              </w:rPr>
            </w:pPr>
            <w:r w:rsidRPr="00150ABA">
              <w:rPr>
                <w:noProof/>
                <w:sz w:val="20"/>
              </w:rPr>
              <w:t>1.216</w:t>
            </w:r>
          </w:p>
        </w:tc>
        <w:tc>
          <w:tcPr>
            <w:tcW w:w="868" w:type="dxa"/>
            <w:vAlign w:val="center"/>
          </w:tcPr>
          <w:p w14:paraId="7D29B16E" w14:textId="77777777" w:rsidR="00BA350C" w:rsidRPr="00150ABA" w:rsidRDefault="00BA350C" w:rsidP="00BA350C">
            <w:pPr>
              <w:spacing w:before="20" w:after="20"/>
              <w:jc w:val="right"/>
              <w:rPr>
                <w:noProof/>
                <w:sz w:val="20"/>
              </w:rPr>
            </w:pPr>
            <w:r w:rsidRPr="00150ABA">
              <w:rPr>
                <w:noProof/>
                <w:sz w:val="20"/>
              </w:rPr>
              <w:t>1.380</w:t>
            </w:r>
          </w:p>
        </w:tc>
        <w:tc>
          <w:tcPr>
            <w:tcW w:w="868" w:type="dxa"/>
            <w:vAlign w:val="center"/>
          </w:tcPr>
          <w:p w14:paraId="4388C305" w14:textId="77777777" w:rsidR="00BA350C" w:rsidRPr="00150ABA" w:rsidRDefault="00BA350C" w:rsidP="00BA350C">
            <w:pPr>
              <w:spacing w:before="20" w:after="20"/>
              <w:jc w:val="right"/>
              <w:rPr>
                <w:noProof/>
                <w:sz w:val="20"/>
              </w:rPr>
            </w:pPr>
            <w:r w:rsidRPr="00150ABA">
              <w:rPr>
                <w:noProof/>
                <w:sz w:val="20"/>
              </w:rPr>
              <w:t>1.380</w:t>
            </w:r>
          </w:p>
        </w:tc>
        <w:tc>
          <w:tcPr>
            <w:tcW w:w="1777" w:type="dxa"/>
          </w:tcPr>
          <w:p w14:paraId="70AE6C9B" w14:textId="77777777" w:rsidR="00BA350C" w:rsidRPr="00150ABA" w:rsidRDefault="00BA350C" w:rsidP="00BA350C">
            <w:pPr>
              <w:spacing w:before="20" w:after="20"/>
              <w:jc w:val="right"/>
              <w:rPr>
                <w:b/>
                <w:noProof/>
                <w:sz w:val="20"/>
              </w:rPr>
            </w:pPr>
            <w:r w:rsidRPr="00150ABA">
              <w:rPr>
                <w:b/>
                <w:noProof/>
                <w:sz w:val="20"/>
              </w:rPr>
              <w:t>4.584</w:t>
            </w:r>
          </w:p>
        </w:tc>
      </w:tr>
      <w:tr w:rsidR="00BA350C" w:rsidRPr="00150ABA" w14:paraId="2B19DE56" w14:textId="77777777" w:rsidTr="00BA350C">
        <w:trPr>
          <w:jc w:val="center"/>
        </w:trPr>
        <w:tc>
          <w:tcPr>
            <w:tcW w:w="3960" w:type="dxa"/>
            <w:vMerge w:val="restart"/>
            <w:vAlign w:val="center"/>
          </w:tcPr>
          <w:p w14:paraId="2A74B2B0" w14:textId="77777777" w:rsidR="00BA350C" w:rsidRPr="00150ABA" w:rsidRDefault="00BA350C" w:rsidP="00BA350C">
            <w:pPr>
              <w:rPr>
                <w:noProof/>
              </w:rPr>
            </w:pPr>
            <w:r w:rsidRPr="00150ABA">
              <w:rPr>
                <w:noProof/>
                <w:sz w:val="20"/>
              </w:rPr>
              <w:t>Title 2: Infrastructure and operating expenditures</w:t>
            </w:r>
          </w:p>
        </w:tc>
        <w:tc>
          <w:tcPr>
            <w:tcW w:w="1503" w:type="dxa"/>
            <w:vAlign w:val="center"/>
          </w:tcPr>
          <w:p w14:paraId="59F7C401" w14:textId="77777777" w:rsidR="00BA350C" w:rsidRPr="00150ABA" w:rsidRDefault="00BA350C" w:rsidP="00BA350C">
            <w:pPr>
              <w:spacing w:before="20" w:after="20"/>
              <w:rPr>
                <w:noProof/>
                <w:sz w:val="18"/>
              </w:rPr>
            </w:pPr>
            <w:r w:rsidRPr="00150ABA">
              <w:rPr>
                <w:noProof/>
                <w:sz w:val="18"/>
              </w:rPr>
              <w:t>Commitments</w:t>
            </w:r>
          </w:p>
        </w:tc>
        <w:tc>
          <w:tcPr>
            <w:tcW w:w="591" w:type="dxa"/>
            <w:vAlign w:val="center"/>
          </w:tcPr>
          <w:p w14:paraId="112751CD" w14:textId="77777777" w:rsidR="00BA350C" w:rsidRPr="00150ABA" w:rsidRDefault="00BA350C" w:rsidP="00BA350C">
            <w:pPr>
              <w:spacing w:before="20" w:after="20"/>
              <w:jc w:val="center"/>
              <w:rPr>
                <w:noProof/>
                <w:sz w:val="14"/>
              </w:rPr>
            </w:pPr>
            <w:r w:rsidRPr="00150ABA">
              <w:rPr>
                <w:noProof/>
                <w:sz w:val="14"/>
              </w:rPr>
              <w:t>(1a)</w:t>
            </w:r>
          </w:p>
        </w:tc>
        <w:tc>
          <w:tcPr>
            <w:tcW w:w="868" w:type="dxa"/>
            <w:vAlign w:val="center"/>
          </w:tcPr>
          <w:p w14:paraId="2C79ED7B" w14:textId="77777777" w:rsidR="00BA350C" w:rsidRPr="00150ABA" w:rsidRDefault="00BA350C" w:rsidP="00BA350C">
            <w:pPr>
              <w:spacing w:before="20" w:after="20"/>
              <w:jc w:val="right"/>
              <w:rPr>
                <w:noProof/>
                <w:sz w:val="20"/>
              </w:rPr>
            </w:pPr>
          </w:p>
        </w:tc>
        <w:tc>
          <w:tcPr>
            <w:tcW w:w="868" w:type="dxa"/>
            <w:vAlign w:val="center"/>
          </w:tcPr>
          <w:p w14:paraId="5C985083" w14:textId="77777777" w:rsidR="00BA350C" w:rsidRPr="00150ABA" w:rsidRDefault="00BA350C" w:rsidP="00BA350C">
            <w:pPr>
              <w:spacing w:before="20" w:after="20"/>
              <w:jc w:val="right"/>
              <w:rPr>
                <w:noProof/>
                <w:sz w:val="20"/>
              </w:rPr>
            </w:pPr>
          </w:p>
        </w:tc>
        <w:tc>
          <w:tcPr>
            <w:tcW w:w="868" w:type="dxa"/>
            <w:vAlign w:val="center"/>
          </w:tcPr>
          <w:p w14:paraId="5A55A0B5" w14:textId="77777777" w:rsidR="00BA350C" w:rsidRPr="00150ABA" w:rsidRDefault="00BA350C" w:rsidP="00BA350C">
            <w:pPr>
              <w:spacing w:before="20" w:after="20"/>
              <w:jc w:val="right"/>
              <w:rPr>
                <w:noProof/>
                <w:sz w:val="20"/>
              </w:rPr>
            </w:pPr>
          </w:p>
        </w:tc>
        <w:tc>
          <w:tcPr>
            <w:tcW w:w="868" w:type="dxa"/>
            <w:vAlign w:val="center"/>
          </w:tcPr>
          <w:p w14:paraId="220327E8" w14:textId="77777777" w:rsidR="00BA350C" w:rsidRPr="00150ABA" w:rsidRDefault="00BA350C" w:rsidP="00BA350C">
            <w:pPr>
              <w:spacing w:before="20" w:after="20"/>
              <w:jc w:val="right"/>
              <w:rPr>
                <w:noProof/>
                <w:sz w:val="20"/>
              </w:rPr>
            </w:pPr>
          </w:p>
        </w:tc>
        <w:tc>
          <w:tcPr>
            <w:tcW w:w="1777" w:type="dxa"/>
            <w:vAlign w:val="center"/>
          </w:tcPr>
          <w:p w14:paraId="6E1EB530" w14:textId="77777777" w:rsidR="00BA350C" w:rsidRPr="00150ABA" w:rsidRDefault="00BA350C" w:rsidP="00BA350C">
            <w:pPr>
              <w:spacing w:before="20" w:after="20"/>
              <w:jc w:val="right"/>
              <w:rPr>
                <w:b/>
                <w:noProof/>
                <w:sz w:val="20"/>
              </w:rPr>
            </w:pPr>
          </w:p>
        </w:tc>
      </w:tr>
      <w:tr w:rsidR="00BA350C" w:rsidRPr="00150ABA" w14:paraId="1839B9EC" w14:textId="77777777" w:rsidTr="00BA350C">
        <w:trPr>
          <w:jc w:val="center"/>
        </w:trPr>
        <w:tc>
          <w:tcPr>
            <w:tcW w:w="3960" w:type="dxa"/>
            <w:vMerge/>
            <w:vAlign w:val="center"/>
          </w:tcPr>
          <w:p w14:paraId="1A73524D" w14:textId="77777777" w:rsidR="00BA350C" w:rsidRPr="00150ABA" w:rsidRDefault="00BA350C" w:rsidP="00BA350C">
            <w:pPr>
              <w:rPr>
                <w:noProof/>
              </w:rPr>
            </w:pPr>
          </w:p>
        </w:tc>
        <w:tc>
          <w:tcPr>
            <w:tcW w:w="1503" w:type="dxa"/>
            <w:vAlign w:val="center"/>
          </w:tcPr>
          <w:p w14:paraId="55290B45" w14:textId="77777777" w:rsidR="00BA350C" w:rsidRPr="00150ABA" w:rsidRDefault="00BA350C" w:rsidP="00BA350C">
            <w:pPr>
              <w:spacing w:before="20" w:after="20"/>
              <w:rPr>
                <w:noProof/>
                <w:sz w:val="18"/>
              </w:rPr>
            </w:pPr>
            <w:r w:rsidRPr="00150ABA">
              <w:rPr>
                <w:noProof/>
                <w:sz w:val="18"/>
              </w:rPr>
              <w:t>Payments</w:t>
            </w:r>
          </w:p>
        </w:tc>
        <w:tc>
          <w:tcPr>
            <w:tcW w:w="591" w:type="dxa"/>
            <w:vAlign w:val="center"/>
          </w:tcPr>
          <w:p w14:paraId="22A231DB" w14:textId="77777777" w:rsidR="00BA350C" w:rsidRPr="00150ABA" w:rsidRDefault="00BA350C" w:rsidP="00BA350C">
            <w:pPr>
              <w:spacing w:before="20" w:after="20"/>
              <w:jc w:val="center"/>
              <w:rPr>
                <w:noProof/>
                <w:sz w:val="14"/>
              </w:rPr>
            </w:pPr>
            <w:r w:rsidRPr="00150ABA">
              <w:rPr>
                <w:noProof/>
                <w:sz w:val="14"/>
              </w:rPr>
              <w:t>(2a)</w:t>
            </w:r>
          </w:p>
        </w:tc>
        <w:tc>
          <w:tcPr>
            <w:tcW w:w="868" w:type="dxa"/>
            <w:vAlign w:val="center"/>
          </w:tcPr>
          <w:p w14:paraId="435F6597" w14:textId="77777777" w:rsidR="00BA350C" w:rsidRPr="00150ABA" w:rsidRDefault="00BA350C" w:rsidP="00BA350C">
            <w:pPr>
              <w:spacing w:before="20" w:after="20"/>
              <w:jc w:val="right"/>
              <w:rPr>
                <w:noProof/>
                <w:sz w:val="20"/>
              </w:rPr>
            </w:pPr>
          </w:p>
        </w:tc>
        <w:tc>
          <w:tcPr>
            <w:tcW w:w="868" w:type="dxa"/>
            <w:vAlign w:val="center"/>
          </w:tcPr>
          <w:p w14:paraId="3DC93330" w14:textId="77777777" w:rsidR="00BA350C" w:rsidRPr="00150ABA" w:rsidRDefault="00BA350C" w:rsidP="00BA350C">
            <w:pPr>
              <w:spacing w:before="20" w:after="20"/>
              <w:jc w:val="right"/>
              <w:rPr>
                <w:noProof/>
                <w:sz w:val="20"/>
              </w:rPr>
            </w:pPr>
          </w:p>
        </w:tc>
        <w:tc>
          <w:tcPr>
            <w:tcW w:w="868" w:type="dxa"/>
            <w:vAlign w:val="center"/>
          </w:tcPr>
          <w:p w14:paraId="6ABD9067" w14:textId="77777777" w:rsidR="00BA350C" w:rsidRPr="00150ABA" w:rsidRDefault="00BA350C" w:rsidP="00BA350C">
            <w:pPr>
              <w:spacing w:before="20" w:after="20"/>
              <w:jc w:val="right"/>
              <w:rPr>
                <w:noProof/>
                <w:sz w:val="20"/>
              </w:rPr>
            </w:pPr>
          </w:p>
        </w:tc>
        <w:tc>
          <w:tcPr>
            <w:tcW w:w="868" w:type="dxa"/>
            <w:vAlign w:val="center"/>
          </w:tcPr>
          <w:p w14:paraId="0559A2B4" w14:textId="77777777" w:rsidR="00BA350C" w:rsidRPr="00150ABA" w:rsidRDefault="00BA350C" w:rsidP="00BA350C">
            <w:pPr>
              <w:spacing w:before="20" w:after="20"/>
              <w:jc w:val="right"/>
              <w:rPr>
                <w:noProof/>
                <w:sz w:val="20"/>
              </w:rPr>
            </w:pPr>
          </w:p>
        </w:tc>
        <w:tc>
          <w:tcPr>
            <w:tcW w:w="1777" w:type="dxa"/>
            <w:vAlign w:val="center"/>
          </w:tcPr>
          <w:p w14:paraId="5AC37A5A" w14:textId="77777777" w:rsidR="00BA350C" w:rsidRPr="00150ABA" w:rsidRDefault="00BA350C" w:rsidP="00BA350C">
            <w:pPr>
              <w:spacing w:before="20" w:after="20"/>
              <w:jc w:val="right"/>
              <w:rPr>
                <w:b/>
                <w:noProof/>
                <w:sz w:val="20"/>
              </w:rPr>
            </w:pPr>
          </w:p>
        </w:tc>
      </w:tr>
      <w:tr w:rsidR="00BA350C" w:rsidRPr="00150ABA" w14:paraId="5E400605" w14:textId="77777777" w:rsidTr="00BA350C">
        <w:trPr>
          <w:trHeight w:val="319"/>
          <w:jc w:val="center"/>
        </w:trPr>
        <w:tc>
          <w:tcPr>
            <w:tcW w:w="3960" w:type="dxa"/>
            <w:vMerge w:val="restart"/>
            <w:vAlign w:val="center"/>
          </w:tcPr>
          <w:p w14:paraId="799E436F" w14:textId="77777777" w:rsidR="00BA350C" w:rsidRPr="00150ABA" w:rsidRDefault="00BA350C" w:rsidP="00BA350C">
            <w:pPr>
              <w:pStyle w:val="CommentText"/>
              <w:rPr>
                <w:noProof/>
              </w:rPr>
            </w:pPr>
            <w:r w:rsidRPr="00150ABA">
              <w:rPr>
                <w:noProof/>
              </w:rPr>
              <w:t>Title 3: Operational expenditures</w:t>
            </w:r>
          </w:p>
        </w:tc>
        <w:tc>
          <w:tcPr>
            <w:tcW w:w="1503" w:type="dxa"/>
            <w:vAlign w:val="center"/>
          </w:tcPr>
          <w:p w14:paraId="478DFC13" w14:textId="77777777" w:rsidR="00BA350C" w:rsidRPr="00150ABA" w:rsidRDefault="00BA350C" w:rsidP="00BA350C">
            <w:pPr>
              <w:spacing w:before="40" w:after="40"/>
              <w:rPr>
                <w:noProof/>
                <w:sz w:val="18"/>
              </w:rPr>
            </w:pPr>
            <w:r w:rsidRPr="00150ABA">
              <w:rPr>
                <w:noProof/>
                <w:sz w:val="18"/>
              </w:rPr>
              <w:t>Commitments</w:t>
            </w:r>
          </w:p>
        </w:tc>
        <w:tc>
          <w:tcPr>
            <w:tcW w:w="591" w:type="dxa"/>
            <w:vAlign w:val="center"/>
          </w:tcPr>
          <w:p w14:paraId="2D0C3D65" w14:textId="77777777" w:rsidR="00BA350C" w:rsidRPr="00150ABA" w:rsidRDefault="00BA350C" w:rsidP="00BA350C">
            <w:pPr>
              <w:spacing w:before="40" w:after="40"/>
              <w:jc w:val="center"/>
              <w:rPr>
                <w:noProof/>
                <w:sz w:val="14"/>
              </w:rPr>
            </w:pPr>
            <w:r w:rsidRPr="00150ABA">
              <w:rPr>
                <w:noProof/>
                <w:sz w:val="14"/>
              </w:rPr>
              <w:t>(3a)</w:t>
            </w:r>
          </w:p>
        </w:tc>
        <w:tc>
          <w:tcPr>
            <w:tcW w:w="868" w:type="dxa"/>
            <w:vAlign w:val="center"/>
          </w:tcPr>
          <w:p w14:paraId="499C1306" w14:textId="77777777" w:rsidR="00BA350C" w:rsidRPr="00150ABA" w:rsidRDefault="00BA350C" w:rsidP="00BA350C">
            <w:pPr>
              <w:spacing w:before="40" w:after="40"/>
              <w:jc w:val="right"/>
              <w:rPr>
                <w:noProof/>
                <w:sz w:val="20"/>
              </w:rPr>
            </w:pPr>
            <w:r w:rsidRPr="00150ABA">
              <w:rPr>
                <w:noProof/>
                <w:sz w:val="20"/>
              </w:rPr>
              <w:t>3.000</w:t>
            </w:r>
          </w:p>
        </w:tc>
        <w:tc>
          <w:tcPr>
            <w:tcW w:w="868" w:type="dxa"/>
            <w:vAlign w:val="center"/>
          </w:tcPr>
          <w:p w14:paraId="0392A407" w14:textId="7BA3D9C7" w:rsidR="00BA350C" w:rsidRPr="00150ABA" w:rsidRDefault="0054088F" w:rsidP="0054088F">
            <w:pPr>
              <w:spacing w:before="40" w:after="40"/>
              <w:jc w:val="right"/>
              <w:rPr>
                <w:noProof/>
                <w:sz w:val="20"/>
              </w:rPr>
            </w:pPr>
            <w:r w:rsidRPr="00150ABA">
              <w:rPr>
                <w:noProof/>
                <w:sz w:val="20"/>
              </w:rPr>
              <w:t>2</w:t>
            </w:r>
            <w:r w:rsidR="00BA350C" w:rsidRPr="00150ABA">
              <w:rPr>
                <w:noProof/>
                <w:sz w:val="20"/>
              </w:rPr>
              <w:t>.</w:t>
            </w:r>
            <w:r w:rsidRPr="00150ABA">
              <w:rPr>
                <w:noProof/>
                <w:sz w:val="20"/>
              </w:rPr>
              <w:t>9</w:t>
            </w:r>
            <w:r w:rsidR="00BA350C" w:rsidRPr="00150ABA">
              <w:rPr>
                <w:noProof/>
                <w:sz w:val="20"/>
              </w:rPr>
              <w:t>00</w:t>
            </w:r>
          </w:p>
        </w:tc>
        <w:tc>
          <w:tcPr>
            <w:tcW w:w="868" w:type="dxa"/>
            <w:vAlign w:val="center"/>
          </w:tcPr>
          <w:p w14:paraId="2BAB41AA" w14:textId="77777777" w:rsidR="00BA350C" w:rsidRPr="00150ABA" w:rsidRDefault="00BA350C" w:rsidP="00BA350C">
            <w:pPr>
              <w:spacing w:before="40" w:after="40"/>
              <w:jc w:val="right"/>
              <w:rPr>
                <w:noProof/>
                <w:sz w:val="20"/>
              </w:rPr>
            </w:pPr>
            <w:r w:rsidRPr="00150ABA">
              <w:rPr>
                <w:noProof/>
                <w:sz w:val="20"/>
              </w:rPr>
              <w:t>1.700</w:t>
            </w:r>
          </w:p>
        </w:tc>
        <w:tc>
          <w:tcPr>
            <w:tcW w:w="868" w:type="dxa"/>
            <w:vAlign w:val="center"/>
          </w:tcPr>
          <w:p w14:paraId="6402D52C" w14:textId="77777777" w:rsidR="00BA350C" w:rsidRPr="00150ABA" w:rsidRDefault="00BA350C" w:rsidP="00BA350C">
            <w:pPr>
              <w:spacing w:before="40" w:after="40"/>
              <w:jc w:val="right"/>
              <w:rPr>
                <w:b/>
                <w:noProof/>
                <w:sz w:val="20"/>
              </w:rPr>
            </w:pPr>
            <w:r w:rsidRPr="00150ABA">
              <w:rPr>
                <w:noProof/>
                <w:sz w:val="20"/>
              </w:rPr>
              <w:t>1.700</w:t>
            </w:r>
          </w:p>
        </w:tc>
        <w:tc>
          <w:tcPr>
            <w:tcW w:w="1777" w:type="dxa"/>
            <w:vAlign w:val="center"/>
          </w:tcPr>
          <w:p w14:paraId="5BB8DE96" w14:textId="6389B209" w:rsidR="00BA350C" w:rsidRPr="00150ABA" w:rsidRDefault="0054088F" w:rsidP="0054088F">
            <w:pPr>
              <w:spacing w:before="20" w:after="20"/>
              <w:jc w:val="right"/>
              <w:rPr>
                <w:b/>
                <w:noProof/>
                <w:sz w:val="20"/>
              </w:rPr>
            </w:pPr>
            <w:r w:rsidRPr="00150ABA">
              <w:rPr>
                <w:b/>
                <w:noProof/>
                <w:sz w:val="20"/>
              </w:rPr>
              <w:t>9</w:t>
            </w:r>
            <w:r w:rsidR="00BA350C" w:rsidRPr="00150ABA">
              <w:rPr>
                <w:b/>
                <w:noProof/>
                <w:sz w:val="20"/>
              </w:rPr>
              <w:t>.</w:t>
            </w:r>
            <w:r w:rsidRPr="00150ABA">
              <w:rPr>
                <w:b/>
                <w:noProof/>
                <w:sz w:val="20"/>
              </w:rPr>
              <w:t>3</w:t>
            </w:r>
            <w:r w:rsidR="00BA350C" w:rsidRPr="00150ABA">
              <w:rPr>
                <w:b/>
                <w:noProof/>
                <w:sz w:val="20"/>
              </w:rPr>
              <w:t>00</w:t>
            </w:r>
          </w:p>
        </w:tc>
      </w:tr>
      <w:tr w:rsidR="00BA350C" w:rsidRPr="00150ABA" w14:paraId="5B834D7E" w14:textId="77777777" w:rsidTr="00BA350C">
        <w:trPr>
          <w:trHeight w:val="319"/>
          <w:jc w:val="center"/>
        </w:trPr>
        <w:tc>
          <w:tcPr>
            <w:tcW w:w="3960" w:type="dxa"/>
            <w:vMerge/>
            <w:vAlign w:val="center"/>
          </w:tcPr>
          <w:p w14:paraId="5933CC60" w14:textId="77777777" w:rsidR="00BA350C" w:rsidRPr="00150ABA" w:rsidRDefault="00BA350C" w:rsidP="00BA350C">
            <w:pPr>
              <w:spacing w:before="60" w:after="60"/>
              <w:rPr>
                <w:b/>
                <w:noProof/>
                <w:sz w:val="20"/>
              </w:rPr>
            </w:pPr>
          </w:p>
        </w:tc>
        <w:tc>
          <w:tcPr>
            <w:tcW w:w="1503" w:type="dxa"/>
            <w:vAlign w:val="center"/>
          </w:tcPr>
          <w:p w14:paraId="3334618F" w14:textId="77777777" w:rsidR="00BA350C" w:rsidRPr="00150ABA" w:rsidRDefault="00BA350C" w:rsidP="00BA350C">
            <w:pPr>
              <w:spacing w:before="40" w:after="40"/>
              <w:rPr>
                <w:noProof/>
                <w:sz w:val="18"/>
              </w:rPr>
            </w:pPr>
            <w:r w:rsidRPr="00150ABA">
              <w:rPr>
                <w:noProof/>
                <w:sz w:val="18"/>
              </w:rPr>
              <w:t>Payments</w:t>
            </w:r>
          </w:p>
        </w:tc>
        <w:tc>
          <w:tcPr>
            <w:tcW w:w="591" w:type="dxa"/>
            <w:vAlign w:val="center"/>
          </w:tcPr>
          <w:p w14:paraId="7B8F66E3" w14:textId="77777777" w:rsidR="00BA350C" w:rsidRPr="00150ABA" w:rsidRDefault="00BA350C" w:rsidP="00BA350C">
            <w:pPr>
              <w:spacing w:before="40" w:after="40"/>
              <w:jc w:val="center"/>
              <w:rPr>
                <w:noProof/>
                <w:sz w:val="14"/>
              </w:rPr>
            </w:pPr>
            <w:r w:rsidRPr="00150ABA">
              <w:rPr>
                <w:noProof/>
                <w:sz w:val="14"/>
              </w:rPr>
              <w:t>(3b)</w:t>
            </w:r>
          </w:p>
        </w:tc>
        <w:tc>
          <w:tcPr>
            <w:tcW w:w="868" w:type="dxa"/>
            <w:vAlign w:val="center"/>
          </w:tcPr>
          <w:p w14:paraId="476B1EA8" w14:textId="77777777" w:rsidR="00BA350C" w:rsidRPr="00150ABA" w:rsidRDefault="00BA350C" w:rsidP="00BA350C">
            <w:pPr>
              <w:spacing w:before="40" w:after="40"/>
              <w:jc w:val="right"/>
              <w:rPr>
                <w:b/>
                <w:noProof/>
                <w:sz w:val="20"/>
              </w:rPr>
            </w:pPr>
          </w:p>
        </w:tc>
        <w:tc>
          <w:tcPr>
            <w:tcW w:w="868" w:type="dxa"/>
            <w:vAlign w:val="center"/>
          </w:tcPr>
          <w:p w14:paraId="7383E72C" w14:textId="77777777" w:rsidR="00BA350C" w:rsidRPr="00150ABA" w:rsidRDefault="00BA350C" w:rsidP="00BA350C">
            <w:pPr>
              <w:spacing w:before="40" w:after="40"/>
              <w:jc w:val="right"/>
              <w:rPr>
                <w:noProof/>
                <w:sz w:val="20"/>
              </w:rPr>
            </w:pPr>
            <w:r w:rsidRPr="00150ABA">
              <w:rPr>
                <w:noProof/>
                <w:sz w:val="20"/>
              </w:rPr>
              <w:t>3.000</w:t>
            </w:r>
          </w:p>
        </w:tc>
        <w:tc>
          <w:tcPr>
            <w:tcW w:w="868" w:type="dxa"/>
            <w:vAlign w:val="center"/>
          </w:tcPr>
          <w:p w14:paraId="26488284" w14:textId="11ADB304" w:rsidR="00BA350C" w:rsidRPr="00150ABA" w:rsidRDefault="0054088F" w:rsidP="0054088F">
            <w:pPr>
              <w:spacing w:before="40" w:after="40"/>
              <w:jc w:val="right"/>
              <w:rPr>
                <w:noProof/>
                <w:sz w:val="20"/>
              </w:rPr>
            </w:pPr>
            <w:r w:rsidRPr="00150ABA">
              <w:rPr>
                <w:noProof/>
                <w:sz w:val="20"/>
              </w:rPr>
              <w:t>4</w:t>
            </w:r>
            <w:r w:rsidR="00BA350C" w:rsidRPr="00150ABA">
              <w:rPr>
                <w:noProof/>
                <w:sz w:val="20"/>
              </w:rPr>
              <w:t>.</w:t>
            </w:r>
            <w:r w:rsidRPr="00150ABA">
              <w:rPr>
                <w:noProof/>
                <w:sz w:val="20"/>
              </w:rPr>
              <w:t>6</w:t>
            </w:r>
            <w:r w:rsidR="00BA350C" w:rsidRPr="00150ABA">
              <w:rPr>
                <w:noProof/>
                <w:sz w:val="20"/>
              </w:rPr>
              <w:t>00</w:t>
            </w:r>
          </w:p>
        </w:tc>
        <w:tc>
          <w:tcPr>
            <w:tcW w:w="868" w:type="dxa"/>
            <w:vAlign w:val="center"/>
          </w:tcPr>
          <w:p w14:paraId="46C3BB6C" w14:textId="77777777" w:rsidR="00BA350C" w:rsidRPr="00150ABA" w:rsidRDefault="00BA350C" w:rsidP="00BA350C">
            <w:pPr>
              <w:spacing w:before="40" w:after="40"/>
              <w:jc w:val="right"/>
              <w:rPr>
                <w:b/>
                <w:noProof/>
                <w:sz w:val="20"/>
              </w:rPr>
            </w:pPr>
            <w:r w:rsidRPr="00150ABA">
              <w:rPr>
                <w:noProof/>
                <w:sz w:val="20"/>
              </w:rPr>
              <w:t>1.700</w:t>
            </w:r>
          </w:p>
        </w:tc>
        <w:tc>
          <w:tcPr>
            <w:tcW w:w="1777" w:type="dxa"/>
            <w:vAlign w:val="center"/>
          </w:tcPr>
          <w:p w14:paraId="5DFA0449" w14:textId="37D4E5AA" w:rsidR="00BA350C" w:rsidRPr="00150ABA" w:rsidRDefault="0054088F" w:rsidP="0054088F">
            <w:pPr>
              <w:spacing w:before="20" w:after="20"/>
              <w:jc w:val="right"/>
              <w:rPr>
                <w:b/>
                <w:noProof/>
                <w:sz w:val="20"/>
              </w:rPr>
            </w:pPr>
            <w:r w:rsidRPr="00150ABA">
              <w:rPr>
                <w:b/>
                <w:noProof/>
                <w:sz w:val="20"/>
              </w:rPr>
              <w:t>9</w:t>
            </w:r>
            <w:r w:rsidR="00BA350C" w:rsidRPr="00150ABA">
              <w:rPr>
                <w:b/>
                <w:noProof/>
                <w:sz w:val="20"/>
              </w:rPr>
              <w:t>.</w:t>
            </w:r>
            <w:r w:rsidRPr="00150ABA">
              <w:rPr>
                <w:b/>
                <w:noProof/>
                <w:sz w:val="20"/>
              </w:rPr>
              <w:t>3</w:t>
            </w:r>
            <w:r w:rsidR="00BA350C" w:rsidRPr="00150ABA">
              <w:rPr>
                <w:b/>
                <w:noProof/>
                <w:sz w:val="20"/>
              </w:rPr>
              <w:t>00</w:t>
            </w:r>
          </w:p>
        </w:tc>
      </w:tr>
      <w:tr w:rsidR="00BA350C" w:rsidRPr="00150ABA" w14:paraId="1F5D2CD5" w14:textId="77777777" w:rsidTr="00BA350C">
        <w:trPr>
          <w:jc w:val="center"/>
        </w:trPr>
        <w:tc>
          <w:tcPr>
            <w:tcW w:w="3960" w:type="dxa"/>
            <w:vMerge w:val="restart"/>
            <w:vAlign w:val="center"/>
          </w:tcPr>
          <w:p w14:paraId="5740C6F8" w14:textId="679D871A" w:rsidR="00BA350C" w:rsidRPr="0083016B" w:rsidRDefault="00BA350C" w:rsidP="00CF090D">
            <w:pPr>
              <w:jc w:val="center"/>
              <w:rPr>
                <w:noProof/>
                <w:lang w:val="fr-BE"/>
              </w:rPr>
            </w:pPr>
            <w:r w:rsidRPr="0083016B">
              <w:rPr>
                <w:b/>
                <w:noProof/>
                <w:sz w:val="22"/>
                <w:lang w:val="fr-BE"/>
              </w:rPr>
              <w:t>TOTAL appropriations</w:t>
            </w:r>
            <w:r w:rsidRPr="0083016B">
              <w:rPr>
                <w:noProof/>
                <w:sz w:val="22"/>
                <w:lang w:val="fr-BE"/>
              </w:rPr>
              <w:br/>
            </w:r>
            <w:r w:rsidRPr="0083016B">
              <w:rPr>
                <w:b/>
                <w:noProof/>
                <w:sz w:val="22"/>
                <w:lang w:val="fr-BE"/>
              </w:rPr>
              <w:t xml:space="preserve">for </w:t>
            </w:r>
            <w:r w:rsidRPr="0083016B">
              <w:rPr>
                <w:b/>
                <w:noProof/>
                <w:lang w:val="fr-BE"/>
              </w:rPr>
              <w:t>eu-LISA</w:t>
            </w:r>
          </w:p>
        </w:tc>
        <w:tc>
          <w:tcPr>
            <w:tcW w:w="1503" w:type="dxa"/>
            <w:vAlign w:val="center"/>
          </w:tcPr>
          <w:p w14:paraId="6B1DFD05" w14:textId="77777777" w:rsidR="00BA350C" w:rsidRPr="00150ABA" w:rsidRDefault="00BA350C" w:rsidP="00BA350C">
            <w:pPr>
              <w:rPr>
                <w:noProof/>
                <w:sz w:val="18"/>
              </w:rPr>
            </w:pPr>
            <w:r w:rsidRPr="00150ABA">
              <w:rPr>
                <w:noProof/>
                <w:sz w:val="18"/>
              </w:rPr>
              <w:t>Commitments</w:t>
            </w:r>
          </w:p>
        </w:tc>
        <w:tc>
          <w:tcPr>
            <w:tcW w:w="591" w:type="dxa"/>
            <w:vAlign w:val="center"/>
          </w:tcPr>
          <w:p w14:paraId="78809C5A" w14:textId="77777777" w:rsidR="00BA350C" w:rsidRPr="00150ABA" w:rsidRDefault="00BA350C" w:rsidP="00BA350C">
            <w:pPr>
              <w:jc w:val="center"/>
              <w:rPr>
                <w:noProof/>
                <w:sz w:val="14"/>
              </w:rPr>
            </w:pPr>
            <w:r w:rsidRPr="00150ABA">
              <w:rPr>
                <w:noProof/>
                <w:sz w:val="14"/>
              </w:rPr>
              <w:t>=1+1a +3a</w:t>
            </w:r>
          </w:p>
        </w:tc>
        <w:tc>
          <w:tcPr>
            <w:tcW w:w="868" w:type="dxa"/>
            <w:vAlign w:val="center"/>
          </w:tcPr>
          <w:p w14:paraId="78FB2C7E" w14:textId="77777777" w:rsidR="00BA350C" w:rsidRPr="00150ABA" w:rsidRDefault="00BA350C" w:rsidP="00BA350C">
            <w:pPr>
              <w:spacing w:before="20" w:after="20"/>
              <w:jc w:val="right"/>
              <w:rPr>
                <w:noProof/>
                <w:sz w:val="20"/>
                <w:szCs w:val="20"/>
              </w:rPr>
            </w:pPr>
            <w:r w:rsidRPr="00150ABA">
              <w:rPr>
                <w:noProof/>
                <w:sz w:val="20"/>
                <w:szCs w:val="20"/>
              </w:rPr>
              <w:t>3.608</w:t>
            </w:r>
          </w:p>
        </w:tc>
        <w:tc>
          <w:tcPr>
            <w:tcW w:w="868" w:type="dxa"/>
            <w:vAlign w:val="center"/>
          </w:tcPr>
          <w:p w14:paraId="56E6CB18" w14:textId="53E3A9DF" w:rsidR="00BA350C" w:rsidRPr="00150ABA" w:rsidRDefault="0054088F" w:rsidP="0054088F">
            <w:pPr>
              <w:spacing w:before="20" w:after="20"/>
              <w:jc w:val="right"/>
              <w:rPr>
                <w:noProof/>
                <w:sz w:val="20"/>
                <w:szCs w:val="20"/>
              </w:rPr>
            </w:pPr>
            <w:r w:rsidRPr="00150ABA">
              <w:rPr>
                <w:noProof/>
                <w:sz w:val="20"/>
                <w:szCs w:val="20"/>
              </w:rPr>
              <w:t>4</w:t>
            </w:r>
            <w:r w:rsidR="00BA350C" w:rsidRPr="00150ABA">
              <w:rPr>
                <w:noProof/>
                <w:sz w:val="20"/>
                <w:szCs w:val="20"/>
              </w:rPr>
              <w:t>.</w:t>
            </w:r>
            <w:r w:rsidRPr="00150ABA">
              <w:rPr>
                <w:noProof/>
                <w:sz w:val="20"/>
                <w:szCs w:val="20"/>
              </w:rPr>
              <w:t>1</w:t>
            </w:r>
            <w:r w:rsidR="00BA350C" w:rsidRPr="00150ABA">
              <w:rPr>
                <w:noProof/>
                <w:sz w:val="20"/>
                <w:szCs w:val="20"/>
              </w:rPr>
              <w:t>16</w:t>
            </w:r>
          </w:p>
        </w:tc>
        <w:tc>
          <w:tcPr>
            <w:tcW w:w="868" w:type="dxa"/>
            <w:vAlign w:val="center"/>
          </w:tcPr>
          <w:p w14:paraId="6F0A3228" w14:textId="77777777" w:rsidR="00BA350C" w:rsidRPr="00150ABA" w:rsidRDefault="00BA350C" w:rsidP="00BA350C">
            <w:pPr>
              <w:spacing w:before="20" w:after="20"/>
              <w:jc w:val="right"/>
              <w:rPr>
                <w:noProof/>
                <w:sz w:val="20"/>
                <w:szCs w:val="20"/>
              </w:rPr>
            </w:pPr>
            <w:r w:rsidRPr="00150ABA">
              <w:rPr>
                <w:noProof/>
                <w:sz w:val="20"/>
                <w:szCs w:val="20"/>
              </w:rPr>
              <w:t>3.080</w:t>
            </w:r>
          </w:p>
        </w:tc>
        <w:tc>
          <w:tcPr>
            <w:tcW w:w="868" w:type="dxa"/>
            <w:vAlign w:val="center"/>
          </w:tcPr>
          <w:p w14:paraId="75330B95" w14:textId="77777777" w:rsidR="00BA350C" w:rsidRPr="00150ABA" w:rsidRDefault="00BA350C" w:rsidP="00BA350C">
            <w:pPr>
              <w:spacing w:before="20" w:after="20"/>
              <w:jc w:val="right"/>
              <w:rPr>
                <w:noProof/>
                <w:sz w:val="20"/>
                <w:szCs w:val="20"/>
              </w:rPr>
            </w:pPr>
            <w:r w:rsidRPr="00150ABA">
              <w:rPr>
                <w:noProof/>
                <w:sz w:val="20"/>
                <w:szCs w:val="20"/>
              </w:rPr>
              <w:t>3.080</w:t>
            </w:r>
          </w:p>
        </w:tc>
        <w:tc>
          <w:tcPr>
            <w:tcW w:w="1777" w:type="dxa"/>
            <w:vAlign w:val="center"/>
          </w:tcPr>
          <w:p w14:paraId="4250586D" w14:textId="404681DD" w:rsidR="00BA350C" w:rsidRPr="00150ABA" w:rsidRDefault="00BA350C" w:rsidP="0054088F">
            <w:pPr>
              <w:spacing w:before="20" w:after="20"/>
              <w:jc w:val="right"/>
              <w:rPr>
                <w:b/>
                <w:noProof/>
                <w:sz w:val="20"/>
              </w:rPr>
            </w:pPr>
            <w:r w:rsidRPr="00150ABA">
              <w:rPr>
                <w:b/>
                <w:noProof/>
                <w:sz w:val="20"/>
              </w:rPr>
              <w:t>1</w:t>
            </w:r>
            <w:r w:rsidR="0054088F" w:rsidRPr="00150ABA">
              <w:rPr>
                <w:b/>
                <w:noProof/>
                <w:sz w:val="20"/>
              </w:rPr>
              <w:t>3</w:t>
            </w:r>
            <w:r w:rsidRPr="00150ABA">
              <w:rPr>
                <w:b/>
                <w:noProof/>
                <w:sz w:val="20"/>
              </w:rPr>
              <w:t>.</w:t>
            </w:r>
            <w:r w:rsidR="0054088F" w:rsidRPr="00150ABA">
              <w:rPr>
                <w:b/>
                <w:noProof/>
                <w:sz w:val="20"/>
              </w:rPr>
              <w:t>8</w:t>
            </w:r>
            <w:r w:rsidRPr="00150ABA">
              <w:rPr>
                <w:b/>
                <w:noProof/>
                <w:sz w:val="20"/>
              </w:rPr>
              <w:t>84</w:t>
            </w:r>
          </w:p>
        </w:tc>
      </w:tr>
      <w:tr w:rsidR="00BA350C" w:rsidRPr="00150ABA" w14:paraId="273BB017" w14:textId="77777777" w:rsidTr="00BA350C">
        <w:trPr>
          <w:jc w:val="center"/>
        </w:trPr>
        <w:tc>
          <w:tcPr>
            <w:tcW w:w="3960" w:type="dxa"/>
            <w:vMerge/>
            <w:vAlign w:val="center"/>
          </w:tcPr>
          <w:p w14:paraId="548DBC0C" w14:textId="77777777" w:rsidR="00BA350C" w:rsidRPr="00150ABA" w:rsidRDefault="00BA350C" w:rsidP="00BA350C">
            <w:pPr>
              <w:rPr>
                <w:b/>
                <w:noProof/>
              </w:rPr>
            </w:pPr>
          </w:p>
        </w:tc>
        <w:tc>
          <w:tcPr>
            <w:tcW w:w="1503" w:type="dxa"/>
            <w:vAlign w:val="center"/>
          </w:tcPr>
          <w:p w14:paraId="5C73FBF0" w14:textId="77777777" w:rsidR="00BA350C" w:rsidRPr="00150ABA" w:rsidRDefault="00BA350C" w:rsidP="00BA350C">
            <w:pPr>
              <w:rPr>
                <w:noProof/>
                <w:sz w:val="18"/>
              </w:rPr>
            </w:pPr>
            <w:r w:rsidRPr="00150ABA">
              <w:rPr>
                <w:noProof/>
                <w:sz w:val="18"/>
              </w:rPr>
              <w:t>Payments</w:t>
            </w:r>
          </w:p>
        </w:tc>
        <w:tc>
          <w:tcPr>
            <w:tcW w:w="591" w:type="dxa"/>
            <w:vAlign w:val="center"/>
          </w:tcPr>
          <w:p w14:paraId="68950F62" w14:textId="77777777" w:rsidR="00BA350C" w:rsidRPr="00150ABA" w:rsidRDefault="00BA350C" w:rsidP="00BA350C">
            <w:pPr>
              <w:jc w:val="center"/>
              <w:rPr>
                <w:noProof/>
                <w:sz w:val="14"/>
              </w:rPr>
            </w:pPr>
            <w:r w:rsidRPr="00150ABA">
              <w:rPr>
                <w:noProof/>
                <w:sz w:val="14"/>
              </w:rPr>
              <w:t>=2+2a</w:t>
            </w:r>
          </w:p>
          <w:p w14:paraId="397C23B4" w14:textId="77777777" w:rsidR="00BA350C" w:rsidRPr="00150ABA" w:rsidRDefault="00BA350C" w:rsidP="00BA350C">
            <w:pPr>
              <w:jc w:val="center"/>
              <w:rPr>
                <w:noProof/>
                <w:sz w:val="14"/>
              </w:rPr>
            </w:pPr>
            <w:r w:rsidRPr="00150ABA">
              <w:rPr>
                <w:noProof/>
                <w:sz w:val="14"/>
              </w:rPr>
              <w:t>+3b</w:t>
            </w:r>
          </w:p>
        </w:tc>
        <w:tc>
          <w:tcPr>
            <w:tcW w:w="868" w:type="dxa"/>
            <w:vAlign w:val="center"/>
          </w:tcPr>
          <w:p w14:paraId="6A7288F4" w14:textId="77777777" w:rsidR="00BA350C" w:rsidRPr="00150ABA" w:rsidRDefault="00BA350C" w:rsidP="00BA350C">
            <w:pPr>
              <w:spacing w:before="20" w:after="20"/>
              <w:jc w:val="right"/>
              <w:rPr>
                <w:noProof/>
                <w:sz w:val="20"/>
                <w:szCs w:val="20"/>
              </w:rPr>
            </w:pPr>
            <w:r w:rsidRPr="00150ABA">
              <w:rPr>
                <w:noProof/>
                <w:sz w:val="20"/>
                <w:szCs w:val="20"/>
              </w:rPr>
              <w:t>0.608</w:t>
            </w:r>
          </w:p>
        </w:tc>
        <w:tc>
          <w:tcPr>
            <w:tcW w:w="868" w:type="dxa"/>
            <w:vAlign w:val="center"/>
          </w:tcPr>
          <w:p w14:paraId="46FCED4E" w14:textId="77777777" w:rsidR="00BA350C" w:rsidRPr="00150ABA" w:rsidRDefault="00BA350C" w:rsidP="00BA350C">
            <w:pPr>
              <w:spacing w:before="20" w:after="20"/>
              <w:jc w:val="right"/>
              <w:rPr>
                <w:noProof/>
                <w:sz w:val="20"/>
                <w:szCs w:val="20"/>
              </w:rPr>
            </w:pPr>
            <w:r w:rsidRPr="00150ABA">
              <w:rPr>
                <w:noProof/>
                <w:sz w:val="20"/>
                <w:szCs w:val="20"/>
              </w:rPr>
              <w:t>4.216</w:t>
            </w:r>
          </w:p>
        </w:tc>
        <w:tc>
          <w:tcPr>
            <w:tcW w:w="868" w:type="dxa"/>
            <w:vAlign w:val="center"/>
          </w:tcPr>
          <w:p w14:paraId="70289C0E" w14:textId="66B98A2E" w:rsidR="00BA350C" w:rsidRPr="00150ABA" w:rsidRDefault="0054088F" w:rsidP="0054088F">
            <w:pPr>
              <w:spacing w:before="20" w:after="20"/>
              <w:jc w:val="right"/>
              <w:rPr>
                <w:noProof/>
                <w:sz w:val="20"/>
                <w:szCs w:val="20"/>
              </w:rPr>
            </w:pPr>
            <w:r w:rsidRPr="00150ABA">
              <w:rPr>
                <w:noProof/>
                <w:sz w:val="20"/>
                <w:szCs w:val="20"/>
              </w:rPr>
              <w:t>5</w:t>
            </w:r>
            <w:r w:rsidR="00BA350C" w:rsidRPr="00150ABA">
              <w:rPr>
                <w:noProof/>
                <w:sz w:val="20"/>
                <w:szCs w:val="20"/>
              </w:rPr>
              <w:t>.</w:t>
            </w:r>
            <w:r w:rsidRPr="00150ABA">
              <w:rPr>
                <w:noProof/>
                <w:sz w:val="20"/>
                <w:szCs w:val="20"/>
              </w:rPr>
              <w:t>9</w:t>
            </w:r>
            <w:r w:rsidR="00BA350C" w:rsidRPr="00150ABA">
              <w:rPr>
                <w:noProof/>
                <w:sz w:val="20"/>
                <w:szCs w:val="20"/>
              </w:rPr>
              <w:t>80</w:t>
            </w:r>
          </w:p>
        </w:tc>
        <w:tc>
          <w:tcPr>
            <w:tcW w:w="868" w:type="dxa"/>
            <w:vAlign w:val="center"/>
          </w:tcPr>
          <w:p w14:paraId="60F7B34E" w14:textId="77777777" w:rsidR="00BA350C" w:rsidRPr="00150ABA" w:rsidRDefault="00BA350C" w:rsidP="00BA350C">
            <w:pPr>
              <w:spacing w:before="20" w:after="20"/>
              <w:jc w:val="right"/>
              <w:rPr>
                <w:noProof/>
                <w:sz w:val="20"/>
                <w:szCs w:val="20"/>
              </w:rPr>
            </w:pPr>
            <w:r w:rsidRPr="00150ABA">
              <w:rPr>
                <w:noProof/>
                <w:sz w:val="20"/>
                <w:szCs w:val="20"/>
              </w:rPr>
              <w:t>3.080</w:t>
            </w:r>
          </w:p>
        </w:tc>
        <w:tc>
          <w:tcPr>
            <w:tcW w:w="1777" w:type="dxa"/>
            <w:vAlign w:val="center"/>
          </w:tcPr>
          <w:p w14:paraId="19A698AC" w14:textId="2C7ED210" w:rsidR="00BA350C" w:rsidRPr="00150ABA" w:rsidRDefault="00BA350C" w:rsidP="0054088F">
            <w:pPr>
              <w:spacing w:before="20" w:after="20"/>
              <w:jc w:val="right"/>
              <w:rPr>
                <w:b/>
                <w:noProof/>
                <w:sz w:val="20"/>
              </w:rPr>
            </w:pPr>
            <w:r w:rsidRPr="00150ABA">
              <w:rPr>
                <w:b/>
                <w:noProof/>
                <w:sz w:val="20"/>
              </w:rPr>
              <w:t>1</w:t>
            </w:r>
            <w:r w:rsidR="0054088F" w:rsidRPr="00150ABA">
              <w:rPr>
                <w:b/>
                <w:noProof/>
                <w:sz w:val="20"/>
              </w:rPr>
              <w:t>3</w:t>
            </w:r>
            <w:r w:rsidRPr="00150ABA">
              <w:rPr>
                <w:b/>
                <w:noProof/>
                <w:sz w:val="20"/>
              </w:rPr>
              <w:t>.</w:t>
            </w:r>
            <w:r w:rsidR="0054088F" w:rsidRPr="00150ABA">
              <w:rPr>
                <w:b/>
                <w:noProof/>
                <w:sz w:val="20"/>
              </w:rPr>
              <w:t>8</w:t>
            </w:r>
            <w:r w:rsidRPr="00150ABA">
              <w:rPr>
                <w:b/>
                <w:noProof/>
                <w:sz w:val="20"/>
              </w:rPr>
              <w:t>84</w:t>
            </w:r>
          </w:p>
        </w:tc>
      </w:tr>
    </w:tbl>
    <w:p w14:paraId="375AACEA" w14:textId="33AD2985" w:rsidR="00BA350C" w:rsidRPr="00150ABA" w:rsidRDefault="00BA350C" w:rsidP="00BA350C">
      <w:pPr>
        <w:pStyle w:val="Text1"/>
        <w:rPr>
          <w:noProof/>
        </w:rPr>
      </w:pPr>
    </w:p>
    <w:p w14:paraId="39DEFDAA" w14:textId="77777777" w:rsidR="00A728BA" w:rsidRPr="00150ABA" w:rsidRDefault="00A728BA" w:rsidP="006F6F3C">
      <w:pPr>
        <w:jc w:val="right"/>
        <w:rPr>
          <w:noProof/>
          <w:sz w:val="18"/>
          <w:szCs w:val="18"/>
        </w:rPr>
      </w:pPr>
      <w:r w:rsidRPr="00150ABA">
        <w:rPr>
          <w:noProof/>
          <w:sz w:val="18"/>
          <w:szCs w:val="18"/>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A728BA" w:rsidRPr="00150ABA" w14:paraId="79CF2A7E" w14:textId="77777777" w:rsidTr="006F6F3C">
        <w:trPr>
          <w:jc w:val="center"/>
        </w:trPr>
        <w:tc>
          <w:tcPr>
            <w:tcW w:w="4744" w:type="dxa"/>
            <w:shd w:val="thinDiagStripe" w:color="C0C0C0" w:fill="auto"/>
            <w:vAlign w:val="center"/>
          </w:tcPr>
          <w:p w14:paraId="3AB63F85" w14:textId="77777777" w:rsidR="00A728BA" w:rsidRPr="00150ABA" w:rsidRDefault="00A728BA" w:rsidP="006F6F3C">
            <w:pPr>
              <w:spacing w:before="60" w:after="60"/>
              <w:jc w:val="center"/>
              <w:rPr>
                <w:b/>
                <w:noProof/>
              </w:rPr>
            </w:pPr>
            <w:r w:rsidRPr="00150ABA">
              <w:rPr>
                <w:b/>
                <w:noProof/>
                <w:sz w:val="22"/>
              </w:rPr>
              <w:t xml:space="preserve">Heading of multiannual financial </w:t>
            </w:r>
            <w:r w:rsidRPr="00150ABA">
              <w:rPr>
                <w:noProof/>
                <w:sz w:val="22"/>
              </w:rPr>
              <w:br/>
            </w:r>
            <w:r w:rsidRPr="00150ABA">
              <w:rPr>
                <w:b/>
                <w:noProof/>
                <w:sz w:val="22"/>
              </w:rPr>
              <w:t xml:space="preserve">framework </w:t>
            </w:r>
          </w:p>
        </w:tc>
        <w:tc>
          <w:tcPr>
            <w:tcW w:w="1080" w:type="dxa"/>
            <w:vAlign w:val="center"/>
          </w:tcPr>
          <w:p w14:paraId="7CAFA635" w14:textId="77777777" w:rsidR="00A728BA" w:rsidRPr="00150ABA" w:rsidRDefault="007D0D6D" w:rsidP="006F6F3C">
            <w:pPr>
              <w:spacing w:before="60" w:after="60"/>
              <w:jc w:val="center"/>
              <w:rPr>
                <w:noProof/>
              </w:rPr>
            </w:pPr>
            <w:r w:rsidRPr="00150ABA">
              <w:rPr>
                <w:noProof/>
                <w:sz w:val="22"/>
              </w:rPr>
              <w:t>2</w:t>
            </w:r>
          </w:p>
        </w:tc>
        <w:tc>
          <w:tcPr>
            <w:tcW w:w="7817" w:type="dxa"/>
            <w:vAlign w:val="center"/>
          </w:tcPr>
          <w:p w14:paraId="798837BC" w14:textId="77777777" w:rsidR="00A728BA" w:rsidRPr="00150ABA" w:rsidRDefault="007D0D6D" w:rsidP="006F6F3C">
            <w:pPr>
              <w:spacing w:before="60" w:after="60"/>
              <w:rPr>
                <w:noProof/>
              </w:rPr>
            </w:pPr>
            <w:r w:rsidRPr="00150ABA">
              <w:rPr>
                <w:noProof/>
              </w:rPr>
              <w:t>Cohesion, resilience and values</w:t>
            </w:r>
          </w:p>
        </w:tc>
      </w:tr>
    </w:tbl>
    <w:p w14:paraId="1B9E2614" w14:textId="77777777" w:rsidR="00A728BA" w:rsidRPr="00150ABA" w:rsidRDefault="00A728BA" w:rsidP="006F6F3C">
      <w:pPr>
        <w:rPr>
          <w:noProof/>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7"/>
        <w:gridCol w:w="1543"/>
        <w:gridCol w:w="607"/>
        <w:gridCol w:w="891"/>
        <w:gridCol w:w="891"/>
        <w:gridCol w:w="891"/>
        <w:gridCol w:w="891"/>
        <w:gridCol w:w="1825"/>
      </w:tblGrid>
      <w:tr w:rsidR="007D0D6D" w:rsidRPr="00150ABA" w14:paraId="36EA69F4" w14:textId="77777777" w:rsidTr="007D0D6D">
        <w:trPr>
          <w:trHeight w:val="735"/>
          <w:jc w:val="center"/>
        </w:trPr>
        <w:tc>
          <w:tcPr>
            <w:tcW w:w="4067" w:type="dxa"/>
            <w:vAlign w:val="center"/>
          </w:tcPr>
          <w:p w14:paraId="1D277BF3" w14:textId="77777777" w:rsidR="007D0D6D" w:rsidRPr="00150ABA" w:rsidRDefault="007D0D6D" w:rsidP="007D0D6D">
            <w:pPr>
              <w:jc w:val="center"/>
              <w:rPr>
                <w:b/>
                <w:noProof/>
                <w:lang w:eastAsia="en-GB"/>
              </w:rPr>
            </w:pPr>
            <w:r w:rsidRPr="00150ABA">
              <w:rPr>
                <w:b/>
                <w:noProof/>
                <w:lang w:eastAsia="en-GB"/>
              </w:rPr>
              <w:t>Eurojust</w:t>
            </w:r>
          </w:p>
        </w:tc>
        <w:tc>
          <w:tcPr>
            <w:tcW w:w="1543" w:type="dxa"/>
          </w:tcPr>
          <w:p w14:paraId="0ECAD2FA" w14:textId="77777777" w:rsidR="007D0D6D" w:rsidRPr="00150ABA" w:rsidRDefault="007D0D6D" w:rsidP="007D0D6D">
            <w:pPr>
              <w:rPr>
                <w:noProof/>
                <w:sz w:val="20"/>
                <w:lang w:eastAsia="en-GB"/>
              </w:rPr>
            </w:pPr>
          </w:p>
        </w:tc>
        <w:tc>
          <w:tcPr>
            <w:tcW w:w="607" w:type="dxa"/>
          </w:tcPr>
          <w:p w14:paraId="160C6F0E" w14:textId="77777777" w:rsidR="007D0D6D" w:rsidRPr="00150ABA" w:rsidRDefault="007D0D6D" w:rsidP="007D0D6D">
            <w:pPr>
              <w:jc w:val="center"/>
              <w:rPr>
                <w:noProof/>
                <w:sz w:val="20"/>
                <w:lang w:eastAsia="en-GB"/>
              </w:rPr>
            </w:pPr>
          </w:p>
        </w:tc>
        <w:tc>
          <w:tcPr>
            <w:tcW w:w="891" w:type="dxa"/>
            <w:vAlign w:val="center"/>
          </w:tcPr>
          <w:p w14:paraId="760D2255" w14:textId="77777777" w:rsidR="007D0D6D" w:rsidRPr="00150ABA" w:rsidRDefault="007D0D6D" w:rsidP="007D0D6D">
            <w:pPr>
              <w:jc w:val="center"/>
              <w:rPr>
                <w:noProof/>
                <w:sz w:val="20"/>
                <w:lang w:eastAsia="en-GB"/>
              </w:rPr>
            </w:pPr>
            <w:r w:rsidRPr="00150ABA">
              <w:rPr>
                <w:noProof/>
                <w:sz w:val="20"/>
                <w:lang w:eastAsia="en-GB"/>
              </w:rPr>
              <w:t>Year</w:t>
            </w:r>
            <w:r w:rsidRPr="00150ABA">
              <w:rPr>
                <w:noProof/>
                <w:sz w:val="22"/>
                <w:lang w:eastAsia="en-GB"/>
              </w:rPr>
              <w:br/>
            </w:r>
            <w:r w:rsidRPr="00150ABA">
              <w:rPr>
                <w:b/>
                <w:noProof/>
                <w:sz w:val="20"/>
                <w:lang w:eastAsia="en-GB"/>
              </w:rPr>
              <w:t>2024</w:t>
            </w:r>
            <w:r w:rsidRPr="00150ABA">
              <w:rPr>
                <w:rStyle w:val="FootnoteReference"/>
                <w:noProof/>
              </w:rPr>
              <w:footnoteReference w:id="38"/>
            </w:r>
          </w:p>
        </w:tc>
        <w:tc>
          <w:tcPr>
            <w:tcW w:w="891" w:type="dxa"/>
            <w:vAlign w:val="center"/>
          </w:tcPr>
          <w:p w14:paraId="70EB0432" w14:textId="77777777" w:rsidR="007D0D6D" w:rsidRPr="00150ABA" w:rsidRDefault="007D0D6D" w:rsidP="007D0D6D">
            <w:pPr>
              <w:jc w:val="center"/>
              <w:rPr>
                <w:noProof/>
                <w:sz w:val="20"/>
                <w:lang w:eastAsia="en-GB"/>
              </w:rPr>
            </w:pPr>
            <w:r w:rsidRPr="00150ABA">
              <w:rPr>
                <w:noProof/>
                <w:sz w:val="20"/>
                <w:lang w:eastAsia="en-GB"/>
              </w:rPr>
              <w:t>Year</w:t>
            </w:r>
            <w:r w:rsidRPr="00150ABA">
              <w:rPr>
                <w:noProof/>
                <w:sz w:val="22"/>
                <w:lang w:eastAsia="en-GB"/>
              </w:rPr>
              <w:br/>
            </w:r>
            <w:r w:rsidRPr="00150ABA">
              <w:rPr>
                <w:b/>
                <w:noProof/>
                <w:sz w:val="20"/>
                <w:lang w:eastAsia="en-GB"/>
              </w:rPr>
              <w:t>2025</w:t>
            </w:r>
          </w:p>
        </w:tc>
        <w:tc>
          <w:tcPr>
            <w:tcW w:w="891" w:type="dxa"/>
            <w:vAlign w:val="center"/>
          </w:tcPr>
          <w:p w14:paraId="030CF2F8" w14:textId="77777777" w:rsidR="007D0D6D" w:rsidRPr="00150ABA" w:rsidRDefault="007D0D6D" w:rsidP="007D0D6D">
            <w:pPr>
              <w:jc w:val="center"/>
              <w:rPr>
                <w:noProof/>
                <w:sz w:val="20"/>
                <w:lang w:eastAsia="en-GB"/>
              </w:rPr>
            </w:pPr>
            <w:r w:rsidRPr="00150ABA">
              <w:rPr>
                <w:noProof/>
                <w:sz w:val="20"/>
                <w:lang w:eastAsia="en-GB"/>
              </w:rPr>
              <w:t>Year</w:t>
            </w:r>
            <w:r w:rsidRPr="00150ABA">
              <w:rPr>
                <w:noProof/>
                <w:sz w:val="22"/>
                <w:lang w:eastAsia="en-GB"/>
              </w:rPr>
              <w:br/>
            </w:r>
            <w:r w:rsidRPr="00150ABA">
              <w:rPr>
                <w:b/>
                <w:noProof/>
                <w:sz w:val="20"/>
                <w:lang w:eastAsia="en-GB"/>
              </w:rPr>
              <w:t>2026</w:t>
            </w:r>
          </w:p>
        </w:tc>
        <w:tc>
          <w:tcPr>
            <w:tcW w:w="891" w:type="dxa"/>
            <w:vAlign w:val="center"/>
          </w:tcPr>
          <w:p w14:paraId="22D1D0DD" w14:textId="77777777" w:rsidR="007D0D6D" w:rsidRPr="00150ABA" w:rsidRDefault="007D0D6D" w:rsidP="007D0D6D">
            <w:pPr>
              <w:jc w:val="center"/>
              <w:rPr>
                <w:noProof/>
                <w:sz w:val="20"/>
                <w:lang w:eastAsia="en-GB"/>
              </w:rPr>
            </w:pPr>
            <w:r w:rsidRPr="00150ABA">
              <w:rPr>
                <w:noProof/>
                <w:sz w:val="20"/>
                <w:lang w:eastAsia="en-GB"/>
              </w:rPr>
              <w:t>Year</w:t>
            </w:r>
            <w:r w:rsidRPr="00150ABA">
              <w:rPr>
                <w:noProof/>
                <w:sz w:val="22"/>
                <w:lang w:eastAsia="en-GB"/>
              </w:rPr>
              <w:br/>
            </w:r>
            <w:r w:rsidRPr="00150ABA">
              <w:rPr>
                <w:b/>
                <w:noProof/>
                <w:sz w:val="20"/>
                <w:lang w:eastAsia="en-GB"/>
              </w:rPr>
              <w:t>2027</w:t>
            </w:r>
          </w:p>
        </w:tc>
        <w:tc>
          <w:tcPr>
            <w:tcW w:w="1825" w:type="dxa"/>
            <w:vAlign w:val="center"/>
          </w:tcPr>
          <w:p w14:paraId="66466DAD" w14:textId="77777777" w:rsidR="007D0D6D" w:rsidRPr="00150ABA" w:rsidRDefault="007D0D6D" w:rsidP="007D0D6D">
            <w:pPr>
              <w:jc w:val="center"/>
              <w:rPr>
                <w:b/>
                <w:noProof/>
                <w:sz w:val="20"/>
                <w:lang w:eastAsia="en-GB"/>
              </w:rPr>
            </w:pPr>
            <w:r w:rsidRPr="00150ABA">
              <w:rPr>
                <w:b/>
                <w:noProof/>
                <w:sz w:val="20"/>
                <w:lang w:eastAsia="en-GB"/>
              </w:rPr>
              <w:t>TOTAL 2024-2027</w:t>
            </w:r>
          </w:p>
        </w:tc>
      </w:tr>
      <w:tr w:rsidR="007D0D6D" w:rsidRPr="00150ABA" w14:paraId="688FFABE" w14:textId="77777777" w:rsidTr="007D0D6D">
        <w:trPr>
          <w:trHeight w:val="294"/>
          <w:jc w:val="center"/>
        </w:trPr>
        <w:tc>
          <w:tcPr>
            <w:tcW w:w="4067" w:type="dxa"/>
            <w:vMerge w:val="restart"/>
            <w:vAlign w:val="center"/>
          </w:tcPr>
          <w:p w14:paraId="59EF82E4" w14:textId="77777777" w:rsidR="007D0D6D" w:rsidRPr="00150ABA" w:rsidRDefault="007D0D6D" w:rsidP="007D0D6D">
            <w:pPr>
              <w:rPr>
                <w:noProof/>
                <w:lang w:eastAsia="en-GB"/>
              </w:rPr>
            </w:pPr>
            <w:r w:rsidRPr="00150ABA">
              <w:rPr>
                <w:noProof/>
                <w:sz w:val="20"/>
                <w:lang w:eastAsia="en-GB"/>
              </w:rPr>
              <w:t>Title 1: Staff expenditures</w:t>
            </w:r>
          </w:p>
        </w:tc>
        <w:tc>
          <w:tcPr>
            <w:tcW w:w="1543" w:type="dxa"/>
            <w:vAlign w:val="center"/>
          </w:tcPr>
          <w:p w14:paraId="547D4915" w14:textId="77777777" w:rsidR="007D0D6D" w:rsidRPr="00150ABA" w:rsidRDefault="007D0D6D" w:rsidP="007D0D6D">
            <w:pPr>
              <w:spacing w:before="20" w:after="20"/>
              <w:rPr>
                <w:noProof/>
                <w:lang w:eastAsia="en-GB"/>
              </w:rPr>
            </w:pPr>
            <w:r w:rsidRPr="00150ABA">
              <w:rPr>
                <w:noProof/>
                <w:sz w:val="18"/>
                <w:lang w:eastAsia="en-GB"/>
              </w:rPr>
              <w:t>Commitments</w:t>
            </w:r>
          </w:p>
        </w:tc>
        <w:tc>
          <w:tcPr>
            <w:tcW w:w="607" w:type="dxa"/>
            <w:vAlign w:val="center"/>
          </w:tcPr>
          <w:p w14:paraId="656985D1" w14:textId="77777777" w:rsidR="007D0D6D" w:rsidRPr="00150ABA" w:rsidRDefault="007D0D6D" w:rsidP="007D0D6D">
            <w:pPr>
              <w:spacing w:before="20" w:after="20"/>
              <w:jc w:val="center"/>
              <w:rPr>
                <w:noProof/>
                <w:sz w:val="14"/>
                <w:lang w:eastAsia="en-GB"/>
              </w:rPr>
            </w:pPr>
            <w:r w:rsidRPr="00150ABA">
              <w:rPr>
                <w:noProof/>
                <w:sz w:val="14"/>
                <w:lang w:eastAsia="en-GB"/>
              </w:rPr>
              <w:t>(1)</w:t>
            </w:r>
          </w:p>
        </w:tc>
        <w:tc>
          <w:tcPr>
            <w:tcW w:w="891" w:type="dxa"/>
            <w:vAlign w:val="center"/>
          </w:tcPr>
          <w:p w14:paraId="1C3F7EF1" w14:textId="77777777" w:rsidR="007D0D6D" w:rsidRPr="00150ABA" w:rsidRDefault="007D0D6D" w:rsidP="007D0D6D">
            <w:pPr>
              <w:spacing w:before="20" w:after="20"/>
              <w:jc w:val="right"/>
              <w:rPr>
                <w:noProof/>
                <w:sz w:val="20"/>
                <w:lang w:eastAsia="en-GB"/>
              </w:rPr>
            </w:pPr>
          </w:p>
        </w:tc>
        <w:tc>
          <w:tcPr>
            <w:tcW w:w="891" w:type="dxa"/>
            <w:vAlign w:val="center"/>
          </w:tcPr>
          <w:p w14:paraId="4AF59920" w14:textId="7E69E468" w:rsidR="007D0D6D" w:rsidRPr="00150ABA" w:rsidRDefault="007D0D6D" w:rsidP="0083161E">
            <w:pPr>
              <w:spacing w:before="20" w:after="20"/>
              <w:jc w:val="right"/>
              <w:rPr>
                <w:noProof/>
                <w:sz w:val="20"/>
                <w:lang w:eastAsia="en-GB"/>
              </w:rPr>
            </w:pPr>
            <w:r w:rsidRPr="00150ABA">
              <w:rPr>
                <w:noProof/>
                <w:sz w:val="20"/>
                <w:lang w:eastAsia="en-GB"/>
              </w:rPr>
              <w:t>0.</w:t>
            </w:r>
            <w:r w:rsidR="0083161E" w:rsidRPr="00150ABA">
              <w:rPr>
                <w:noProof/>
                <w:sz w:val="20"/>
                <w:lang w:eastAsia="en-GB"/>
              </w:rPr>
              <w:t>086</w:t>
            </w:r>
          </w:p>
        </w:tc>
        <w:tc>
          <w:tcPr>
            <w:tcW w:w="891" w:type="dxa"/>
            <w:vAlign w:val="center"/>
          </w:tcPr>
          <w:p w14:paraId="4B003598" w14:textId="68B87787" w:rsidR="007D0D6D" w:rsidRPr="00150ABA" w:rsidRDefault="007D0D6D" w:rsidP="0083161E">
            <w:pPr>
              <w:spacing w:before="20" w:after="20"/>
              <w:jc w:val="right"/>
              <w:rPr>
                <w:noProof/>
                <w:sz w:val="20"/>
                <w:lang w:eastAsia="en-GB"/>
              </w:rPr>
            </w:pPr>
            <w:r w:rsidRPr="00150ABA">
              <w:rPr>
                <w:noProof/>
                <w:sz w:val="20"/>
                <w:lang w:eastAsia="en-GB"/>
              </w:rPr>
              <w:t>0.</w:t>
            </w:r>
            <w:r w:rsidR="0083161E" w:rsidRPr="00150ABA">
              <w:rPr>
                <w:noProof/>
                <w:sz w:val="20"/>
                <w:lang w:eastAsia="en-GB"/>
              </w:rPr>
              <w:t>346</w:t>
            </w:r>
          </w:p>
        </w:tc>
        <w:tc>
          <w:tcPr>
            <w:tcW w:w="891" w:type="dxa"/>
          </w:tcPr>
          <w:p w14:paraId="6214E14F" w14:textId="4B3CCFF9" w:rsidR="007D0D6D" w:rsidRPr="00150ABA" w:rsidRDefault="007D0D6D" w:rsidP="0083161E">
            <w:pPr>
              <w:spacing w:before="20" w:after="20"/>
              <w:jc w:val="right"/>
              <w:rPr>
                <w:noProof/>
                <w:sz w:val="20"/>
                <w:lang w:eastAsia="en-GB"/>
              </w:rPr>
            </w:pPr>
            <w:r w:rsidRPr="00150ABA">
              <w:rPr>
                <w:noProof/>
                <w:sz w:val="20"/>
                <w:lang w:eastAsia="en-GB"/>
              </w:rPr>
              <w:t>0.</w:t>
            </w:r>
            <w:r w:rsidR="0083161E" w:rsidRPr="00150ABA">
              <w:rPr>
                <w:noProof/>
                <w:sz w:val="20"/>
                <w:lang w:eastAsia="en-GB"/>
              </w:rPr>
              <w:t>519</w:t>
            </w:r>
          </w:p>
        </w:tc>
        <w:tc>
          <w:tcPr>
            <w:tcW w:w="1825" w:type="dxa"/>
            <w:vAlign w:val="center"/>
          </w:tcPr>
          <w:p w14:paraId="56146C6A" w14:textId="4709ABE6" w:rsidR="007D0D6D" w:rsidRPr="00150ABA" w:rsidRDefault="0083161E" w:rsidP="0083161E">
            <w:pPr>
              <w:spacing w:before="20" w:after="20"/>
              <w:jc w:val="right"/>
              <w:rPr>
                <w:b/>
                <w:noProof/>
                <w:sz w:val="20"/>
                <w:lang w:eastAsia="en-GB"/>
              </w:rPr>
            </w:pPr>
            <w:r w:rsidRPr="00150ABA">
              <w:rPr>
                <w:b/>
                <w:noProof/>
                <w:sz w:val="20"/>
                <w:lang w:eastAsia="en-GB"/>
              </w:rPr>
              <w:t>0</w:t>
            </w:r>
            <w:r w:rsidR="007D0D6D" w:rsidRPr="00150ABA">
              <w:rPr>
                <w:b/>
                <w:noProof/>
                <w:sz w:val="20"/>
                <w:lang w:eastAsia="en-GB"/>
              </w:rPr>
              <w:t>.</w:t>
            </w:r>
            <w:r w:rsidRPr="00150ABA">
              <w:rPr>
                <w:b/>
                <w:noProof/>
                <w:sz w:val="20"/>
                <w:lang w:eastAsia="en-GB"/>
              </w:rPr>
              <w:t>951</w:t>
            </w:r>
          </w:p>
        </w:tc>
      </w:tr>
      <w:tr w:rsidR="007D0D6D" w:rsidRPr="00150ABA" w14:paraId="6E00BF7F" w14:textId="77777777" w:rsidTr="007D0D6D">
        <w:trPr>
          <w:trHeight w:val="297"/>
          <w:jc w:val="center"/>
        </w:trPr>
        <w:tc>
          <w:tcPr>
            <w:tcW w:w="4067" w:type="dxa"/>
            <w:vMerge/>
            <w:vAlign w:val="center"/>
          </w:tcPr>
          <w:p w14:paraId="76933BDD" w14:textId="77777777" w:rsidR="007D0D6D" w:rsidRPr="00150ABA" w:rsidRDefault="007D0D6D" w:rsidP="007D0D6D">
            <w:pPr>
              <w:rPr>
                <w:noProof/>
                <w:lang w:eastAsia="en-GB"/>
              </w:rPr>
            </w:pPr>
          </w:p>
        </w:tc>
        <w:tc>
          <w:tcPr>
            <w:tcW w:w="1543" w:type="dxa"/>
            <w:vAlign w:val="center"/>
          </w:tcPr>
          <w:p w14:paraId="096C7C42" w14:textId="77777777" w:rsidR="007D0D6D" w:rsidRPr="00150ABA" w:rsidRDefault="007D0D6D" w:rsidP="007D0D6D">
            <w:pPr>
              <w:spacing w:before="20" w:after="20"/>
              <w:rPr>
                <w:noProof/>
                <w:sz w:val="18"/>
                <w:lang w:eastAsia="en-GB"/>
              </w:rPr>
            </w:pPr>
            <w:r w:rsidRPr="00150ABA">
              <w:rPr>
                <w:noProof/>
                <w:sz w:val="18"/>
                <w:lang w:eastAsia="en-GB"/>
              </w:rPr>
              <w:t>Payments</w:t>
            </w:r>
          </w:p>
        </w:tc>
        <w:tc>
          <w:tcPr>
            <w:tcW w:w="607" w:type="dxa"/>
            <w:vAlign w:val="center"/>
          </w:tcPr>
          <w:p w14:paraId="21E7A3E7" w14:textId="77777777" w:rsidR="007D0D6D" w:rsidRPr="00150ABA" w:rsidRDefault="007D0D6D" w:rsidP="007D0D6D">
            <w:pPr>
              <w:spacing w:before="20" w:after="20"/>
              <w:jc w:val="center"/>
              <w:rPr>
                <w:noProof/>
                <w:sz w:val="14"/>
                <w:lang w:eastAsia="en-GB"/>
              </w:rPr>
            </w:pPr>
            <w:r w:rsidRPr="00150ABA">
              <w:rPr>
                <w:noProof/>
                <w:sz w:val="14"/>
                <w:lang w:eastAsia="en-GB"/>
              </w:rPr>
              <w:t>(2)</w:t>
            </w:r>
          </w:p>
        </w:tc>
        <w:tc>
          <w:tcPr>
            <w:tcW w:w="891" w:type="dxa"/>
            <w:vAlign w:val="center"/>
          </w:tcPr>
          <w:p w14:paraId="4E87AA09" w14:textId="77777777" w:rsidR="007D0D6D" w:rsidRPr="00150ABA" w:rsidRDefault="007D0D6D" w:rsidP="007D0D6D">
            <w:pPr>
              <w:spacing w:before="20" w:after="20"/>
              <w:jc w:val="right"/>
              <w:rPr>
                <w:noProof/>
                <w:sz w:val="20"/>
                <w:lang w:eastAsia="en-GB"/>
              </w:rPr>
            </w:pPr>
          </w:p>
        </w:tc>
        <w:tc>
          <w:tcPr>
            <w:tcW w:w="891" w:type="dxa"/>
            <w:vAlign w:val="center"/>
          </w:tcPr>
          <w:p w14:paraId="4593024C" w14:textId="1E50DE58" w:rsidR="007D0D6D" w:rsidRPr="00150ABA" w:rsidRDefault="007D0D6D" w:rsidP="0083161E">
            <w:pPr>
              <w:spacing w:before="20" w:after="20"/>
              <w:jc w:val="right"/>
              <w:rPr>
                <w:noProof/>
                <w:sz w:val="20"/>
                <w:lang w:eastAsia="en-GB"/>
              </w:rPr>
            </w:pPr>
            <w:r w:rsidRPr="00150ABA">
              <w:rPr>
                <w:noProof/>
                <w:sz w:val="20"/>
                <w:lang w:eastAsia="en-GB"/>
              </w:rPr>
              <w:t>0.</w:t>
            </w:r>
            <w:r w:rsidR="0083161E" w:rsidRPr="00150ABA">
              <w:rPr>
                <w:noProof/>
                <w:sz w:val="20"/>
                <w:lang w:eastAsia="en-GB"/>
              </w:rPr>
              <w:t>086</w:t>
            </w:r>
          </w:p>
        </w:tc>
        <w:tc>
          <w:tcPr>
            <w:tcW w:w="891" w:type="dxa"/>
            <w:vAlign w:val="center"/>
          </w:tcPr>
          <w:p w14:paraId="33CBEE15" w14:textId="3C8CA519" w:rsidR="007D0D6D" w:rsidRPr="00150ABA" w:rsidRDefault="007D0D6D" w:rsidP="007D0D6D">
            <w:pPr>
              <w:spacing w:before="20" w:after="20"/>
              <w:jc w:val="right"/>
              <w:rPr>
                <w:noProof/>
                <w:sz w:val="20"/>
                <w:lang w:eastAsia="en-GB"/>
              </w:rPr>
            </w:pPr>
            <w:r w:rsidRPr="00150ABA">
              <w:rPr>
                <w:noProof/>
                <w:sz w:val="20"/>
                <w:lang w:eastAsia="en-GB"/>
              </w:rPr>
              <w:t>0.</w:t>
            </w:r>
            <w:r w:rsidR="0083161E" w:rsidRPr="00150ABA">
              <w:rPr>
                <w:noProof/>
                <w:sz w:val="20"/>
                <w:lang w:eastAsia="en-GB"/>
              </w:rPr>
              <w:t>346</w:t>
            </w:r>
          </w:p>
        </w:tc>
        <w:tc>
          <w:tcPr>
            <w:tcW w:w="891" w:type="dxa"/>
          </w:tcPr>
          <w:p w14:paraId="3179789E" w14:textId="300207D7" w:rsidR="007D0D6D" w:rsidRPr="00150ABA" w:rsidRDefault="007D0D6D" w:rsidP="0083161E">
            <w:pPr>
              <w:spacing w:before="20" w:after="20"/>
              <w:jc w:val="right"/>
              <w:rPr>
                <w:noProof/>
                <w:sz w:val="20"/>
                <w:lang w:eastAsia="en-GB"/>
              </w:rPr>
            </w:pPr>
            <w:r w:rsidRPr="00150ABA">
              <w:rPr>
                <w:noProof/>
                <w:sz w:val="20"/>
                <w:lang w:eastAsia="en-GB"/>
              </w:rPr>
              <w:t>0.</w:t>
            </w:r>
            <w:r w:rsidR="0083161E" w:rsidRPr="00150ABA">
              <w:rPr>
                <w:noProof/>
                <w:sz w:val="20"/>
                <w:lang w:eastAsia="en-GB"/>
              </w:rPr>
              <w:t>519</w:t>
            </w:r>
          </w:p>
        </w:tc>
        <w:tc>
          <w:tcPr>
            <w:tcW w:w="1825" w:type="dxa"/>
          </w:tcPr>
          <w:p w14:paraId="1C1508D6" w14:textId="49D818F4" w:rsidR="007D0D6D" w:rsidRPr="00150ABA" w:rsidRDefault="0083161E" w:rsidP="0083161E">
            <w:pPr>
              <w:spacing w:before="20" w:after="20"/>
              <w:jc w:val="right"/>
              <w:rPr>
                <w:b/>
                <w:noProof/>
                <w:sz w:val="20"/>
                <w:lang w:eastAsia="en-GB"/>
              </w:rPr>
            </w:pPr>
            <w:r w:rsidRPr="00150ABA">
              <w:rPr>
                <w:b/>
                <w:noProof/>
                <w:sz w:val="20"/>
                <w:lang w:eastAsia="en-GB"/>
              </w:rPr>
              <w:t>0</w:t>
            </w:r>
            <w:r w:rsidR="007D0D6D" w:rsidRPr="00150ABA">
              <w:rPr>
                <w:b/>
                <w:noProof/>
                <w:sz w:val="20"/>
                <w:lang w:eastAsia="en-GB"/>
              </w:rPr>
              <w:t>.</w:t>
            </w:r>
            <w:r w:rsidRPr="00150ABA">
              <w:rPr>
                <w:b/>
                <w:noProof/>
                <w:sz w:val="20"/>
                <w:lang w:eastAsia="en-GB"/>
              </w:rPr>
              <w:t>951</w:t>
            </w:r>
          </w:p>
        </w:tc>
      </w:tr>
      <w:tr w:rsidR="007D0D6D" w:rsidRPr="00150ABA" w14:paraId="6258269B" w14:textId="77777777" w:rsidTr="007D0D6D">
        <w:trPr>
          <w:trHeight w:val="283"/>
          <w:jc w:val="center"/>
        </w:trPr>
        <w:tc>
          <w:tcPr>
            <w:tcW w:w="4067" w:type="dxa"/>
            <w:vMerge w:val="restart"/>
            <w:vAlign w:val="center"/>
          </w:tcPr>
          <w:p w14:paraId="2DBF6F76" w14:textId="77777777" w:rsidR="007D0D6D" w:rsidRPr="00150ABA" w:rsidRDefault="007D0D6D" w:rsidP="007D0D6D">
            <w:pPr>
              <w:rPr>
                <w:noProof/>
                <w:lang w:eastAsia="en-GB"/>
              </w:rPr>
            </w:pPr>
            <w:r w:rsidRPr="00150ABA">
              <w:rPr>
                <w:noProof/>
                <w:sz w:val="20"/>
                <w:lang w:eastAsia="en-GB"/>
              </w:rPr>
              <w:t>Title 2: Infrastructure and operating expenditures</w:t>
            </w:r>
          </w:p>
        </w:tc>
        <w:tc>
          <w:tcPr>
            <w:tcW w:w="1543" w:type="dxa"/>
            <w:vAlign w:val="center"/>
          </w:tcPr>
          <w:p w14:paraId="2423D351" w14:textId="77777777" w:rsidR="007D0D6D" w:rsidRPr="00150ABA" w:rsidRDefault="007D0D6D" w:rsidP="007D0D6D">
            <w:pPr>
              <w:spacing w:before="20" w:after="20"/>
              <w:rPr>
                <w:noProof/>
                <w:sz w:val="18"/>
                <w:lang w:eastAsia="en-GB"/>
              </w:rPr>
            </w:pPr>
            <w:r w:rsidRPr="00150ABA">
              <w:rPr>
                <w:noProof/>
                <w:sz w:val="18"/>
                <w:lang w:eastAsia="en-GB"/>
              </w:rPr>
              <w:t>Commitments</w:t>
            </w:r>
          </w:p>
        </w:tc>
        <w:tc>
          <w:tcPr>
            <w:tcW w:w="607" w:type="dxa"/>
            <w:vAlign w:val="center"/>
          </w:tcPr>
          <w:p w14:paraId="0D6E8EEA" w14:textId="77777777" w:rsidR="007D0D6D" w:rsidRPr="00150ABA" w:rsidRDefault="007D0D6D" w:rsidP="007D0D6D">
            <w:pPr>
              <w:spacing w:before="20" w:after="20"/>
              <w:jc w:val="center"/>
              <w:rPr>
                <w:noProof/>
                <w:sz w:val="14"/>
                <w:lang w:eastAsia="en-GB"/>
              </w:rPr>
            </w:pPr>
            <w:r w:rsidRPr="00150ABA">
              <w:rPr>
                <w:noProof/>
                <w:sz w:val="14"/>
                <w:lang w:eastAsia="en-GB"/>
              </w:rPr>
              <w:t>(1a)</w:t>
            </w:r>
          </w:p>
        </w:tc>
        <w:tc>
          <w:tcPr>
            <w:tcW w:w="891" w:type="dxa"/>
            <w:vAlign w:val="center"/>
          </w:tcPr>
          <w:p w14:paraId="656D5B3B" w14:textId="77777777" w:rsidR="007D0D6D" w:rsidRPr="00150ABA" w:rsidRDefault="007D0D6D" w:rsidP="007D0D6D">
            <w:pPr>
              <w:spacing w:before="20" w:after="20"/>
              <w:jc w:val="right"/>
              <w:rPr>
                <w:noProof/>
                <w:sz w:val="20"/>
                <w:lang w:eastAsia="en-GB"/>
              </w:rPr>
            </w:pPr>
          </w:p>
        </w:tc>
        <w:tc>
          <w:tcPr>
            <w:tcW w:w="891" w:type="dxa"/>
            <w:vAlign w:val="center"/>
          </w:tcPr>
          <w:p w14:paraId="2F51D76D" w14:textId="77777777" w:rsidR="007D0D6D" w:rsidRPr="00150ABA" w:rsidRDefault="007D0D6D" w:rsidP="007D0D6D">
            <w:pPr>
              <w:spacing w:before="20" w:after="20"/>
              <w:jc w:val="right"/>
              <w:rPr>
                <w:noProof/>
                <w:sz w:val="20"/>
                <w:lang w:eastAsia="en-GB"/>
              </w:rPr>
            </w:pPr>
          </w:p>
        </w:tc>
        <w:tc>
          <w:tcPr>
            <w:tcW w:w="891" w:type="dxa"/>
            <w:vAlign w:val="center"/>
          </w:tcPr>
          <w:p w14:paraId="71C24723" w14:textId="77777777" w:rsidR="007D0D6D" w:rsidRPr="00150ABA" w:rsidRDefault="007D0D6D" w:rsidP="007D0D6D">
            <w:pPr>
              <w:spacing w:before="20" w:after="20"/>
              <w:jc w:val="right"/>
              <w:rPr>
                <w:noProof/>
                <w:sz w:val="20"/>
                <w:lang w:eastAsia="en-GB"/>
              </w:rPr>
            </w:pPr>
          </w:p>
        </w:tc>
        <w:tc>
          <w:tcPr>
            <w:tcW w:w="891" w:type="dxa"/>
            <w:vAlign w:val="center"/>
          </w:tcPr>
          <w:p w14:paraId="4530020D" w14:textId="77777777" w:rsidR="007D0D6D" w:rsidRPr="00150ABA" w:rsidRDefault="007D0D6D" w:rsidP="007D0D6D">
            <w:pPr>
              <w:spacing w:before="20" w:after="20"/>
              <w:jc w:val="right"/>
              <w:rPr>
                <w:noProof/>
                <w:sz w:val="20"/>
                <w:lang w:eastAsia="en-GB"/>
              </w:rPr>
            </w:pPr>
          </w:p>
        </w:tc>
        <w:tc>
          <w:tcPr>
            <w:tcW w:w="1825" w:type="dxa"/>
            <w:vAlign w:val="center"/>
          </w:tcPr>
          <w:p w14:paraId="5DCB7BC5" w14:textId="77777777" w:rsidR="007D0D6D" w:rsidRPr="00150ABA" w:rsidRDefault="007D0D6D" w:rsidP="007D0D6D">
            <w:pPr>
              <w:spacing w:before="20" w:after="20"/>
              <w:jc w:val="right"/>
              <w:rPr>
                <w:b/>
                <w:noProof/>
                <w:sz w:val="20"/>
                <w:lang w:eastAsia="en-GB"/>
              </w:rPr>
            </w:pPr>
          </w:p>
        </w:tc>
      </w:tr>
      <w:tr w:rsidR="007D0D6D" w:rsidRPr="00150ABA" w14:paraId="20C9857F" w14:textId="77777777" w:rsidTr="007D0D6D">
        <w:trPr>
          <w:trHeight w:val="453"/>
          <w:jc w:val="center"/>
        </w:trPr>
        <w:tc>
          <w:tcPr>
            <w:tcW w:w="4067" w:type="dxa"/>
            <w:vMerge/>
            <w:vAlign w:val="center"/>
          </w:tcPr>
          <w:p w14:paraId="6ACDF3AE" w14:textId="77777777" w:rsidR="007D0D6D" w:rsidRPr="00150ABA" w:rsidRDefault="007D0D6D" w:rsidP="007D0D6D">
            <w:pPr>
              <w:rPr>
                <w:noProof/>
                <w:lang w:eastAsia="en-GB"/>
              </w:rPr>
            </w:pPr>
          </w:p>
        </w:tc>
        <w:tc>
          <w:tcPr>
            <w:tcW w:w="1543" w:type="dxa"/>
            <w:vAlign w:val="center"/>
          </w:tcPr>
          <w:p w14:paraId="7A0A3F36" w14:textId="77777777" w:rsidR="007D0D6D" w:rsidRPr="00150ABA" w:rsidRDefault="007D0D6D" w:rsidP="007D0D6D">
            <w:pPr>
              <w:spacing w:before="20" w:after="20"/>
              <w:rPr>
                <w:noProof/>
                <w:sz w:val="18"/>
                <w:lang w:eastAsia="en-GB"/>
              </w:rPr>
            </w:pPr>
            <w:r w:rsidRPr="00150ABA">
              <w:rPr>
                <w:noProof/>
                <w:sz w:val="18"/>
                <w:lang w:eastAsia="en-GB"/>
              </w:rPr>
              <w:t>Payments</w:t>
            </w:r>
          </w:p>
        </w:tc>
        <w:tc>
          <w:tcPr>
            <w:tcW w:w="607" w:type="dxa"/>
            <w:vAlign w:val="center"/>
          </w:tcPr>
          <w:p w14:paraId="7627F51F" w14:textId="77777777" w:rsidR="007D0D6D" w:rsidRPr="00150ABA" w:rsidRDefault="007D0D6D" w:rsidP="007D0D6D">
            <w:pPr>
              <w:spacing w:before="20" w:after="20"/>
              <w:jc w:val="center"/>
              <w:rPr>
                <w:noProof/>
                <w:sz w:val="14"/>
                <w:lang w:eastAsia="en-GB"/>
              </w:rPr>
            </w:pPr>
            <w:r w:rsidRPr="00150ABA">
              <w:rPr>
                <w:noProof/>
                <w:sz w:val="14"/>
                <w:lang w:eastAsia="en-GB"/>
              </w:rPr>
              <w:t>(2a)</w:t>
            </w:r>
          </w:p>
        </w:tc>
        <w:tc>
          <w:tcPr>
            <w:tcW w:w="891" w:type="dxa"/>
            <w:vAlign w:val="center"/>
          </w:tcPr>
          <w:p w14:paraId="75F3A5DD" w14:textId="77777777" w:rsidR="007D0D6D" w:rsidRPr="00150ABA" w:rsidRDefault="007D0D6D" w:rsidP="007D0D6D">
            <w:pPr>
              <w:spacing w:before="20" w:after="20"/>
              <w:jc w:val="right"/>
              <w:rPr>
                <w:noProof/>
                <w:sz w:val="20"/>
                <w:lang w:eastAsia="en-GB"/>
              </w:rPr>
            </w:pPr>
          </w:p>
        </w:tc>
        <w:tc>
          <w:tcPr>
            <w:tcW w:w="891" w:type="dxa"/>
            <w:vAlign w:val="center"/>
          </w:tcPr>
          <w:p w14:paraId="1F2EF604" w14:textId="77777777" w:rsidR="007D0D6D" w:rsidRPr="00150ABA" w:rsidRDefault="007D0D6D" w:rsidP="007D0D6D">
            <w:pPr>
              <w:spacing w:before="20" w:after="20"/>
              <w:jc w:val="right"/>
              <w:rPr>
                <w:noProof/>
                <w:sz w:val="20"/>
                <w:lang w:eastAsia="en-GB"/>
              </w:rPr>
            </w:pPr>
          </w:p>
        </w:tc>
        <w:tc>
          <w:tcPr>
            <w:tcW w:w="891" w:type="dxa"/>
            <w:vAlign w:val="center"/>
          </w:tcPr>
          <w:p w14:paraId="67A0AC20" w14:textId="77777777" w:rsidR="007D0D6D" w:rsidRPr="00150ABA" w:rsidRDefault="007D0D6D" w:rsidP="007D0D6D">
            <w:pPr>
              <w:spacing w:before="20" w:after="20"/>
              <w:jc w:val="right"/>
              <w:rPr>
                <w:noProof/>
                <w:sz w:val="20"/>
                <w:lang w:eastAsia="en-GB"/>
              </w:rPr>
            </w:pPr>
          </w:p>
        </w:tc>
        <w:tc>
          <w:tcPr>
            <w:tcW w:w="891" w:type="dxa"/>
            <w:vAlign w:val="center"/>
          </w:tcPr>
          <w:p w14:paraId="19F83C11" w14:textId="77777777" w:rsidR="007D0D6D" w:rsidRPr="00150ABA" w:rsidRDefault="007D0D6D" w:rsidP="007D0D6D">
            <w:pPr>
              <w:spacing w:before="20" w:after="20"/>
              <w:jc w:val="right"/>
              <w:rPr>
                <w:noProof/>
                <w:sz w:val="20"/>
                <w:lang w:eastAsia="en-GB"/>
              </w:rPr>
            </w:pPr>
          </w:p>
        </w:tc>
        <w:tc>
          <w:tcPr>
            <w:tcW w:w="1825" w:type="dxa"/>
            <w:vAlign w:val="center"/>
          </w:tcPr>
          <w:p w14:paraId="632515FD" w14:textId="77777777" w:rsidR="007D0D6D" w:rsidRPr="00150ABA" w:rsidRDefault="007D0D6D" w:rsidP="007D0D6D">
            <w:pPr>
              <w:spacing w:before="20" w:after="20"/>
              <w:jc w:val="right"/>
              <w:rPr>
                <w:b/>
                <w:noProof/>
                <w:sz w:val="20"/>
                <w:lang w:eastAsia="en-GB"/>
              </w:rPr>
            </w:pPr>
          </w:p>
        </w:tc>
      </w:tr>
      <w:tr w:rsidR="007D0D6D" w:rsidRPr="00150ABA" w14:paraId="63EB2CC3" w14:textId="77777777" w:rsidTr="007D0D6D">
        <w:trPr>
          <w:trHeight w:val="338"/>
          <w:jc w:val="center"/>
        </w:trPr>
        <w:tc>
          <w:tcPr>
            <w:tcW w:w="4067" w:type="dxa"/>
            <w:vMerge w:val="restart"/>
            <w:vAlign w:val="center"/>
          </w:tcPr>
          <w:p w14:paraId="6E1312E7" w14:textId="77777777" w:rsidR="007D0D6D" w:rsidRPr="00150ABA" w:rsidRDefault="007D0D6D" w:rsidP="007D0D6D">
            <w:pPr>
              <w:rPr>
                <w:noProof/>
                <w:sz w:val="20"/>
                <w:lang w:eastAsia="en-GB"/>
              </w:rPr>
            </w:pPr>
            <w:r w:rsidRPr="00150ABA">
              <w:rPr>
                <w:noProof/>
                <w:sz w:val="20"/>
                <w:lang w:eastAsia="en-GB"/>
              </w:rPr>
              <w:t>Title 3: Operational expenditures</w:t>
            </w:r>
          </w:p>
        </w:tc>
        <w:tc>
          <w:tcPr>
            <w:tcW w:w="1543" w:type="dxa"/>
            <w:vAlign w:val="center"/>
          </w:tcPr>
          <w:p w14:paraId="6CC929D7" w14:textId="77777777" w:rsidR="007D0D6D" w:rsidRPr="00150ABA" w:rsidRDefault="007D0D6D" w:rsidP="007D0D6D">
            <w:pPr>
              <w:spacing w:before="40" w:after="40"/>
              <w:rPr>
                <w:noProof/>
                <w:sz w:val="18"/>
                <w:lang w:eastAsia="en-GB"/>
              </w:rPr>
            </w:pPr>
            <w:r w:rsidRPr="00150ABA">
              <w:rPr>
                <w:noProof/>
                <w:sz w:val="18"/>
                <w:lang w:eastAsia="en-GB"/>
              </w:rPr>
              <w:t>Commitments</w:t>
            </w:r>
          </w:p>
        </w:tc>
        <w:tc>
          <w:tcPr>
            <w:tcW w:w="607" w:type="dxa"/>
            <w:vAlign w:val="center"/>
          </w:tcPr>
          <w:p w14:paraId="7C571C1B" w14:textId="77777777" w:rsidR="007D0D6D" w:rsidRPr="00150ABA" w:rsidRDefault="007D0D6D" w:rsidP="007D0D6D">
            <w:pPr>
              <w:spacing w:before="40" w:after="40"/>
              <w:jc w:val="center"/>
              <w:rPr>
                <w:noProof/>
                <w:sz w:val="14"/>
                <w:lang w:eastAsia="en-GB"/>
              </w:rPr>
            </w:pPr>
            <w:r w:rsidRPr="00150ABA">
              <w:rPr>
                <w:noProof/>
                <w:sz w:val="14"/>
                <w:lang w:eastAsia="en-GB"/>
              </w:rPr>
              <w:t>(3a)</w:t>
            </w:r>
          </w:p>
        </w:tc>
        <w:tc>
          <w:tcPr>
            <w:tcW w:w="891" w:type="dxa"/>
            <w:vAlign w:val="center"/>
          </w:tcPr>
          <w:p w14:paraId="34DE3384" w14:textId="77777777" w:rsidR="007D0D6D" w:rsidRPr="00150ABA" w:rsidRDefault="007D0D6D" w:rsidP="007D0D6D">
            <w:pPr>
              <w:spacing w:before="40" w:after="40"/>
              <w:jc w:val="right"/>
              <w:rPr>
                <w:noProof/>
                <w:sz w:val="20"/>
                <w:lang w:eastAsia="en-GB"/>
              </w:rPr>
            </w:pPr>
          </w:p>
        </w:tc>
        <w:tc>
          <w:tcPr>
            <w:tcW w:w="891" w:type="dxa"/>
            <w:vAlign w:val="center"/>
          </w:tcPr>
          <w:p w14:paraId="4B6B2499" w14:textId="77777777" w:rsidR="007D0D6D" w:rsidRPr="00150ABA" w:rsidRDefault="007D0D6D" w:rsidP="007D0D6D">
            <w:pPr>
              <w:spacing w:before="40" w:after="40"/>
              <w:jc w:val="right"/>
              <w:rPr>
                <w:noProof/>
                <w:sz w:val="20"/>
                <w:lang w:eastAsia="en-GB"/>
              </w:rPr>
            </w:pPr>
            <w:r w:rsidRPr="00150ABA">
              <w:rPr>
                <w:noProof/>
                <w:sz w:val="20"/>
                <w:lang w:eastAsia="en-GB"/>
              </w:rPr>
              <w:t>0.250</w:t>
            </w:r>
          </w:p>
        </w:tc>
        <w:tc>
          <w:tcPr>
            <w:tcW w:w="891" w:type="dxa"/>
            <w:vAlign w:val="center"/>
          </w:tcPr>
          <w:p w14:paraId="6867CCA8" w14:textId="77777777" w:rsidR="007D0D6D" w:rsidRPr="00150ABA" w:rsidRDefault="007D0D6D" w:rsidP="007D0D6D">
            <w:pPr>
              <w:spacing w:before="40" w:after="40"/>
              <w:jc w:val="right"/>
              <w:rPr>
                <w:noProof/>
                <w:sz w:val="20"/>
                <w:lang w:eastAsia="en-GB"/>
              </w:rPr>
            </w:pPr>
          </w:p>
        </w:tc>
        <w:tc>
          <w:tcPr>
            <w:tcW w:w="891" w:type="dxa"/>
            <w:vAlign w:val="center"/>
          </w:tcPr>
          <w:p w14:paraId="71234961" w14:textId="77777777" w:rsidR="007D0D6D" w:rsidRPr="00150ABA" w:rsidRDefault="007D0D6D" w:rsidP="007D0D6D">
            <w:pPr>
              <w:spacing w:before="40" w:after="40"/>
              <w:jc w:val="right"/>
              <w:rPr>
                <w:b/>
                <w:noProof/>
                <w:sz w:val="20"/>
                <w:lang w:eastAsia="en-GB"/>
              </w:rPr>
            </w:pPr>
          </w:p>
        </w:tc>
        <w:tc>
          <w:tcPr>
            <w:tcW w:w="1825" w:type="dxa"/>
            <w:vAlign w:val="center"/>
          </w:tcPr>
          <w:p w14:paraId="71C31435" w14:textId="77777777" w:rsidR="007D0D6D" w:rsidRPr="00150ABA" w:rsidRDefault="007D0D6D" w:rsidP="007D0D6D">
            <w:pPr>
              <w:spacing w:before="20" w:after="20"/>
              <w:jc w:val="right"/>
              <w:rPr>
                <w:b/>
                <w:noProof/>
                <w:sz w:val="20"/>
                <w:lang w:eastAsia="en-GB"/>
              </w:rPr>
            </w:pPr>
            <w:r w:rsidRPr="00150ABA">
              <w:rPr>
                <w:b/>
                <w:noProof/>
                <w:sz w:val="20"/>
                <w:lang w:eastAsia="en-GB"/>
              </w:rPr>
              <w:t>0.250</w:t>
            </w:r>
          </w:p>
        </w:tc>
      </w:tr>
      <w:tr w:rsidR="007D0D6D" w:rsidRPr="00150ABA" w14:paraId="69402574" w14:textId="77777777" w:rsidTr="007D0D6D">
        <w:trPr>
          <w:trHeight w:val="338"/>
          <w:jc w:val="center"/>
        </w:trPr>
        <w:tc>
          <w:tcPr>
            <w:tcW w:w="4067" w:type="dxa"/>
            <w:vMerge/>
            <w:vAlign w:val="center"/>
          </w:tcPr>
          <w:p w14:paraId="50212A40" w14:textId="77777777" w:rsidR="007D0D6D" w:rsidRPr="00150ABA" w:rsidRDefault="007D0D6D" w:rsidP="007D0D6D">
            <w:pPr>
              <w:spacing w:before="60" w:after="60"/>
              <w:rPr>
                <w:b/>
                <w:noProof/>
                <w:sz w:val="20"/>
                <w:lang w:eastAsia="en-GB"/>
              </w:rPr>
            </w:pPr>
          </w:p>
        </w:tc>
        <w:tc>
          <w:tcPr>
            <w:tcW w:w="1543" w:type="dxa"/>
            <w:vAlign w:val="center"/>
          </w:tcPr>
          <w:p w14:paraId="235ECB4B" w14:textId="77777777" w:rsidR="007D0D6D" w:rsidRPr="00150ABA" w:rsidRDefault="007D0D6D" w:rsidP="007D0D6D">
            <w:pPr>
              <w:spacing w:before="40" w:after="40"/>
              <w:rPr>
                <w:noProof/>
                <w:sz w:val="18"/>
                <w:lang w:eastAsia="en-GB"/>
              </w:rPr>
            </w:pPr>
            <w:r w:rsidRPr="00150ABA">
              <w:rPr>
                <w:noProof/>
                <w:sz w:val="18"/>
                <w:lang w:eastAsia="en-GB"/>
              </w:rPr>
              <w:t>Payments</w:t>
            </w:r>
          </w:p>
        </w:tc>
        <w:tc>
          <w:tcPr>
            <w:tcW w:w="607" w:type="dxa"/>
            <w:vAlign w:val="center"/>
          </w:tcPr>
          <w:p w14:paraId="06A9C142" w14:textId="77777777" w:rsidR="007D0D6D" w:rsidRPr="00150ABA" w:rsidRDefault="007D0D6D" w:rsidP="007D0D6D">
            <w:pPr>
              <w:spacing w:before="40" w:after="40"/>
              <w:jc w:val="center"/>
              <w:rPr>
                <w:noProof/>
                <w:sz w:val="14"/>
                <w:lang w:eastAsia="en-GB"/>
              </w:rPr>
            </w:pPr>
            <w:r w:rsidRPr="00150ABA">
              <w:rPr>
                <w:noProof/>
                <w:sz w:val="14"/>
                <w:lang w:eastAsia="en-GB"/>
              </w:rPr>
              <w:t>(3b)</w:t>
            </w:r>
          </w:p>
        </w:tc>
        <w:tc>
          <w:tcPr>
            <w:tcW w:w="891" w:type="dxa"/>
            <w:vAlign w:val="center"/>
          </w:tcPr>
          <w:p w14:paraId="3967BF9E" w14:textId="77777777" w:rsidR="007D0D6D" w:rsidRPr="00150ABA" w:rsidRDefault="007D0D6D" w:rsidP="007D0D6D">
            <w:pPr>
              <w:spacing w:before="40" w:after="40"/>
              <w:jc w:val="right"/>
              <w:rPr>
                <w:b/>
                <w:noProof/>
                <w:sz w:val="20"/>
                <w:lang w:eastAsia="en-GB"/>
              </w:rPr>
            </w:pPr>
          </w:p>
        </w:tc>
        <w:tc>
          <w:tcPr>
            <w:tcW w:w="891" w:type="dxa"/>
            <w:vAlign w:val="center"/>
          </w:tcPr>
          <w:p w14:paraId="5C2EE48B" w14:textId="77777777" w:rsidR="007D0D6D" w:rsidRPr="00150ABA" w:rsidRDefault="007D0D6D" w:rsidP="007D0D6D">
            <w:pPr>
              <w:spacing w:before="40" w:after="40"/>
              <w:jc w:val="right"/>
              <w:rPr>
                <w:noProof/>
                <w:sz w:val="20"/>
                <w:lang w:eastAsia="en-GB"/>
              </w:rPr>
            </w:pPr>
            <w:r w:rsidRPr="00150ABA">
              <w:rPr>
                <w:noProof/>
                <w:sz w:val="20"/>
                <w:lang w:eastAsia="en-GB"/>
              </w:rPr>
              <w:t>0.250</w:t>
            </w:r>
          </w:p>
        </w:tc>
        <w:tc>
          <w:tcPr>
            <w:tcW w:w="891" w:type="dxa"/>
            <w:vAlign w:val="center"/>
          </w:tcPr>
          <w:p w14:paraId="0E0281AA" w14:textId="77777777" w:rsidR="007D0D6D" w:rsidRPr="00150ABA" w:rsidRDefault="007D0D6D" w:rsidP="007D0D6D">
            <w:pPr>
              <w:spacing w:before="40" w:after="40"/>
              <w:jc w:val="right"/>
              <w:rPr>
                <w:noProof/>
                <w:sz w:val="20"/>
                <w:lang w:eastAsia="en-GB"/>
              </w:rPr>
            </w:pPr>
          </w:p>
        </w:tc>
        <w:tc>
          <w:tcPr>
            <w:tcW w:w="891" w:type="dxa"/>
            <w:vAlign w:val="center"/>
          </w:tcPr>
          <w:p w14:paraId="11351015" w14:textId="77777777" w:rsidR="007D0D6D" w:rsidRPr="00150ABA" w:rsidRDefault="007D0D6D" w:rsidP="007D0D6D">
            <w:pPr>
              <w:spacing w:before="40" w:after="40"/>
              <w:jc w:val="right"/>
              <w:rPr>
                <w:b/>
                <w:noProof/>
                <w:sz w:val="20"/>
                <w:lang w:eastAsia="en-GB"/>
              </w:rPr>
            </w:pPr>
          </w:p>
        </w:tc>
        <w:tc>
          <w:tcPr>
            <w:tcW w:w="1825" w:type="dxa"/>
            <w:vAlign w:val="center"/>
          </w:tcPr>
          <w:p w14:paraId="3BB6A762" w14:textId="77777777" w:rsidR="007D0D6D" w:rsidRPr="00150ABA" w:rsidRDefault="007D0D6D" w:rsidP="007D0D6D">
            <w:pPr>
              <w:spacing w:before="20" w:after="20"/>
              <w:jc w:val="right"/>
              <w:rPr>
                <w:b/>
                <w:noProof/>
                <w:sz w:val="20"/>
                <w:lang w:eastAsia="en-GB"/>
              </w:rPr>
            </w:pPr>
            <w:r w:rsidRPr="00150ABA">
              <w:rPr>
                <w:b/>
                <w:noProof/>
                <w:sz w:val="20"/>
                <w:lang w:eastAsia="en-GB"/>
              </w:rPr>
              <w:t>0.250</w:t>
            </w:r>
          </w:p>
        </w:tc>
      </w:tr>
      <w:tr w:rsidR="007D0D6D" w:rsidRPr="00150ABA" w14:paraId="731F2023" w14:textId="77777777" w:rsidTr="007D0D6D">
        <w:trPr>
          <w:trHeight w:val="594"/>
          <w:jc w:val="center"/>
        </w:trPr>
        <w:tc>
          <w:tcPr>
            <w:tcW w:w="4067" w:type="dxa"/>
            <w:vMerge w:val="restart"/>
            <w:vAlign w:val="center"/>
          </w:tcPr>
          <w:p w14:paraId="5CE9BE96" w14:textId="77777777" w:rsidR="007D0D6D" w:rsidRPr="00150ABA" w:rsidRDefault="007D0D6D" w:rsidP="007D0D6D">
            <w:pPr>
              <w:jc w:val="center"/>
              <w:rPr>
                <w:noProof/>
                <w:lang w:eastAsia="en-GB"/>
              </w:rPr>
            </w:pPr>
            <w:r w:rsidRPr="00150ABA">
              <w:rPr>
                <w:b/>
                <w:noProof/>
                <w:sz w:val="22"/>
                <w:lang w:eastAsia="en-GB"/>
              </w:rPr>
              <w:t>TOTAL appropriations</w:t>
            </w:r>
            <w:r w:rsidRPr="00150ABA">
              <w:rPr>
                <w:noProof/>
                <w:sz w:val="22"/>
                <w:lang w:eastAsia="en-GB"/>
              </w:rPr>
              <w:br/>
            </w:r>
            <w:r w:rsidRPr="00150ABA">
              <w:rPr>
                <w:b/>
                <w:noProof/>
                <w:sz w:val="22"/>
                <w:lang w:eastAsia="en-GB"/>
              </w:rPr>
              <w:t xml:space="preserve">for </w:t>
            </w:r>
            <w:r w:rsidRPr="00150ABA">
              <w:rPr>
                <w:b/>
                <w:noProof/>
                <w:lang w:eastAsia="en-GB"/>
              </w:rPr>
              <w:t>Eurojust</w:t>
            </w:r>
          </w:p>
        </w:tc>
        <w:tc>
          <w:tcPr>
            <w:tcW w:w="1543" w:type="dxa"/>
            <w:vAlign w:val="center"/>
          </w:tcPr>
          <w:p w14:paraId="0E416C78" w14:textId="77777777" w:rsidR="007D0D6D" w:rsidRPr="00150ABA" w:rsidRDefault="007D0D6D" w:rsidP="007D0D6D">
            <w:pPr>
              <w:rPr>
                <w:noProof/>
                <w:sz w:val="18"/>
                <w:lang w:eastAsia="en-GB"/>
              </w:rPr>
            </w:pPr>
            <w:r w:rsidRPr="00150ABA">
              <w:rPr>
                <w:noProof/>
                <w:sz w:val="18"/>
                <w:lang w:eastAsia="en-GB"/>
              </w:rPr>
              <w:t>Commitments</w:t>
            </w:r>
          </w:p>
        </w:tc>
        <w:tc>
          <w:tcPr>
            <w:tcW w:w="607" w:type="dxa"/>
            <w:vAlign w:val="center"/>
          </w:tcPr>
          <w:p w14:paraId="7EEAE140" w14:textId="77777777" w:rsidR="007D0D6D" w:rsidRPr="00150ABA" w:rsidRDefault="007D0D6D" w:rsidP="007D0D6D">
            <w:pPr>
              <w:jc w:val="center"/>
              <w:rPr>
                <w:noProof/>
                <w:sz w:val="14"/>
                <w:lang w:eastAsia="en-GB"/>
              </w:rPr>
            </w:pPr>
            <w:r w:rsidRPr="00150ABA">
              <w:rPr>
                <w:noProof/>
                <w:sz w:val="14"/>
                <w:lang w:eastAsia="en-GB"/>
              </w:rPr>
              <w:t>=1+1a +3a</w:t>
            </w:r>
          </w:p>
        </w:tc>
        <w:tc>
          <w:tcPr>
            <w:tcW w:w="891" w:type="dxa"/>
            <w:vAlign w:val="center"/>
          </w:tcPr>
          <w:p w14:paraId="13D05428" w14:textId="77777777" w:rsidR="007D0D6D" w:rsidRPr="00150ABA" w:rsidRDefault="007D0D6D" w:rsidP="007D0D6D">
            <w:pPr>
              <w:spacing w:before="20" w:after="20"/>
              <w:jc w:val="right"/>
              <w:rPr>
                <w:noProof/>
                <w:sz w:val="20"/>
                <w:szCs w:val="20"/>
                <w:lang w:eastAsia="en-GB"/>
              </w:rPr>
            </w:pPr>
          </w:p>
        </w:tc>
        <w:tc>
          <w:tcPr>
            <w:tcW w:w="891" w:type="dxa"/>
            <w:vAlign w:val="center"/>
          </w:tcPr>
          <w:p w14:paraId="3A393868" w14:textId="0CF504E9" w:rsidR="007D0D6D" w:rsidRPr="00150ABA" w:rsidRDefault="007D0D6D" w:rsidP="0083161E">
            <w:pPr>
              <w:spacing w:before="20" w:after="20"/>
              <w:jc w:val="right"/>
              <w:rPr>
                <w:noProof/>
                <w:sz w:val="20"/>
                <w:szCs w:val="20"/>
                <w:lang w:eastAsia="en-GB"/>
              </w:rPr>
            </w:pPr>
            <w:r w:rsidRPr="00150ABA">
              <w:rPr>
                <w:noProof/>
                <w:sz w:val="20"/>
                <w:lang w:eastAsia="en-GB"/>
              </w:rPr>
              <w:t>0.</w:t>
            </w:r>
            <w:r w:rsidR="0083161E" w:rsidRPr="00150ABA">
              <w:rPr>
                <w:noProof/>
                <w:sz w:val="20"/>
                <w:lang w:eastAsia="en-GB"/>
              </w:rPr>
              <w:t>336</w:t>
            </w:r>
          </w:p>
        </w:tc>
        <w:tc>
          <w:tcPr>
            <w:tcW w:w="891" w:type="dxa"/>
            <w:vAlign w:val="center"/>
          </w:tcPr>
          <w:p w14:paraId="4035B843" w14:textId="099F0106" w:rsidR="007D0D6D" w:rsidRPr="00150ABA" w:rsidRDefault="007D0D6D" w:rsidP="0083161E">
            <w:pPr>
              <w:spacing w:before="20" w:after="20"/>
              <w:jc w:val="right"/>
              <w:rPr>
                <w:noProof/>
                <w:sz w:val="20"/>
                <w:szCs w:val="20"/>
                <w:lang w:eastAsia="en-GB"/>
              </w:rPr>
            </w:pPr>
            <w:r w:rsidRPr="00150ABA">
              <w:rPr>
                <w:noProof/>
                <w:sz w:val="20"/>
                <w:lang w:eastAsia="en-GB"/>
              </w:rPr>
              <w:t>0.</w:t>
            </w:r>
            <w:r w:rsidR="0083161E" w:rsidRPr="00150ABA">
              <w:rPr>
                <w:noProof/>
                <w:sz w:val="20"/>
                <w:lang w:eastAsia="en-GB"/>
              </w:rPr>
              <w:t>346</w:t>
            </w:r>
          </w:p>
        </w:tc>
        <w:tc>
          <w:tcPr>
            <w:tcW w:w="891" w:type="dxa"/>
            <w:vAlign w:val="center"/>
          </w:tcPr>
          <w:p w14:paraId="67EAAAF1" w14:textId="31B18028" w:rsidR="007D0D6D" w:rsidRPr="00150ABA" w:rsidRDefault="007D0D6D" w:rsidP="0083161E">
            <w:pPr>
              <w:spacing w:before="20" w:after="20"/>
              <w:jc w:val="right"/>
              <w:rPr>
                <w:noProof/>
                <w:sz w:val="20"/>
                <w:szCs w:val="20"/>
                <w:lang w:eastAsia="en-GB"/>
              </w:rPr>
            </w:pPr>
            <w:r w:rsidRPr="00150ABA">
              <w:rPr>
                <w:noProof/>
                <w:sz w:val="20"/>
                <w:lang w:eastAsia="en-GB"/>
              </w:rPr>
              <w:t>0.</w:t>
            </w:r>
            <w:r w:rsidR="0083161E" w:rsidRPr="00150ABA">
              <w:rPr>
                <w:noProof/>
                <w:sz w:val="20"/>
                <w:lang w:eastAsia="en-GB"/>
              </w:rPr>
              <w:t>519</w:t>
            </w:r>
          </w:p>
        </w:tc>
        <w:tc>
          <w:tcPr>
            <w:tcW w:w="1825" w:type="dxa"/>
            <w:vAlign w:val="center"/>
          </w:tcPr>
          <w:p w14:paraId="30ACE021" w14:textId="5FD9AF96" w:rsidR="007D0D6D" w:rsidRPr="00150ABA" w:rsidRDefault="007D0D6D" w:rsidP="0083161E">
            <w:pPr>
              <w:spacing w:before="20" w:after="20"/>
              <w:jc w:val="right"/>
              <w:rPr>
                <w:b/>
                <w:noProof/>
                <w:sz w:val="20"/>
                <w:lang w:eastAsia="en-GB"/>
              </w:rPr>
            </w:pPr>
            <w:r w:rsidRPr="00150ABA">
              <w:rPr>
                <w:b/>
                <w:noProof/>
                <w:sz w:val="20"/>
                <w:lang w:eastAsia="en-GB"/>
              </w:rPr>
              <w:t>1.</w:t>
            </w:r>
            <w:r w:rsidR="0083161E" w:rsidRPr="00150ABA">
              <w:rPr>
                <w:b/>
                <w:noProof/>
                <w:sz w:val="20"/>
                <w:lang w:eastAsia="en-GB"/>
              </w:rPr>
              <w:t>201</w:t>
            </w:r>
          </w:p>
        </w:tc>
      </w:tr>
      <w:tr w:rsidR="007D0D6D" w:rsidRPr="00150ABA" w14:paraId="4102BC39" w14:textId="77777777" w:rsidTr="007D0D6D">
        <w:trPr>
          <w:trHeight w:val="735"/>
          <w:jc w:val="center"/>
        </w:trPr>
        <w:tc>
          <w:tcPr>
            <w:tcW w:w="4067" w:type="dxa"/>
            <w:vMerge/>
            <w:vAlign w:val="center"/>
          </w:tcPr>
          <w:p w14:paraId="0C20C9DE" w14:textId="77777777" w:rsidR="007D0D6D" w:rsidRPr="00150ABA" w:rsidRDefault="007D0D6D" w:rsidP="007D0D6D">
            <w:pPr>
              <w:rPr>
                <w:b/>
                <w:noProof/>
                <w:lang w:eastAsia="en-GB"/>
              </w:rPr>
            </w:pPr>
          </w:p>
        </w:tc>
        <w:tc>
          <w:tcPr>
            <w:tcW w:w="1543" w:type="dxa"/>
            <w:vAlign w:val="center"/>
          </w:tcPr>
          <w:p w14:paraId="60ECF388" w14:textId="77777777" w:rsidR="007D0D6D" w:rsidRPr="00150ABA" w:rsidRDefault="007D0D6D" w:rsidP="007D0D6D">
            <w:pPr>
              <w:rPr>
                <w:noProof/>
                <w:sz w:val="18"/>
                <w:lang w:eastAsia="en-GB"/>
              </w:rPr>
            </w:pPr>
            <w:r w:rsidRPr="00150ABA">
              <w:rPr>
                <w:noProof/>
                <w:sz w:val="18"/>
                <w:lang w:eastAsia="en-GB"/>
              </w:rPr>
              <w:t>Payments</w:t>
            </w:r>
          </w:p>
        </w:tc>
        <w:tc>
          <w:tcPr>
            <w:tcW w:w="607" w:type="dxa"/>
            <w:vAlign w:val="center"/>
          </w:tcPr>
          <w:p w14:paraId="7D4796D9" w14:textId="77777777" w:rsidR="007D0D6D" w:rsidRPr="00150ABA" w:rsidRDefault="007D0D6D" w:rsidP="007D0D6D">
            <w:pPr>
              <w:jc w:val="center"/>
              <w:rPr>
                <w:noProof/>
                <w:sz w:val="14"/>
                <w:lang w:eastAsia="en-GB"/>
              </w:rPr>
            </w:pPr>
            <w:r w:rsidRPr="00150ABA">
              <w:rPr>
                <w:noProof/>
                <w:sz w:val="14"/>
                <w:lang w:eastAsia="en-GB"/>
              </w:rPr>
              <w:t>=2+2a</w:t>
            </w:r>
          </w:p>
          <w:p w14:paraId="3E72F8FF" w14:textId="77777777" w:rsidR="007D0D6D" w:rsidRPr="00150ABA" w:rsidRDefault="007D0D6D" w:rsidP="007D0D6D">
            <w:pPr>
              <w:jc w:val="center"/>
              <w:rPr>
                <w:noProof/>
                <w:sz w:val="14"/>
                <w:lang w:eastAsia="en-GB"/>
              </w:rPr>
            </w:pPr>
            <w:r w:rsidRPr="00150ABA">
              <w:rPr>
                <w:noProof/>
                <w:sz w:val="14"/>
                <w:lang w:eastAsia="en-GB"/>
              </w:rPr>
              <w:t>+3b</w:t>
            </w:r>
          </w:p>
        </w:tc>
        <w:tc>
          <w:tcPr>
            <w:tcW w:w="891" w:type="dxa"/>
            <w:vAlign w:val="center"/>
          </w:tcPr>
          <w:p w14:paraId="5BC71358" w14:textId="77777777" w:rsidR="007D0D6D" w:rsidRPr="00150ABA" w:rsidRDefault="007D0D6D" w:rsidP="007D0D6D">
            <w:pPr>
              <w:spacing w:before="20" w:after="20"/>
              <w:jc w:val="right"/>
              <w:rPr>
                <w:noProof/>
                <w:sz w:val="20"/>
                <w:szCs w:val="20"/>
                <w:lang w:eastAsia="en-GB"/>
              </w:rPr>
            </w:pPr>
          </w:p>
        </w:tc>
        <w:tc>
          <w:tcPr>
            <w:tcW w:w="891" w:type="dxa"/>
            <w:vAlign w:val="center"/>
          </w:tcPr>
          <w:p w14:paraId="7F3E0675" w14:textId="5FAEC22F" w:rsidR="007D0D6D" w:rsidRPr="00150ABA" w:rsidRDefault="007D0D6D" w:rsidP="0083161E">
            <w:pPr>
              <w:spacing w:before="20" w:after="20"/>
              <w:jc w:val="right"/>
              <w:rPr>
                <w:noProof/>
                <w:sz w:val="20"/>
                <w:szCs w:val="20"/>
                <w:lang w:eastAsia="en-GB"/>
              </w:rPr>
            </w:pPr>
            <w:r w:rsidRPr="00150ABA">
              <w:rPr>
                <w:noProof/>
                <w:sz w:val="20"/>
                <w:lang w:eastAsia="en-GB"/>
              </w:rPr>
              <w:t>0.</w:t>
            </w:r>
            <w:r w:rsidR="0083161E" w:rsidRPr="00150ABA">
              <w:rPr>
                <w:noProof/>
                <w:sz w:val="20"/>
                <w:lang w:eastAsia="en-GB"/>
              </w:rPr>
              <w:t>336</w:t>
            </w:r>
          </w:p>
        </w:tc>
        <w:tc>
          <w:tcPr>
            <w:tcW w:w="891" w:type="dxa"/>
            <w:vAlign w:val="center"/>
          </w:tcPr>
          <w:p w14:paraId="098AC180" w14:textId="07704801" w:rsidR="007D0D6D" w:rsidRPr="00150ABA" w:rsidRDefault="007D0D6D" w:rsidP="0083161E">
            <w:pPr>
              <w:spacing w:before="20" w:after="20"/>
              <w:jc w:val="right"/>
              <w:rPr>
                <w:noProof/>
                <w:sz w:val="20"/>
                <w:szCs w:val="20"/>
                <w:lang w:eastAsia="en-GB"/>
              </w:rPr>
            </w:pPr>
            <w:r w:rsidRPr="00150ABA">
              <w:rPr>
                <w:noProof/>
                <w:sz w:val="20"/>
                <w:lang w:eastAsia="en-GB"/>
              </w:rPr>
              <w:t>0.</w:t>
            </w:r>
            <w:r w:rsidR="0083161E" w:rsidRPr="00150ABA">
              <w:rPr>
                <w:noProof/>
                <w:sz w:val="20"/>
                <w:lang w:eastAsia="en-GB"/>
              </w:rPr>
              <w:t>346</w:t>
            </w:r>
          </w:p>
        </w:tc>
        <w:tc>
          <w:tcPr>
            <w:tcW w:w="891" w:type="dxa"/>
            <w:vAlign w:val="center"/>
          </w:tcPr>
          <w:p w14:paraId="2B2DFCE1" w14:textId="176036AD" w:rsidR="007D0D6D" w:rsidRPr="00150ABA" w:rsidRDefault="007D0D6D" w:rsidP="0083161E">
            <w:pPr>
              <w:spacing w:before="20" w:after="20"/>
              <w:jc w:val="right"/>
              <w:rPr>
                <w:noProof/>
                <w:sz w:val="20"/>
                <w:lang w:eastAsia="en-GB"/>
              </w:rPr>
            </w:pPr>
            <w:r w:rsidRPr="00150ABA">
              <w:rPr>
                <w:noProof/>
                <w:sz w:val="20"/>
                <w:lang w:eastAsia="en-GB"/>
              </w:rPr>
              <w:t>0.</w:t>
            </w:r>
            <w:r w:rsidR="0083161E" w:rsidRPr="00150ABA">
              <w:rPr>
                <w:noProof/>
                <w:sz w:val="20"/>
                <w:lang w:eastAsia="en-GB"/>
              </w:rPr>
              <w:t>519</w:t>
            </w:r>
          </w:p>
        </w:tc>
        <w:tc>
          <w:tcPr>
            <w:tcW w:w="1825" w:type="dxa"/>
            <w:vAlign w:val="center"/>
          </w:tcPr>
          <w:p w14:paraId="1E4B121E" w14:textId="6606382D" w:rsidR="007D0D6D" w:rsidRPr="00150ABA" w:rsidRDefault="007D0D6D" w:rsidP="007D0D6D">
            <w:pPr>
              <w:spacing w:before="20" w:after="20"/>
              <w:jc w:val="right"/>
              <w:rPr>
                <w:b/>
                <w:noProof/>
                <w:sz w:val="20"/>
                <w:lang w:eastAsia="en-GB"/>
              </w:rPr>
            </w:pPr>
            <w:r w:rsidRPr="00150ABA">
              <w:rPr>
                <w:b/>
                <w:noProof/>
                <w:sz w:val="20"/>
                <w:lang w:eastAsia="en-GB"/>
              </w:rPr>
              <w:t>1.</w:t>
            </w:r>
            <w:r w:rsidR="0083161E" w:rsidRPr="00150ABA">
              <w:rPr>
                <w:b/>
                <w:noProof/>
                <w:sz w:val="20"/>
                <w:lang w:eastAsia="en-GB"/>
              </w:rPr>
              <w:t>201</w:t>
            </w:r>
          </w:p>
        </w:tc>
      </w:tr>
    </w:tbl>
    <w:p w14:paraId="42B96533" w14:textId="77777777" w:rsidR="00534A42" w:rsidRDefault="00534A42" w:rsidP="006F6F3C">
      <w:pPr>
        <w:rPr>
          <w:noProof/>
        </w:rPr>
      </w:pPr>
    </w:p>
    <w:p w14:paraId="1BF468B8" w14:textId="77777777" w:rsidR="00534A42" w:rsidRDefault="00534A42">
      <w:pPr>
        <w:spacing w:before="0" w:after="200" w:line="276" w:lineRule="auto"/>
        <w:jc w:val="left"/>
        <w:rPr>
          <w:noProof/>
        </w:rPr>
      </w:pPr>
      <w:r>
        <w:rPr>
          <w:noProof/>
        </w:rPr>
        <w:br w:type="page"/>
      </w:r>
    </w:p>
    <w:p w14:paraId="75F41920" w14:textId="0BC74799" w:rsidR="00534A42" w:rsidRPr="00150ABA" w:rsidRDefault="00534A42" w:rsidP="00534A42">
      <w:pPr>
        <w:jc w:val="right"/>
        <w:rPr>
          <w:noProof/>
          <w:sz w:val="18"/>
          <w:szCs w:val="18"/>
        </w:rPr>
      </w:pPr>
      <w:r w:rsidRPr="00150ABA">
        <w:rPr>
          <w:noProof/>
          <w:sz w:val="18"/>
          <w:szCs w:val="18"/>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A350C" w:rsidRPr="00150ABA" w14:paraId="16BE94A8" w14:textId="77777777" w:rsidTr="00BA350C">
        <w:trPr>
          <w:jc w:val="center"/>
        </w:trPr>
        <w:tc>
          <w:tcPr>
            <w:tcW w:w="4744" w:type="dxa"/>
            <w:shd w:val="thinDiagStripe" w:color="C0C0C0" w:fill="auto"/>
            <w:vAlign w:val="center"/>
          </w:tcPr>
          <w:p w14:paraId="5E77733C" w14:textId="77777777" w:rsidR="00BA350C" w:rsidRPr="00150ABA" w:rsidRDefault="00BA350C" w:rsidP="00BA350C">
            <w:pPr>
              <w:spacing w:before="60" w:after="60"/>
              <w:jc w:val="center"/>
              <w:rPr>
                <w:b/>
                <w:noProof/>
              </w:rPr>
            </w:pPr>
            <w:r w:rsidRPr="00150ABA">
              <w:rPr>
                <w:b/>
                <w:noProof/>
                <w:sz w:val="22"/>
              </w:rPr>
              <w:t xml:space="preserve">Heading of multiannual financial </w:t>
            </w:r>
            <w:r w:rsidRPr="00150ABA">
              <w:rPr>
                <w:noProof/>
                <w:sz w:val="22"/>
              </w:rPr>
              <w:br/>
            </w:r>
            <w:r w:rsidRPr="00150ABA">
              <w:rPr>
                <w:b/>
                <w:noProof/>
                <w:sz w:val="22"/>
              </w:rPr>
              <w:t xml:space="preserve">framework </w:t>
            </w:r>
          </w:p>
        </w:tc>
        <w:tc>
          <w:tcPr>
            <w:tcW w:w="1080" w:type="dxa"/>
            <w:vAlign w:val="center"/>
          </w:tcPr>
          <w:p w14:paraId="278CC05B" w14:textId="630BB2C6" w:rsidR="00BA350C" w:rsidRPr="00150ABA" w:rsidRDefault="0054088F" w:rsidP="00BA350C">
            <w:pPr>
              <w:spacing w:before="60" w:after="60"/>
              <w:jc w:val="center"/>
              <w:rPr>
                <w:noProof/>
              </w:rPr>
            </w:pPr>
            <w:r w:rsidRPr="00150ABA">
              <w:rPr>
                <w:noProof/>
              </w:rPr>
              <w:t>4</w:t>
            </w:r>
          </w:p>
        </w:tc>
        <w:tc>
          <w:tcPr>
            <w:tcW w:w="7817" w:type="dxa"/>
            <w:vAlign w:val="center"/>
          </w:tcPr>
          <w:p w14:paraId="5DBC2AB0" w14:textId="2BA18846" w:rsidR="00BA350C" w:rsidRPr="00150ABA" w:rsidRDefault="0054088F" w:rsidP="00BA350C">
            <w:pPr>
              <w:spacing w:before="60" w:after="60"/>
              <w:rPr>
                <w:noProof/>
              </w:rPr>
            </w:pPr>
            <w:r w:rsidRPr="00150ABA">
              <w:rPr>
                <w:noProof/>
                <w:lang w:eastAsia="en-GB"/>
              </w:rPr>
              <w:t>Migration and border control</w:t>
            </w:r>
          </w:p>
        </w:tc>
      </w:tr>
    </w:tbl>
    <w:p w14:paraId="2859A808" w14:textId="77777777" w:rsidR="00BA350C" w:rsidRPr="00150ABA" w:rsidRDefault="00BA350C" w:rsidP="00BA350C">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03"/>
        <w:gridCol w:w="591"/>
        <w:gridCol w:w="868"/>
        <w:gridCol w:w="868"/>
        <w:gridCol w:w="868"/>
        <w:gridCol w:w="868"/>
        <w:gridCol w:w="1777"/>
      </w:tblGrid>
      <w:tr w:rsidR="00BA350C" w:rsidRPr="00150ABA" w14:paraId="2343113D" w14:textId="77777777" w:rsidTr="00BA350C">
        <w:trPr>
          <w:jc w:val="center"/>
        </w:trPr>
        <w:tc>
          <w:tcPr>
            <w:tcW w:w="3960" w:type="dxa"/>
            <w:vAlign w:val="center"/>
          </w:tcPr>
          <w:p w14:paraId="128FFAD3" w14:textId="77777777" w:rsidR="00BA350C" w:rsidRPr="00150ABA" w:rsidRDefault="00BA350C" w:rsidP="00BA350C">
            <w:pPr>
              <w:jc w:val="center"/>
              <w:rPr>
                <w:b/>
                <w:noProof/>
              </w:rPr>
            </w:pPr>
            <w:r w:rsidRPr="00150ABA">
              <w:rPr>
                <w:b/>
                <w:noProof/>
              </w:rPr>
              <w:t>eu-LISA</w:t>
            </w:r>
          </w:p>
        </w:tc>
        <w:tc>
          <w:tcPr>
            <w:tcW w:w="1503" w:type="dxa"/>
          </w:tcPr>
          <w:p w14:paraId="389621CE" w14:textId="77777777" w:rsidR="00BA350C" w:rsidRPr="00150ABA" w:rsidRDefault="00BA350C" w:rsidP="00BA350C">
            <w:pPr>
              <w:rPr>
                <w:noProof/>
                <w:sz w:val="20"/>
              </w:rPr>
            </w:pPr>
          </w:p>
        </w:tc>
        <w:tc>
          <w:tcPr>
            <w:tcW w:w="591" w:type="dxa"/>
          </w:tcPr>
          <w:p w14:paraId="729BBBAB" w14:textId="77777777" w:rsidR="00BA350C" w:rsidRPr="00150ABA" w:rsidRDefault="00BA350C" w:rsidP="00BA350C">
            <w:pPr>
              <w:jc w:val="center"/>
              <w:rPr>
                <w:noProof/>
                <w:sz w:val="20"/>
              </w:rPr>
            </w:pPr>
          </w:p>
        </w:tc>
        <w:tc>
          <w:tcPr>
            <w:tcW w:w="868" w:type="dxa"/>
            <w:vAlign w:val="center"/>
          </w:tcPr>
          <w:p w14:paraId="5B7B752C" w14:textId="77777777" w:rsidR="00BA350C" w:rsidRPr="00150ABA" w:rsidRDefault="00BA350C" w:rsidP="00BA350C">
            <w:pPr>
              <w:jc w:val="center"/>
              <w:rPr>
                <w:noProof/>
                <w:sz w:val="20"/>
              </w:rPr>
            </w:pPr>
            <w:r w:rsidRPr="00150ABA">
              <w:rPr>
                <w:noProof/>
                <w:sz w:val="20"/>
              </w:rPr>
              <w:t>Year</w:t>
            </w:r>
            <w:r w:rsidRPr="00150ABA">
              <w:rPr>
                <w:noProof/>
                <w:sz w:val="22"/>
              </w:rPr>
              <w:br/>
            </w:r>
            <w:r w:rsidRPr="00150ABA">
              <w:rPr>
                <w:b/>
                <w:noProof/>
                <w:sz w:val="20"/>
              </w:rPr>
              <w:t>2024</w:t>
            </w:r>
            <w:r w:rsidRPr="00150ABA">
              <w:rPr>
                <w:rStyle w:val="FootnoteReference"/>
                <w:b/>
                <w:noProof/>
                <w:sz w:val="20"/>
              </w:rPr>
              <w:footnoteReference w:id="39"/>
            </w:r>
          </w:p>
        </w:tc>
        <w:tc>
          <w:tcPr>
            <w:tcW w:w="868" w:type="dxa"/>
            <w:vAlign w:val="center"/>
          </w:tcPr>
          <w:p w14:paraId="2A4B021C" w14:textId="77777777" w:rsidR="00BA350C" w:rsidRPr="00150ABA" w:rsidRDefault="00BA350C" w:rsidP="00BA350C">
            <w:pPr>
              <w:jc w:val="center"/>
              <w:rPr>
                <w:noProof/>
                <w:sz w:val="20"/>
              </w:rPr>
            </w:pPr>
            <w:r w:rsidRPr="00150ABA">
              <w:rPr>
                <w:noProof/>
                <w:sz w:val="20"/>
              </w:rPr>
              <w:t>Year</w:t>
            </w:r>
            <w:r w:rsidRPr="00150ABA">
              <w:rPr>
                <w:noProof/>
                <w:sz w:val="22"/>
              </w:rPr>
              <w:br/>
            </w:r>
            <w:r w:rsidRPr="00150ABA">
              <w:rPr>
                <w:b/>
                <w:noProof/>
                <w:sz w:val="20"/>
              </w:rPr>
              <w:t>2025</w:t>
            </w:r>
          </w:p>
        </w:tc>
        <w:tc>
          <w:tcPr>
            <w:tcW w:w="868" w:type="dxa"/>
            <w:vAlign w:val="center"/>
          </w:tcPr>
          <w:p w14:paraId="1A9CBFF2" w14:textId="77777777" w:rsidR="00BA350C" w:rsidRPr="00150ABA" w:rsidRDefault="00BA350C" w:rsidP="00BA350C">
            <w:pPr>
              <w:jc w:val="center"/>
              <w:rPr>
                <w:noProof/>
                <w:sz w:val="20"/>
              </w:rPr>
            </w:pPr>
            <w:r w:rsidRPr="00150ABA">
              <w:rPr>
                <w:noProof/>
                <w:sz w:val="20"/>
              </w:rPr>
              <w:t>Year</w:t>
            </w:r>
            <w:r w:rsidRPr="00150ABA">
              <w:rPr>
                <w:noProof/>
                <w:sz w:val="22"/>
              </w:rPr>
              <w:br/>
            </w:r>
            <w:r w:rsidRPr="00150ABA">
              <w:rPr>
                <w:b/>
                <w:noProof/>
                <w:sz w:val="20"/>
              </w:rPr>
              <w:t>2026</w:t>
            </w:r>
          </w:p>
        </w:tc>
        <w:tc>
          <w:tcPr>
            <w:tcW w:w="868" w:type="dxa"/>
            <w:vAlign w:val="center"/>
          </w:tcPr>
          <w:p w14:paraId="0A7C5D3E" w14:textId="77777777" w:rsidR="00BA350C" w:rsidRPr="00150ABA" w:rsidRDefault="00BA350C" w:rsidP="00BA350C">
            <w:pPr>
              <w:jc w:val="center"/>
              <w:rPr>
                <w:noProof/>
                <w:sz w:val="20"/>
              </w:rPr>
            </w:pPr>
            <w:r w:rsidRPr="00150ABA">
              <w:rPr>
                <w:noProof/>
                <w:sz w:val="20"/>
              </w:rPr>
              <w:t>Year</w:t>
            </w:r>
            <w:r w:rsidRPr="00150ABA">
              <w:rPr>
                <w:noProof/>
                <w:sz w:val="22"/>
              </w:rPr>
              <w:br/>
            </w:r>
            <w:r w:rsidRPr="00150ABA">
              <w:rPr>
                <w:b/>
                <w:noProof/>
                <w:sz w:val="20"/>
              </w:rPr>
              <w:t>2027</w:t>
            </w:r>
          </w:p>
        </w:tc>
        <w:tc>
          <w:tcPr>
            <w:tcW w:w="1777" w:type="dxa"/>
            <w:vAlign w:val="center"/>
          </w:tcPr>
          <w:p w14:paraId="6011BB15" w14:textId="77777777" w:rsidR="00BA350C" w:rsidRPr="00150ABA" w:rsidRDefault="00BA350C" w:rsidP="00BA350C">
            <w:pPr>
              <w:jc w:val="center"/>
              <w:rPr>
                <w:b/>
                <w:noProof/>
                <w:sz w:val="20"/>
              </w:rPr>
            </w:pPr>
            <w:r w:rsidRPr="00150ABA">
              <w:rPr>
                <w:b/>
                <w:noProof/>
                <w:sz w:val="20"/>
              </w:rPr>
              <w:t>TOTAL 2024-2027</w:t>
            </w:r>
          </w:p>
        </w:tc>
      </w:tr>
      <w:tr w:rsidR="00BA350C" w:rsidRPr="00150ABA" w14:paraId="561C4D02" w14:textId="77777777" w:rsidTr="00BA350C">
        <w:trPr>
          <w:trHeight w:val="277"/>
          <w:jc w:val="center"/>
        </w:trPr>
        <w:tc>
          <w:tcPr>
            <w:tcW w:w="3960" w:type="dxa"/>
            <w:vMerge w:val="restart"/>
            <w:vAlign w:val="center"/>
          </w:tcPr>
          <w:p w14:paraId="5EF90742" w14:textId="77777777" w:rsidR="00BA350C" w:rsidRPr="00150ABA" w:rsidRDefault="00BA350C" w:rsidP="00BA350C">
            <w:pPr>
              <w:rPr>
                <w:noProof/>
              </w:rPr>
            </w:pPr>
            <w:r w:rsidRPr="00150ABA">
              <w:rPr>
                <w:noProof/>
                <w:sz w:val="20"/>
              </w:rPr>
              <w:t>Title 1: Staff expenditures</w:t>
            </w:r>
          </w:p>
        </w:tc>
        <w:tc>
          <w:tcPr>
            <w:tcW w:w="1503" w:type="dxa"/>
            <w:vAlign w:val="center"/>
          </w:tcPr>
          <w:p w14:paraId="12984E5D" w14:textId="77777777" w:rsidR="00BA350C" w:rsidRPr="00150ABA" w:rsidRDefault="00BA350C" w:rsidP="00BA350C">
            <w:pPr>
              <w:spacing w:before="20" w:after="20"/>
              <w:rPr>
                <w:noProof/>
              </w:rPr>
            </w:pPr>
            <w:r w:rsidRPr="00150ABA">
              <w:rPr>
                <w:noProof/>
                <w:sz w:val="18"/>
              </w:rPr>
              <w:t>Commitments</w:t>
            </w:r>
          </w:p>
        </w:tc>
        <w:tc>
          <w:tcPr>
            <w:tcW w:w="591" w:type="dxa"/>
            <w:vAlign w:val="center"/>
          </w:tcPr>
          <w:p w14:paraId="78030206" w14:textId="77777777" w:rsidR="00BA350C" w:rsidRPr="00150ABA" w:rsidRDefault="00BA350C" w:rsidP="00BA350C">
            <w:pPr>
              <w:spacing w:before="20" w:after="20"/>
              <w:jc w:val="center"/>
              <w:rPr>
                <w:noProof/>
                <w:sz w:val="14"/>
              </w:rPr>
            </w:pPr>
            <w:r w:rsidRPr="00150ABA">
              <w:rPr>
                <w:noProof/>
                <w:sz w:val="14"/>
              </w:rPr>
              <w:t>(1)</w:t>
            </w:r>
          </w:p>
        </w:tc>
        <w:tc>
          <w:tcPr>
            <w:tcW w:w="868" w:type="dxa"/>
            <w:vAlign w:val="center"/>
          </w:tcPr>
          <w:p w14:paraId="2671A1E2" w14:textId="1C3D8831" w:rsidR="00BA350C" w:rsidRPr="00150ABA" w:rsidRDefault="00BA350C" w:rsidP="00BA350C">
            <w:pPr>
              <w:spacing w:before="20" w:after="20"/>
              <w:jc w:val="right"/>
              <w:rPr>
                <w:noProof/>
                <w:sz w:val="20"/>
              </w:rPr>
            </w:pPr>
          </w:p>
        </w:tc>
        <w:tc>
          <w:tcPr>
            <w:tcW w:w="868" w:type="dxa"/>
            <w:vAlign w:val="center"/>
          </w:tcPr>
          <w:p w14:paraId="705C1EC2" w14:textId="103A01CF" w:rsidR="00BA350C" w:rsidRPr="00150ABA" w:rsidRDefault="00BA350C" w:rsidP="00BA350C">
            <w:pPr>
              <w:spacing w:before="20" w:after="20"/>
              <w:jc w:val="right"/>
              <w:rPr>
                <w:noProof/>
                <w:sz w:val="20"/>
              </w:rPr>
            </w:pPr>
          </w:p>
        </w:tc>
        <w:tc>
          <w:tcPr>
            <w:tcW w:w="868" w:type="dxa"/>
            <w:vAlign w:val="center"/>
          </w:tcPr>
          <w:p w14:paraId="1914F981" w14:textId="61478805" w:rsidR="00BA350C" w:rsidRPr="00150ABA" w:rsidRDefault="00BA350C" w:rsidP="00BA350C">
            <w:pPr>
              <w:spacing w:before="20" w:after="20"/>
              <w:jc w:val="right"/>
              <w:rPr>
                <w:noProof/>
                <w:sz w:val="20"/>
              </w:rPr>
            </w:pPr>
          </w:p>
        </w:tc>
        <w:tc>
          <w:tcPr>
            <w:tcW w:w="868" w:type="dxa"/>
            <w:vAlign w:val="center"/>
          </w:tcPr>
          <w:p w14:paraId="54B49B9C" w14:textId="7AF9EEB5" w:rsidR="00BA350C" w:rsidRPr="00150ABA" w:rsidRDefault="00BA350C" w:rsidP="00BA350C">
            <w:pPr>
              <w:spacing w:before="20" w:after="20"/>
              <w:jc w:val="right"/>
              <w:rPr>
                <w:noProof/>
                <w:sz w:val="20"/>
              </w:rPr>
            </w:pPr>
          </w:p>
        </w:tc>
        <w:tc>
          <w:tcPr>
            <w:tcW w:w="1777" w:type="dxa"/>
            <w:vAlign w:val="center"/>
          </w:tcPr>
          <w:p w14:paraId="2FC29008" w14:textId="0A4B048B" w:rsidR="00BA350C" w:rsidRPr="00150ABA" w:rsidRDefault="00BA350C" w:rsidP="00BA350C">
            <w:pPr>
              <w:spacing w:before="20" w:after="20"/>
              <w:jc w:val="right"/>
              <w:rPr>
                <w:b/>
                <w:noProof/>
                <w:sz w:val="20"/>
              </w:rPr>
            </w:pPr>
          </w:p>
        </w:tc>
      </w:tr>
      <w:tr w:rsidR="00BA350C" w:rsidRPr="00150ABA" w14:paraId="39304A1A" w14:textId="77777777" w:rsidTr="00BA350C">
        <w:trPr>
          <w:jc w:val="center"/>
        </w:trPr>
        <w:tc>
          <w:tcPr>
            <w:tcW w:w="3960" w:type="dxa"/>
            <w:vMerge/>
            <w:vAlign w:val="center"/>
          </w:tcPr>
          <w:p w14:paraId="16C33838" w14:textId="77777777" w:rsidR="00BA350C" w:rsidRPr="00150ABA" w:rsidRDefault="00BA350C" w:rsidP="00BA350C">
            <w:pPr>
              <w:rPr>
                <w:noProof/>
              </w:rPr>
            </w:pPr>
          </w:p>
        </w:tc>
        <w:tc>
          <w:tcPr>
            <w:tcW w:w="1503" w:type="dxa"/>
            <w:vAlign w:val="center"/>
          </w:tcPr>
          <w:p w14:paraId="5A5084CC" w14:textId="77777777" w:rsidR="00BA350C" w:rsidRPr="00150ABA" w:rsidRDefault="00BA350C" w:rsidP="00BA350C">
            <w:pPr>
              <w:spacing w:before="20" w:after="20"/>
              <w:rPr>
                <w:noProof/>
                <w:sz w:val="18"/>
              </w:rPr>
            </w:pPr>
            <w:r w:rsidRPr="00150ABA">
              <w:rPr>
                <w:noProof/>
                <w:sz w:val="18"/>
              </w:rPr>
              <w:t>Payments</w:t>
            </w:r>
          </w:p>
        </w:tc>
        <w:tc>
          <w:tcPr>
            <w:tcW w:w="591" w:type="dxa"/>
            <w:vAlign w:val="center"/>
          </w:tcPr>
          <w:p w14:paraId="5E0378C0" w14:textId="77777777" w:rsidR="00BA350C" w:rsidRPr="00150ABA" w:rsidRDefault="00BA350C" w:rsidP="00BA350C">
            <w:pPr>
              <w:spacing w:before="20" w:after="20"/>
              <w:jc w:val="center"/>
              <w:rPr>
                <w:noProof/>
                <w:sz w:val="14"/>
              </w:rPr>
            </w:pPr>
            <w:r w:rsidRPr="00150ABA">
              <w:rPr>
                <w:noProof/>
                <w:sz w:val="14"/>
              </w:rPr>
              <w:t>(2)</w:t>
            </w:r>
          </w:p>
        </w:tc>
        <w:tc>
          <w:tcPr>
            <w:tcW w:w="868" w:type="dxa"/>
            <w:vAlign w:val="center"/>
          </w:tcPr>
          <w:p w14:paraId="463C3424" w14:textId="7F9E93F1" w:rsidR="00BA350C" w:rsidRPr="00150ABA" w:rsidRDefault="00BA350C" w:rsidP="00BA350C">
            <w:pPr>
              <w:spacing w:before="20" w:after="20"/>
              <w:jc w:val="right"/>
              <w:rPr>
                <w:noProof/>
                <w:sz w:val="20"/>
              </w:rPr>
            </w:pPr>
          </w:p>
        </w:tc>
        <w:tc>
          <w:tcPr>
            <w:tcW w:w="868" w:type="dxa"/>
            <w:vAlign w:val="center"/>
          </w:tcPr>
          <w:p w14:paraId="0EA9337B" w14:textId="0C9BEF98" w:rsidR="00BA350C" w:rsidRPr="00150ABA" w:rsidRDefault="00BA350C" w:rsidP="00BA350C">
            <w:pPr>
              <w:spacing w:before="20" w:after="20"/>
              <w:jc w:val="right"/>
              <w:rPr>
                <w:noProof/>
                <w:sz w:val="20"/>
              </w:rPr>
            </w:pPr>
          </w:p>
        </w:tc>
        <w:tc>
          <w:tcPr>
            <w:tcW w:w="868" w:type="dxa"/>
            <w:vAlign w:val="center"/>
          </w:tcPr>
          <w:p w14:paraId="0C28A677" w14:textId="3CAB244A" w:rsidR="00BA350C" w:rsidRPr="00150ABA" w:rsidRDefault="00BA350C" w:rsidP="00BA350C">
            <w:pPr>
              <w:spacing w:before="20" w:after="20"/>
              <w:jc w:val="right"/>
              <w:rPr>
                <w:noProof/>
                <w:sz w:val="20"/>
              </w:rPr>
            </w:pPr>
          </w:p>
        </w:tc>
        <w:tc>
          <w:tcPr>
            <w:tcW w:w="868" w:type="dxa"/>
            <w:vAlign w:val="center"/>
          </w:tcPr>
          <w:p w14:paraId="0E86E03A" w14:textId="477DB590" w:rsidR="00BA350C" w:rsidRPr="00150ABA" w:rsidRDefault="00BA350C" w:rsidP="00BA350C">
            <w:pPr>
              <w:spacing w:before="20" w:after="20"/>
              <w:jc w:val="right"/>
              <w:rPr>
                <w:noProof/>
                <w:sz w:val="20"/>
              </w:rPr>
            </w:pPr>
          </w:p>
        </w:tc>
        <w:tc>
          <w:tcPr>
            <w:tcW w:w="1777" w:type="dxa"/>
          </w:tcPr>
          <w:p w14:paraId="6754BF00" w14:textId="1C641B72" w:rsidR="00BA350C" w:rsidRPr="00150ABA" w:rsidRDefault="00BA350C" w:rsidP="00BA350C">
            <w:pPr>
              <w:spacing w:before="20" w:after="20"/>
              <w:jc w:val="right"/>
              <w:rPr>
                <w:b/>
                <w:noProof/>
                <w:sz w:val="20"/>
              </w:rPr>
            </w:pPr>
          </w:p>
        </w:tc>
      </w:tr>
      <w:tr w:rsidR="00BA350C" w:rsidRPr="00150ABA" w14:paraId="2A9321C0" w14:textId="77777777" w:rsidTr="00BA350C">
        <w:trPr>
          <w:jc w:val="center"/>
        </w:trPr>
        <w:tc>
          <w:tcPr>
            <w:tcW w:w="3960" w:type="dxa"/>
            <w:vMerge w:val="restart"/>
            <w:vAlign w:val="center"/>
          </w:tcPr>
          <w:p w14:paraId="0C979EE4" w14:textId="77777777" w:rsidR="00BA350C" w:rsidRPr="00150ABA" w:rsidRDefault="00BA350C" w:rsidP="00BA350C">
            <w:pPr>
              <w:rPr>
                <w:noProof/>
              </w:rPr>
            </w:pPr>
            <w:r w:rsidRPr="00150ABA">
              <w:rPr>
                <w:noProof/>
                <w:sz w:val="20"/>
              </w:rPr>
              <w:t>Title 2: Infrastructure and operating expenditures</w:t>
            </w:r>
          </w:p>
        </w:tc>
        <w:tc>
          <w:tcPr>
            <w:tcW w:w="1503" w:type="dxa"/>
            <w:vAlign w:val="center"/>
          </w:tcPr>
          <w:p w14:paraId="2FB74355" w14:textId="77777777" w:rsidR="00BA350C" w:rsidRPr="00150ABA" w:rsidRDefault="00BA350C" w:rsidP="00BA350C">
            <w:pPr>
              <w:spacing w:before="20" w:after="20"/>
              <w:rPr>
                <w:noProof/>
                <w:sz w:val="18"/>
              </w:rPr>
            </w:pPr>
            <w:r w:rsidRPr="00150ABA">
              <w:rPr>
                <w:noProof/>
                <w:sz w:val="18"/>
              </w:rPr>
              <w:t>Commitments</w:t>
            </w:r>
          </w:p>
        </w:tc>
        <w:tc>
          <w:tcPr>
            <w:tcW w:w="591" w:type="dxa"/>
            <w:vAlign w:val="center"/>
          </w:tcPr>
          <w:p w14:paraId="249ED7B1" w14:textId="77777777" w:rsidR="00BA350C" w:rsidRPr="00150ABA" w:rsidRDefault="00BA350C" w:rsidP="00BA350C">
            <w:pPr>
              <w:spacing w:before="20" w:after="20"/>
              <w:jc w:val="center"/>
              <w:rPr>
                <w:noProof/>
                <w:sz w:val="14"/>
              </w:rPr>
            </w:pPr>
            <w:r w:rsidRPr="00150ABA">
              <w:rPr>
                <w:noProof/>
                <w:sz w:val="14"/>
              </w:rPr>
              <w:t>(1a)</w:t>
            </w:r>
          </w:p>
        </w:tc>
        <w:tc>
          <w:tcPr>
            <w:tcW w:w="868" w:type="dxa"/>
            <w:vAlign w:val="center"/>
          </w:tcPr>
          <w:p w14:paraId="7CC56389" w14:textId="77777777" w:rsidR="00BA350C" w:rsidRPr="00150ABA" w:rsidRDefault="00BA350C" w:rsidP="00BA350C">
            <w:pPr>
              <w:spacing w:before="20" w:after="20"/>
              <w:jc w:val="right"/>
              <w:rPr>
                <w:noProof/>
                <w:sz w:val="20"/>
              </w:rPr>
            </w:pPr>
          </w:p>
        </w:tc>
        <w:tc>
          <w:tcPr>
            <w:tcW w:w="868" w:type="dxa"/>
            <w:vAlign w:val="center"/>
          </w:tcPr>
          <w:p w14:paraId="3B886E7D" w14:textId="77777777" w:rsidR="00BA350C" w:rsidRPr="00150ABA" w:rsidRDefault="00BA350C" w:rsidP="00BA350C">
            <w:pPr>
              <w:spacing w:before="20" w:after="20"/>
              <w:jc w:val="right"/>
              <w:rPr>
                <w:noProof/>
                <w:sz w:val="20"/>
              </w:rPr>
            </w:pPr>
          </w:p>
        </w:tc>
        <w:tc>
          <w:tcPr>
            <w:tcW w:w="868" w:type="dxa"/>
            <w:vAlign w:val="center"/>
          </w:tcPr>
          <w:p w14:paraId="7C0384A7" w14:textId="77777777" w:rsidR="00BA350C" w:rsidRPr="00150ABA" w:rsidRDefault="00BA350C" w:rsidP="00BA350C">
            <w:pPr>
              <w:spacing w:before="20" w:after="20"/>
              <w:jc w:val="right"/>
              <w:rPr>
                <w:noProof/>
                <w:sz w:val="20"/>
              </w:rPr>
            </w:pPr>
          </w:p>
        </w:tc>
        <w:tc>
          <w:tcPr>
            <w:tcW w:w="868" w:type="dxa"/>
            <w:vAlign w:val="center"/>
          </w:tcPr>
          <w:p w14:paraId="2E04F34E" w14:textId="77777777" w:rsidR="00BA350C" w:rsidRPr="00150ABA" w:rsidRDefault="00BA350C" w:rsidP="00BA350C">
            <w:pPr>
              <w:spacing w:before="20" w:after="20"/>
              <w:jc w:val="right"/>
              <w:rPr>
                <w:noProof/>
                <w:sz w:val="20"/>
              </w:rPr>
            </w:pPr>
          </w:p>
        </w:tc>
        <w:tc>
          <w:tcPr>
            <w:tcW w:w="1777" w:type="dxa"/>
            <w:vAlign w:val="center"/>
          </w:tcPr>
          <w:p w14:paraId="0EF6BBE6" w14:textId="77777777" w:rsidR="00BA350C" w:rsidRPr="00150ABA" w:rsidRDefault="00BA350C" w:rsidP="00BA350C">
            <w:pPr>
              <w:spacing w:before="20" w:after="20"/>
              <w:jc w:val="right"/>
              <w:rPr>
                <w:b/>
                <w:noProof/>
                <w:sz w:val="20"/>
              </w:rPr>
            </w:pPr>
          </w:p>
        </w:tc>
      </w:tr>
      <w:tr w:rsidR="00BA350C" w:rsidRPr="00150ABA" w14:paraId="292E0F8D" w14:textId="77777777" w:rsidTr="00BA350C">
        <w:trPr>
          <w:jc w:val="center"/>
        </w:trPr>
        <w:tc>
          <w:tcPr>
            <w:tcW w:w="3960" w:type="dxa"/>
            <w:vMerge/>
            <w:vAlign w:val="center"/>
          </w:tcPr>
          <w:p w14:paraId="69828941" w14:textId="77777777" w:rsidR="00BA350C" w:rsidRPr="00150ABA" w:rsidRDefault="00BA350C" w:rsidP="00BA350C">
            <w:pPr>
              <w:rPr>
                <w:noProof/>
              </w:rPr>
            </w:pPr>
          </w:p>
        </w:tc>
        <w:tc>
          <w:tcPr>
            <w:tcW w:w="1503" w:type="dxa"/>
            <w:vAlign w:val="center"/>
          </w:tcPr>
          <w:p w14:paraId="4FD87FE5" w14:textId="77777777" w:rsidR="00BA350C" w:rsidRPr="00150ABA" w:rsidRDefault="00BA350C" w:rsidP="00BA350C">
            <w:pPr>
              <w:spacing w:before="20" w:after="20"/>
              <w:rPr>
                <w:noProof/>
                <w:sz w:val="18"/>
              </w:rPr>
            </w:pPr>
            <w:r w:rsidRPr="00150ABA">
              <w:rPr>
                <w:noProof/>
                <w:sz w:val="18"/>
              </w:rPr>
              <w:t>Payments</w:t>
            </w:r>
          </w:p>
        </w:tc>
        <w:tc>
          <w:tcPr>
            <w:tcW w:w="591" w:type="dxa"/>
            <w:vAlign w:val="center"/>
          </w:tcPr>
          <w:p w14:paraId="3FAF42A4" w14:textId="77777777" w:rsidR="00BA350C" w:rsidRPr="00150ABA" w:rsidRDefault="00BA350C" w:rsidP="00BA350C">
            <w:pPr>
              <w:spacing w:before="20" w:after="20"/>
              <w:jc w:val="center"/>
              <w:rPr>
                <w:noProof/>
                <w:sz w:val="14"/>
              </w:rPr>
            </w:pPr>
            <w:r w:rsidRPr="00150ABA">
              <w:rPr>
                <w:noProof/>
                <w:sz w:val="14"/>
              </w:rPr>
              <w:t>(2a)</w:t>
            </w:r>
          </w:p>
        </w:tc>
        <w:tc>
          <w:tcPr>
            <w:tcW w:w="868" w:type="dxa"/>
            <w:vAlign w:val="center"/>
          </w:tcPr>
          <w:p w14:paraId="419C6E3C" w14:textId="77777777" w:rsidR="00BA350C" w:rsidRPr="00150ABA" w:rsidRDefault="00BA350C" w:rsidP="00BA350C">
            <w:pPr>
              <w:spacing w:before="20" w:after="20"/>
              <w:jc w:val="right"/>
              <w:rPr>
                <w:noProof/>
                <w:sz w:val="20"/>
              </w:rPr>
            </w:pPr>
          </w:p>
        </w:tc>
        <w:tc>
          <w:tcPr>
            <w:tcW w:w="868" w:type="dxa"/>
            <w:vAlign w:val="center"/>
          </w:tcPr>
          <w:p w14:paraId="293DD9C7" w14:textId="77777777" w:rsidR="00BA350C" w:rsidRPr="00150ABA" w:rsidRDefault="00BA350C" w:rsidP="00BA350C">
            <w:pPr>
              <w:spacing w:before="20" w:after="20"/>
              <w:jc w:val="right"/>
              <w:rPr>
                <w:noProof/>
                <w:sz w:val="20"/>
              </w:rPr>
            </w:pPr>
          </w:p>
        </w:tc>
        <w:tc>
          <w:tcPr>
            <w:tcW w:w="868" w:type="dxa"/>
            <w:vAlign w:val="center"/>
          </w:tcPr>
          <w:p w14:paraId="44D862F0" w14:textId="77777777" w:rsidR="00BA350C" w:rsidRPr="00150ABA" w:rsidRDefault="00BA350C" w:rsidP="00BA350C">
            <w:pPr>
              <w:spacing w:before="20" w:after="20"/>
              <w:jc w:val="right"/>
              <w:rPr>
                <w:noProof/>
                <w:sz w:val="20"/>
              </w:rPr>
            </w:pPr>
          </w:p>
        </w:tc>
        <w:tc>
          <w:tcPr>
            <w:tcW w:w="868" w:type="dxa"/>
            <w:vAlign w:val="center"/>
          </w:tcPr>
          <w:p w14:paraId="3C585B24" w14:textId="77777777" w:rsidR="00BA350C" w:rsidRPr="00150ABA" w:rsidRDefault="00BA350C" w:rsidP="00BA350C">
            <w:pPr>
              <w:spacing w:before="20" w:after="20"/>
              <w:jc w:val="right"/>
              <w:rPr>
                <w:noProof/>
                <w:sz w:val="20"/>
              </w:rPr>
            </w:pPr>
          </w:p>
        </w:tc>
        <w:tc>
          <w:tcPr>
            <w:tcW w:w="1777" w:type="dxa"/>
            <w:vAlign w:val="center"/>
          </w:tcPr>
          <w:p w14:paraId="24AD58A2" w14:textId="77777777" w:rsidR="00BA350C" w:rsidRPr="00150ABA" w:rsidRDefault="00BA350C" w:rsidP="00BA350C">
            <w:pPr>
              <w:spacing w:before="20" w:after="20"/>
              <w:jc w:val="right"/>
              <w:rPr>
                <w:b/>
                <w:noProof/>
                <w:sz w:val="20"/>
              </w:rPr>
            </w:pPr>
          </w:p>
        </w:tc>
      </w:tr>
      <w:tr w:rsidR="00BA350C" w:rsidRPr="00150ABA" w14:paraId="0EE5091B" w14:textId="77777777" w:rsidTr="00BA350C">
        <w:trPr>
          <w:trHeight w:val="319"/>
          <w:jc w:val="center"/>
        </w:trPr>
        <w:tc>
          <w:tcPr>
            <w:tcW w:w="3960" w:type="dxa"/>
            <w:vMerge w:val="restart"/>
            <w:vAlign w:val="center"/>
          </w:tcPr>
          <w:p w14:paraId="67175FC0" w14:textId="77777777" w:rsidR="00BA350C" w:rsidRPr="00150ABA" w:rsidRDefault="00BA350C" w:rsidP="00BA350C">
            <w:pPr>
              <w:pStyle w:val="CommentText"/>
              <w:rPr>
                <w:rFonts w:ascii="Times New Roman" w:hAnsi="Times New Roman" w:cs="Times New Roman"/>
                <w:noProof/>
              </w:rPr>
            </w:pPr>
            <w:r w:rsidRPr="00150ABA">
              <w:rPr>
                <w:rFonts w:ascii="Times New Roman" w:hAnsi="Times New Roman" w:cs="Times New Roman"/>
                <w:noProof/>
              </w:rPr>
              <w:t>Title 3: Operational expenditures</w:t>
            </w:r>
          </w:p>
        </w:tc>
        <w:tc>
          <w:tcPr>
            <w:tcW w:w="1503" w:type="dxa"/>
            <w:vAlign w:val="center"/>
          </w:tcPr>
          <w:p w14:paraId="06C12630" w14:textId="77777777" w:rsidR="00BA350C" w:rsidRPr="00150ABA" w:rsidRDefault="00BA350C" w:rsidP="00BA350C">
            <w:pPr>
              <w:spacing w:before="40" w:after="40"/>
              <w:rPr>
                <w:noProof/>
                <w:sz w:val="18"/>
              </w:rPr>
            </w:pPr>
            <w:r w:rsidRPr="00150ABA">
              <w:rPr>
                <w:noProof/>
                <w:sz w:val="18"/>
              </w:rPr>
              <w:t>Commitments</w:t>
            </w:r>
          </w:p>
        </w:tc>
        <w:tc>
          <w:tcPr>
            <w:tcW w:w="591" w:type="dxa"/>
            <w:vAlign w:val="center"/>
          </w:tcPr>
          <w:p w14:paraId="3AE2C652" w14:textId="77777777" w:rsidR="00BA350C" w:rsidRPr="00150ABA" w:rsidRDefault="00BA350C" w:rsidP="00BA350C">
            <w:pPr>
              <w:spacing w:before="40" w:after="40"/>
              <w:jc w:val="center"/>
              <w:rPr>
                <w:noProof/>
                <w:sz w:val="14"/>
              </w:rPr>
            </w:pPr>
            <w:r w:rsidRPr="00150ABA">
              <w:rPr>
                <w:noProof/>
                <w:sz w:val="14"/>
              </w:rPr>
              <w:t>(3a)</w:t>
            </w:r>
          </w:p>
        </w:tc>
        <w:tc>
          <w:tcPr>
            <w:tcW w:w="868" w:type="dxa"/>
            <w:vAlign w:val="center"/>
          </w:tcPr>
          <w:p w14:paraId="28DF0B30" w14:textId="019E8415" w:rsidR="00BA350C" w:rsidRPr="00150ABA" w:rsidRDefault="00BA350C" w:rsidP="00BA350C">
            <w:pPr>
              <w:spacing w:before="40" w:after="40"/>
              <w:jc w:val="right"/>
              <w:rPr>
                <w:noProof/>
                <w:sz w:val="20"/>
              </w:rPr>
            </w:pPr>
          </w:p>
        </w:tc>
        <w:tc>
          <w:tcPr>
            <w:tcW w:w="868" w:type="dxa"/>
            <w:vAlign w:val="center"/>
          </w:tcPr>
          <w:p w14:paraId="0FBCEA49" w14:textId="4D16B570" w:rsidR="00BA350C" w:rsidRPr="00150ABA" w:rsidRDefault="0054088F" w:rsidP="0054088F">
            <w:pPr>
              <w:spacing w:before="40" w:after="40"/>
              <w:jc w:val="right"/>
              <w:rPr>
                <w:noProof/>
                <w:sz w:val="20"/>
              </w:rPr>
            </w:pPr>
            <w:r w:rsidRPr="00150ABA">
              <w:rPr>
                <w:noProof/>
                <w:sz w:val="20"/>
              </w:rPr>
              <w:t>2</w:t>
            </w:r>
            <w:r w:rsidR="00BA350C" w:rsidRPr="00150ABA">
              <w:rPr>
                <w:noProof/>
                <w:sz w:val="20"/>
              </w:rPr>
              <w:t>.</w:t>
            </w:r>
            <w:r w:rsidRPr="00150ABA">
              <w:rPr>
                <w:noProof/>
                <w:sz w:val="20"/>
              </w:rPr>
              <w:t>5</w:t>
            </w:r>
            <w:r w:rsidR="00BA350C" w:rsidRPr="00150ABA">
              <w:rPr>
                <w:noProof/>
                <w:sz w:val="20"/>
              </w:rPr>
              <w:t>00</w:t>
            </w:r>
          </w:p>
        </w:tc>
        <w:tc>
          <w:tcPr>
            <w:tcW w:w="868" w:type="dxa"/>
            <w:vAlign w:val="center"/>
          </w:tcPr>
          <w:p w14:paraId="5D74AEAF" w14:textId="5E830FD8" w:rsidR="00BA350C" w:rsidRPr="00150ABA" w:rsidRDefault="00BA350C" w:rsidP="00BA350C">
            <w:pPr>
              <w:spacing w:before="40" w:after="40"/>
              <w:jc w:val="right"/>
              <w:rPr>
                <w:noProof/>
                <w:sz w:val="20"/>
              </w:rPr>
            </w:pPr>
          </w:p>
        </w:tc>
        <w:tc>
          <w:tcPr>
            <w:tcW w:w="868" w:type="dxa"/>
            <w:vAlign w:val="center"/>
          </w:tcPr>
          <w:p w14:paraId="605E6A4E" w14:textId="7A27A8C9" w:rsidR="00BA350C" w:rsidRPr="00150ABA" w:rsidRDefault="00BA350C" w:rsidP="00BA350C">
            <w:pPr>
              <w:spacing w:before="40" w:after="40"/>
              <w:jc w:val="right"/>
              <w:rPr>
                <w:b/>
                <w:noProof/>
                <w:sz w:val="20"/>
              </w:rPr>
            </w:pPr>
          </w:p>
        </w:tc>
        <w:tc>
          <w:tcPr>
            <w:tcW w:w="1777" w:type="dxa"/>
            <w:vAlign w:val="center"/>
          </w:tcPr>
          <w:p w14:paraId="21212068" w14:textId="6781D7E7" w:rsidR="00BA350C" w:rsidRPr="00150ABA" w:rsidRDefault="0054088F" w:rsidP="00BA350C">
            <w:pPr>
              <w:spacing w:before="20" w:after="20"/>
              <w:jc w:val="right"/>
              <w:rPr>
                <w:b/>
                <w:noProof/>
                <w:sz w:val="20"/>
              </w:rPr>
            </w:pPr>
            <w:r w:rsidRPr="00150ABA">
              <w:rPr>
                <w:b/>
                <w:noProof/>
                <w:sz w:val="20"/>
              </w:rPr>
              <w:t>2.500</w:t>
            </w:r>
          </w:p>
        </w:tc>
      </w:tr>
      <w:tr w:rsidR="00BA350C" w:rsidRPr="00150ABA" w14:paraId="580622DB" w14:textId="77777777" w:rsidTr="00BA350C">
        <w:trPr>
          <w:trHeight w:val="319"/>
          <w:jc w:val="center"/>
        </w:trPr>
        <w:tc>
          <w:tcPr>
            <w:tcW w:w="3960" w:type="dxa"/>
            <w:vMerge/>
            <w:vAlign w:val="center"/>
          </w:tcPr>
          <w:p w14:paraId="039B03B0" w14:textId="77777777" w:rsidR="00BA350C" w:rsidRPr="00150ABA" w:rsidRDefault="00BA350C" w:rsidP="00BA350C">
            <w:pPr>
              <w:spacing w:before="60" w:after="60"/>
              <w:rPr>
                <w:b/>
                <w:noProof/>
                <w:sz w:val="20"/>
              </w:rPr>
            </w:pPr>
          </w:p>
        </w:tc>
        <w:tc>
          <w:tcPr>
            <w:tcW w:w="1503" w:type="dxa"/>
            <w:vAlign w:val="center"/>
          </w:tcPr>
          <w:p w14:paraId="6CE93739" w14:textId="77777777" w:rsidR="00BA350C" w:rsidRPr="00150ABA" w:rsidRDefault="00BA350C" w:rsidP="00BA350C">
            <w:pPr>
              <w:spacing w:before="40" w:after="40"/>
              <w:rPr>
                <w:noProof/>
                <w:sz w:val="18"/>
              </w:rPr>
            </w:pPr>
            <w:r w:rsidRPr="00150ABA">
              <w:rPr>
                <w:noProof/>
                <w:sz w:val="18"/>
              </w:rPr>
              <w:t>Payments</w:t>
            </w:r>
          </w:p>
        </w:tc>
        <w:tc>
          <w:tcPr>
            <w:tcW w:w="591" w:type="dxa"/>
            <w:vAlign w:val="center"/>
          </w:tcPr>
          <w:p w14:paraId="49F88011" w14:textId="77777777" w:rsidR="00BA350C" w:rsidRPr="00150ABA" w:rsidRDefault="00BA350C" w:rsidP="00BA350C">
            <w:pPr>
              <w:spacing w:before="40" w:after="40"/>
              <w:jc w:val="center"/>
              <w:rPr>
                <w:noProof/>
                <w:sz w:val="14"/>
              </w:rPr>
            </w:pPr>
            <w:r w:rsidRPr="00150ABA">
              <w:rPr>
                <w:noProof/>
                <w:sz w:val="14"/>
              </w:rPr>
              <w:t>(3b)</w:t>
            </w:r>
          </w:p>
        </w:tc>
        <w:tc>
          <w:tcPr>
            <w:tcW w:w="868" w:type="dxa"/>
            <w:vAlign w:val="center"/>
          </w:tcPr>
          <w:p w14:paraId="5D55D77A" w14:textId="77777777" w:rsidR="00BA350C" w:rsidRPr="00150ABA" w:rsidRDefault="00BA350C" w:rsidP="00BA350C">
            <w:pPr>
              <w:spacing w:before="40" w:after="40"/>
              <w:jc w:val="right"/>
              <w:rPr>
                <w:b/>
                <w:noProof/>
                <w:sz w:val="20"/>
              </w:rPr>
            </w:pPr>
          </w:p>
        </w:tc>
        <w:tc>
          <w:tcPr>
            <w:tcW w:w="868" w:type="dxa"/>
            <w:vAlign w:val="center"/>
          </w:tcPr>
          <w:p w14:paraId="41385237" w14:textId="352BDBE0" w:rsidR="00BA350C" w:rsidRPr="00150ABA" w:rsidRDefault="00BA350C" w:rsidP="00BA350C">
            <w:pPr>
              <w:spacing w:before="40" w:after="40"/>
              <w:jc w:val="right"/>
              <w:rPr>
                <w:noProof/>
                <w:sz w:val="20"/>
              </w:rPr>
            </w:pPr>
          </w:p>
        </w:tc>
        <w:tc>
          <w:tcPr>
            <w:tcW w:w="868" w:type="dxa"/>
            <w:vAlign w:val="center"/>
          </w:tcPr>
          <w:p w14:paraId="28B6DB3A" w14:textId="50E620AF" w:rsidR="00BA350C" w:rsidRPr="00150ABA" w:rsidRDefault="0054088F" w:rsidP="00BA350C">
            <w:pPr>
              <w:spacing w:before="40" w:after="40"/>
              <w:jc w:val="right"/>
              <w:rPr>
                <w:noProof/>
                <w:sz w:val="20"/>
              </w:rPr>
            </w:pPr>
            <w:r w:rsidRPr="00150ABA">
              <w:rPr>
                <w:noProof/>
                <w:sz w:val="20"/>
              </w:rPr>
              <w:t>2.500</w:t>
            </w:r>
          </w:p>
        </w:tc>
        <w:tc>
          <w:tcPr>
            <w:tcW w:w="868" w:type="dxa"/>
            <w:vAlign w:val="center"/>
          </w:tcPr>
          <w:p w14:paraId="0A051258" w14:textId="6503AFCD" w:rsidR="00BA350C" w:rsidRPr="00150ABA" w:rsidRDefault="00BA350C" w:rsidP="00BA350C">
            <w:pPr>
              <w:spacing w:before="40" w:after="40"/>
              <w:jc w:val="right"/>
              <w:rPr>
                <w:b/>
                <w:noProof/>
                <w:sz w:val="20"/>
              </w:rPr>
            </w:pPr>
          </w:p>
        </w:tc>
        <w:tc>
          <w:tcPr>
            <w:tcW w:w="1777" w:type="dxa"/>
            <w:vAlign w:val="center"/>
          </w:tcPr>
          <w:p w14:paraId="7F9D7E60" w14:textId="15334C0A" w:rsidR="00BA350C" w:rsidRPr="00150ABA" w:rsidRDefault="0054088F" w:rsidP="00BA350C">
            <w:pPr>
              <w:spacing w:before="20" w:after="20"/>
              <w:jc w:val="right"/>
              <w:rPr>
                <w:b/>
                <w:noProof/>
                <w:sz w:val="20"/>
              </w:rPr>
            </w:pPr>
            <w:r w:rsidRPr="00150ABA">
              <w:rPr>
                <w:b/>
                <w:noProof/>
                <w:sz w:val="20"/>
              </w:rPr>
              <w:t>2.500</w:t>
            </w:r>
          </w:p>
        </w:tc>
      </w:tr>
      <w:tr w:rsidR="00BA350C" w:rsidRPr="00150ABA" w14:paraId="2E467871" w14:textId="77777777" w:rsidTr="00BA350C">
        <w:trPr>
          <w:jc w:val="center"/>
        </w:trPr>
        <w:tc>
          <w:tcPr>
            <w:tcW w:w="3960" w:type="dxa"/>
            <w:vMerge w:val="restart"/>
            <w:vAlign w:val="center"/>
          </w:tcPr>
          <w:p w14:paraId="7E7420AB" w14:textId="1D82FE72" w:rsidR="00BA350C" w:rsidRPr="0083016B" w:rsidRDefault="00BA350C" w:rsidP="0054088F">
            <w:pPr>
              <w:jc w:val="center"/>
              <w:rPr>
                <w:noProof/>
                <w:lang w:val="fr-BE"/>
              </w:rPr>
            </w:pPr>
            <w:r w:rsidRPr="0083016B">
              <w:rPr>
                <w:b/>
                <w:noProof/>
                <w:sz w:val="22"/>
                <w:lang w:val="fr-BE"/>
              </w:rPr>
              <w:t>TOTAL appropriations</w:t>
            </w:r>
            <w:r w:rsidRPr="0083016B">
              <w:rPr>
                <w:noProof/>
                <w:sz w:val="22"/>
                <w:lang w:val="fr-BE"/>
              </w:rPr>
              <w:br/>
            </w:r>
            <w:r w:rsidRPr="0083016B">
              <w:rPr>
                <w:b/>
                <w:noProof/>
                <w:sz w:val="22"/>
                <w:lang w:val="fr-BE"/>
              </w:rPr>
              <w:t xml:space="preserve">for </w:t>
            </w:r>
            <w:r w:rsidRPr="0083016B">
              <w:rPr>
                <w:b/>
                <w:noProof/>
                <w:lang w:val="fr-BE"/>
              </w:rPr>
              <w:t>eu-LISA</w:t>
            </w:r>
          </w:p>
        </w:tc>
        <w:tc>
          <w:tcPr>
            <w:tcW w:w="1503" w:type="dxa"/>
            <w:vAlign w:val="center"/>
          </w:tcPr>
          <w:p w14:paraId="48163CA7" w14:textId="77777777" w:rsidR="00BA350C" w:rsidRPr="00150ABA" w:rsidRDefault="00BA350C" w:rsidP="00BA350C">
            <w:pPr>
              <w:rPr>
                <w:noProof/>
                <w:sz w:val="18"/>
              </w:rPr>
            </w:pPr>
            <w:r w:rsidRPr="00150ABA">
              <w:rPr>
                <w:noProof/>
                <w:sz w:val="18"/>
              </w:rPr>
              <w:t>Commitments</w:t>
            </w:r>
          </w:p>
        </w:tc>
        <w:tc>
          <w:tcPr>
            <w:tcW w:w="591" w:type="dxa"/>
            <w:vAlign w:val="center"/>
          </w:tcPr>
          <w:p w14:paraId="1821A850" w14:textId="77777777" w:rsidR="00BA350C" w:rsidRPr="00150ABA" w:rsidRDefault="00BA350C" w:rsidP="00BA350C">
            <w:pPr>
              <w:jc w:val="center"/>
              <w:rPr>
                <w:noProof/>
                <w:sz w:val="14"/>
              </w:rPr>
            </w:pPr>
            <w:r w:rsidRPr="00150ABA">
              <w:rPr>
                <w:noProof/>
                <w:sz w:val="14"/>
              </w:rPr>
              <w:t>=1+1a +3a</w:t>
            </w:r>
          </w:p>
        </w:tc>
        <w:tc>
          <w:tcPr>
            <w:tcW w:w="868" w:type="dxa"/>
            <w:vAlign w:val="center"/>
          </w:tcPr>
          <w:p w14:paraId="5E42D024" w14:textId="393DD31A" w:rsidR="00BA350C" w:rsidRPr="00150ABA" w:rsidRDefault="00BA350C" w:rsidP="00BA350C">
            <w:pPr>
              <w:spacing w:before="20" w:after="20"/>
              <w:jc w:val="right"/>
              <w:rPr>
                <w:noProof/>
                <w:sz w:val="20"/>
                <w:szCs w:val="20"/>
              </w:rPr>
            </w:pPr>
          </w:p>
        </w:tc>
        <w:tc>
          <w:tcPr>
            <w:tcW w:w="868" w:type="dxa"/>
            <w:vAlign w:val="center"/>
          </w:tcPr>
          <w:p w14:paraId="4437CF11" w14:textId="037E1B3D" w:rsidR="00BA350C" w:rsidRPr="00150ABA" w:rsidRDefault="0054088F" w:rsidP="00BA350C">
            <w:pPr>
              <w:spacing w:before="20" w:after="20"/>
              <w:jc w:val="right"/>
              <w:rPr>
                <w:noProof/>
                <w:sz w:val="20"/>
                <w:szCs w:val="20"/>
              </w:rPr>
            </w:pPr>
            <w:r w:rsidRPr="00150ABA">
              <w:rPr>
                <w:noProof/>
                <w:sz w:val="20"/>
                <w:szCs w:val="20"/>
              </w:rPr>
              <w:t>2.500</w:t>
            </w:r>
          </w:p>
        </w:tc>
        <w:tc>
          <w:tcPr>
            <w:tcW w:w="868" w:type="dxa"/>
            <w:vAlign w:val="center"/>
          </w:tcPr>
          <w:p w14:paraId="2C0F9EC9" w14:textId="5915184F" w:rsidR="00BA350C" w:rsidRPr="00150ABA" w:rsidRDefault="00BA350C" w:rsidP="00BA350C">
            <w:pPr>
              <w:spacing w:before="20" w:after="20"/>
              <w:jc w:val="right"/>
              <w:rPr>
                <w:noProof/>
                <w:sz w:val="20"/>
                <w:szCs w:val="20"/>
              </w:rPr>
            </w:pPr>
          </w:p>
        </w:tc>
        <w:tc>
          <w:tcPr>
            <w:tcW w:w="868" w:type="dxa"/>
            <w:vAlign w:val="center"/>
          </w:tcPr>
          <w:p w14:paraId="6E4B562A" w14:textId="0EA13258" w:rsidR="00BA350C" w:rsidRPr="00150ABA" w:rsidRDefault="00BA350C" w:rsidP="00BA350C">
            <w:pPr>
              <w:spacing w:before="20" w:after="20"/>
              <w:jc w:val="right"/>
              <w:rPr>
                <w:noProof/>
                <w:sz w:val="20"/>
                <w:szCs w:val="20"/>
              </w:rPr>
            </w:pPr>
          </w:p>
        </w:tc>
        <w:tc>
          <w:tcPr>
            <w:tcW w:w="1777" w:type="dxa"/>
            <w:vAlign w:val="center"/>
          </w:tcPr>
          <w:p w14:paraId="5B357E98" w14:textId="3E88DA87" w:rsidR="00BA350C" w:rsidRPr="00150ABA" w:rsidRDefault="0054088F" w:rsidP="00BA350C">
            <w:pPr>
              <w:spacing w:before="20" w:after="20"/>
              <w:jc w:val="right"/>
              <w:rPr>
                <w:b/>
                <w:noProof/>
                <w:sz w:val="20"/>
              </w:rPr>
            </w:pPr>
            <w:r w:rsidRPr="00150ABA">
              <w:rPr>
                <w:b/>
                <w:noProof/>
                <w:sz w:val="20"/>
              </w:rPr>
              <w:t>2.500</w:t>
            </w:r>
          </w:p>
        </w:tc>
      </w:tr>
      <w:tr w:rsidR="00BA350C" w:rsidRPr="00150ABA" w14:paraId="1BC7766B" w14:textId="77777777" w:rsidTr="00BA350C">
        <w:trPr>
          <w:jc w:val="center"/>
        </w:trPr>
        <w:tc>
          <w:tcPr>
            <w:tcW w:w="3960" w:type="dxa"/>
            <w:vMerge/>
            <w:vAlign w:val="center"/>
          </w:tcPr>
          <w:p w14:paraId="60875E1E" w14:textId="77777777" w:rsidR="00BA350C" w:rsidRPr="00150ABA" w:rsidRDefault="00BA350C" w:rsidP="00BA350C">
            <w:pPr>
              <w:rPr>
                <w:b/>
                <w:noProof/>
              </w:rPr>
            </w:pPr>
          </w:p>
        </w:tc>
        <w:tc>
          <w:tcPr>
            <w:tcW w:w="1503" w:type="dxa"/>
            <w:vAlign w:val="center"/>
          </w:tcPr>
          <w:p w14:paraId="44328149" w14:textId="77777777" w:rsidR="00BA350C" w:rsidRPr="00150ABA" w:rsidRDefault="00BA350C" w:rsidP="00BA350C">
            <w:pPr>
              <w:rPr>
                <w:noProof/>
                <w:sz w:val="18"/>
              </w:rPr>
            </w:pPr>
            <w:r w:rsidRPr="00150ABA">
              <w:rPr>
                <w:noProof/>
                <w:sz w:val="18"/>
              </w:rPr>
              <w:t>Payments</w:t>
            </w:r>
          </w:p>
        </w:tc>
        <w:tc>
          <w:tcPr>
            <w:tcW w:w="591" w:type="dxa"/>
            <w:vAlign w:val="center"/>
          </w:tcPr>
          <w:p w14:paraId="6096A5EF" w14:textId="77777777" w:rsidR="00BA350C" w:rsidRPr="00150ABA" w:rsidRDefault="00BA350C" w:rsidP="00BA350C">
            <w:pPr>
              <w:jc w:val="center"/>
              <w:rPr>
                <w:noProof/>
                <w:sz w:val="14"/>
              </w:rPr>
            </w:pPr>
            <w:r w:rsidRPr="00150ABA">
              <w:rPr>
                <w:noProof/>
                <w:sz w:val="14"/>
              </w:rPr>
              <w:t>=2+2a</w:t>
            </w:r>
          </w:p>
          <w:p w14:paraId="0E68A88E" w14:textId="77777777" w:rsidR="00BA350C" w:rsidRPr="00150ABA" w:rsidRDefault="00BA350C" w:rsidP="00BA350C">
            <w:pPr>
              <w:jc w:val="center"/>
              <w:rPr>
                <w:noProof/>
                <w:sz w:val="14"/>
              </w:rPr>
            </w:pPr>
            <w:r w:rsidRPr="00150ABA">
              <w:rPr>
                <w:noProof/>
                <w:sz w:val="14"/>
              </w:rPr>
              <w:t>+3b</w:t>
            </w:r>
          </w:p>
        </w:tc>
        <w:tc>
          <w:tcPr>
            <w:tcW w:w="868" w:type="dxa"/>
            <w:vAlign w:val="center"/>
          </w:tcPr>
          <w:p w14:paraId="6017042F" w14:textId="13D84C23" w:rsidR="00BA350C" w:rsidRPr="00150ABA" w:rsidRDefault="00BA350C" w:rsidP="00BA350C">
            <w:pPr>
              <w:spacing w:before="20" w:after="20"/>
              <w:jc w:val="right"/>
              <w:rPr>
                <w:noProof/>
                <w:sz w:val="20"/>
                <w:szCs w:val="20"/>
              </w:rPr>
            </w:pPr>
          </w:p>
        </w:tc>
        <w:tc>
          <w:tcPr>
            <w:tcW w:w="868" w:type="dxa"/>
            <w:vAlign w:val="center"/>
          </w:tcPr>
          <w:p w14:paraId="6E086C8B" w14:textId="14DB8A06" w:rsidR="00BA350C" w:rsidRPr="00150ABA" w:rsidRDefault="00BA350C" w:rsidP="00BA350C">
            <w:pPr>
              <w:spacing w:before="20" w:after="20"/>
              <w:jc w:val="right"/>
              <w:rPr>
                <w:noProof/>
                <w:sz w:val="20"/>
                <w:szCs w:val="20"/>
              </w:rPr>
            </w:pPr>
          </w:p>
        </w:tc>
        <w:tc>
          <w:tcPr>
            <w:tcW w:w="868" w:type="dxa"/>
            <w:vAlign w:val="center"/>
          </w:tcPr>
          <w:p w14:paraId="5438F8CC" w14:textId="29C3F7B6" w:rsidR="00BA350C" w:rsidRPr="00150ABA" w:rsidRDefault="0054088F" w:rsidP="00BA350C">
            <w:pPr>
              <w:spacing w:before="20" w:after="20"/>
              <w:jc w:val="right"/>
              <w:rPr>
                <w:noProof/>
                <w:sz w:val="20"/>
                <w:szCs w:val="20"/>
              </w:rPr>
            </w:pPr>
            <w:r w:rsidRPr="00150ABA">
              <w:rPr>
                <w:noProof/>
                <w:sz w:val="20"/>
                <w:szCs w:val="20"/>
              </w:rPr>
              <w:t>2.500</w:t>
            </w:r>
          </w:p>
        </w:tc>
        <w:tc>
          <w:tcPr>
            <w:tcW w:w="868" w:type="dxa"/>
            <w:vAlign w:val="center"/>
          </w:tcPr>
          <w:p w14:paraId="28AD7DF5" w14:textId="19526D56" w:rsidR="00BA350C" w:rsidRPr="00150ABA" w:rsidRDefault="00BA350C" w:rsidP="00BA350C">
            <w:pPr>
              <w:spacing w:before="20" w:after="20"/>
              <w:jc w:val="right"/>
              <w:rPr>
                <w:noProof/>
                <w:sz w:val="20"/>
                <w:szCs w:val="20"/>
              </w:rPr>
            </w:pPr>
          </w:p>
        </w:tc>
        <w:tc>
          <w:tcPr>
            <w:tcW w:w="1777" w:type="dxa"/>
            <w:vAlign w:val="center"/>
          </w:tcPr>
          <w:p w14:paraId="22C5DD4C" w14:textId="58236427" w:rsidR="00BA350C" w:rsidRPr="00150ABA" w:rsidRDefault="0054088F" w:rsidP="00BA350C">
            <w:pPr>
              <w:spacing w:before="20" w:after="20"/>
              <w:jc w:val="right"/>
              <w:rPr>
                <w:b/>
                <w:noProof/>
                <w:sz w:val="20"/>
              </w:rPr>
            </w:pPr>
            <w:r w:rsidRPr="00150ABA">
              <w:rPr>
                <w:b/>
                <w:noProof/>
                <w:sz w:val="20"/>
              </w:rPr>
              <w:t>2.500</w:t>
            </w:r>
          </w:p>
        </w:tc>
      </w:tr>
    </w:tbl>
    <w:p w14:paraId="0C726657" w14:textId="7C53137B" w:rsidR="00534A42" w:rsidRDefault="00534A42" w:rsidP="006F6F3C">
      <w:pPr>
        <w:rPr>
          <w:noProof/>
        </w:rPr>
      </w:pPr>
    </w:p>
    <w:p w14:paraId="1A1F52D1" w14:textId="77777777" w:rsidR="00534A42" w:rsidRDefault="00534A42">
      <w:pPr>
        <w:spacing w:before="0" w:after="200" w:line="276" w:lineRule="auto"/>
        <w:jc w:val="left"/>
        <w:rPr>
          <w:noProof/>
        </w:rPr>
      </w:pPr>
      <w:r>
        <w:rPr>
          <w:noProof/>
        </w:rPr>
        <w:br w:type="page"/>
      </w:r>
    </w:p>
    <w:p w14:paraId="1674770A" w14:textId="77777777" w:rsidR="00534A42" w:rsidRPr="00150ABA" w:rsidRDefault="00534A42" w:rsidP="00534A42">
      <w:pPr>
        <w:jc w:val="right"/>
        <w:rPr>
          <w:noProof/>
          <w:sz w:val="18"/>
          <w:szCs w:val="18"/>
        </w:rPr>
      </w:pPr>
      <w:r w:rsidRPr="00150ABA">
        <w:rPr>
          <w:noProof/>
          <w:sz w:val="18"/>
          <w:szCs w:val="18"/>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D0D6D" w:rsidRPr="00150ABA" w14:paraId="53D7661C" w14:textId="77777777" w:rsidTr="001F2A4B">
        <w:trPr>
          <w:jc w:val="center"/>
        </w:trPr>
        <w:tc>
          <w:tcPr>
            <w:tcW w:w="4744" w:type="dxa"/>
            <w:shd w:val="thinDiagStripe" w:color="C0C0C0" w:fill="auto"/>
            <w:vAlign w:val="center"/>
          </w:tcPr>
          <w:p w14:paraId="1B8A2A5C" w14:textId="77777777" w:rsidR="007D0D6D" w:rsidRPr="00150ABA" w:rsidRDefault="007D0D6D" w:rsidP="001F2A4B">
            <w:pPr>
              <w:spacing w:before="60" w:after="60"/>
              <w:jc w:val="center"/>
              <w:rPr>
                <w:b/>
                <w:noProof/>
              </w:rPr>
            </w:pPr>
            <w:r w:rsidRPr="00150ABA">
              <w:rPr>
                <w:noProof/>
                <w:sz w:val="22"/>
              </w:rPr>
              <w:br w:type="page"/>
            </w:r>
            <w:r w:rsidRPr="00150ABA">
              <w:rPr>
                <w:b/>
                <w:noProof/>
                <w:sz w:val="22"/>
              </w:rPr>
              <w:t xml:space="preserve">Heading of multiannual financial </w:t>
            </w:r>
            <w:r w:rsidRPr="00150ABA">
              <w:rPr>
                <w:noProof/>
                <w:sz w:val="22"/>
              </w:rPr>
              <w:br/>
            </w:r>
            <w:r w:rsidRPr="00150ABA">
              <w:rPr>
                <w:b/>
                <w:noProof/>
                <w:sz w:val="22"/>
              </w:rPr>
              <w:t xml:space="preserve">framework </w:t>
            </w:r>
          </w:p>
        </w:tc>
        <w:tc>
          <w:tcPr>
            <w:tcW w:w="1080" w:type="dxa"/>
            <w:shd w:val="thinDiagStripe" w:color="C0C0C0" w:fill="auto"/>
            <w:vAlign w:val="center"/>
          </w:tcPr>
          <w:p w14:paraId="1E87D5C1" w14:textId="77777777" w:rsidR="007D0D6D" w:rsidRPr="00150ABA" w:rsidRDefault="007D0D6D" w:rsidP="001F2A4B">
            <w:pPr>
              <w:spacing w:before="60" w:after="60"/>
              <w:jc w:val="center"/>
              <w:rPr>
                <w:noProof/>
              </w:rPr>
            </w:pPr>
            <w:r w:rsidRPr="00150ABA">
              <w:rPr>
                <w:b/>
                <w:noProof/>
                <w:sz w:val="22"/>
              </w:rPr>
              <w:t>7</w:t>
            </w:r>
          </w:p>
        </w:tc>
        <w:tc>
          <w:tcPr>
            <w:tcW w:w="7817" w:type="dxa"/>
            <w:vAlign w:val="center"/>
          </w:tcPr>
          <w:p w14:paraId="5C2007C8" w14:textId="77777777" w:rsidR="007D0D6D" w:rsidRPr="00150ABA" w:rsidRDefault="007D0D6D" w:rsidP="001F2A4B">
            <w:pPr>
              <w:spacing w:before="60" w:after="60"/>
              <w:rPr>
                <w:noProof/>
                <w:szCs w:val="24"/>
              </w:rPr>
            </w:pPr>
            <w:r w:rsidRPr="00150ABA">
              <w:rPr>
                <w:noProof/>
                <w:sz w:val="23"/>
                <w:szCs w:val="23"/>
              </w:rPr>
              <w:t>European public administration</w:t>
            </w:r>
          </w:p>
        </w:tc>
      </w:tr>
    </w:tbl>
    <w:p w14:paraId="097533F1" w14:textId="77777777" w:rsidR="007D0D6D" w:rsidRPr="00150ABA" w:rsidRDefault="007D0D6D" w:rsidP="006F6F3C">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7D0D6D" w:rsidRPr="00150ABA" w14:paraId="149253FF" w14:textId="77777777" w:rsidTr="001F2A4B">
        <w:trPr>
          <w:jc w:val="center"/>
        </w:trPr>
        <w:tc>
          <w:tcPr>
            <w:tcW w:w="3960" w:type="dxa"/>
            <w:tcBorders>
              <w:top w:val="nil"/>
              <w:left w:val="nil"/>
              <w:right w:val="nil"/>
            </w:tcBorders>
            <w:vAlign w:val="center"/>
          </w:tcPr>
          <w:p w14:paraId="70564A03" w14:textId="77777777" w:rsidR="007D0D6D" w:rsidRPr="00150ABA" w:rsidRDefault="007D0D6D" w:rsidP="001F2A4B">
            <w:pPr>
              <w:jc w:val="center"/>
              <w:rPr>
                <w:noProof/>
              </w:rPr>
            </w:pPr>
          </w:p>
        </w:tc>
        <w:tc>
          <w:tcPr>
            <w:tcW w:w="1560" w:type="dxa"/>
            <w:tcBorders>
              <w:top w:val="nil"/>
              <w:left w:val="nil"/>
              <w:right w:val="nil"/>
            </w:tcBorders>
          </w:tcPr>
          <w:p w14:paraId="39624E66" w14:textId="77777777" w:rsidR="007D0D6D" w:rsidRPr="00150ABA" w:rsidRDefault="007D0D6D" w:rsidP="001F2A4B">
            <w:pPr>
              <w:rPr>
                <w:noProof/>
                <w:sz w:val="20"/>
              </w:rPr>
            </w:pPr>
          </w:p>
        </w:tc>
        <w:tc>
          <w:tcPr>
            <w:tcW w:w="534" w:type="dxa"/>
            <w:tcBorders>
              <w:top w:val="nil"/>
              <w:left w:val="nil"/>
            </w:tcBorders>
          </w:tcPr>
          <w:p w14:paraId="0B667BE5" w14:textId="77777777" w:rsidR="007D0D6D" w:rsidRPr="00150ABA" w:rsidRDefault="007D0D6D" w:rsidP="001F2A4B">
            <w:pPr>
              <w:jc w:val="center"/>
              <w:rPr>
                <w:noProof/>
                <w:sz w:val="20"/>
              </w:rPr>
            </w:pPr>
          </w:p>
        </w:tc>
        <w:tc>
          <w:tcPr>
            <w:tcW w:w="868" w:type="dxa"/>
            <w:vAlign w:val="center"/>
          </w:tcPr>
          <w:p w14:paraId="75ABB5B0" w14:textId="77777777" w:rsidR="007D0D6D" w:rsidRPr="00150ABA" w:rsidRDefault="007D0D6D" w:rsidP="001F2A4B">
            <w:pPr>
              <w:jc w:val="center"/>
              <w:rPr>
                <w:noProof/>
                <w:sz w:val="20"/>
              </w:rPr>
            </w:pPr>
            <w:r w:rsidRPr="00150ABA">
              <w:rPr>
                <w:noProof/>
                <w:sz w:val="20"/>
              </w:rPr>
              <w:t>Year</w:t>
            </w:r>
            <w:r w:rsidRPr="00150ABA">
              <w:rPr>
                <w:noProof/>
                <w:sz w:val="22"/>
              </w:rPr>
              <w:br/>
            </w:r>
            <w:r w:rsidRPr="00150ABA">
              <w:rPr>
                <w:b/>
                <w:noProof/>
                <w:sz w:val="20"/>
              </w:rPr>
              <w:t>2024</w:t>
            </w:r>
          </w:p>
        </w:tc>
        <w:tc>
          <w:tcPr>
            <w:tcW w:w="868" w:type="dxa"/>
            <w:vAlign w:val="center"/>
          </w:tcPr>
          <w:p w14:paraId="5766154D" w14:textId="77777777" w:rsidR="007D0D6D" w:rsidRPr="00150ABA" w:rsidRDefault="007D0D6D" w:rsidP="001F2A4B">
            <w:pPr>
              <w:jc w:val="center"/>
              <w:rPr>
                <w:noProof/>
                <w:sz w:val="20"/>
              </w:rPr>
            </w:pPr>
            <w:r w:rsidRPr="00150ABA">
              <w:rPr>
                <w:noProof/>
                <w:sz w:val="20"/>
              </w:rPr>
              <w:t>Year</w:t>
            </w:r>
            <w:r w:rsidRPr="00150ABA">
              <w:rPr>
                <w:noProof/>
                <w:sz w:val="22"/>
              </w:rPr>
              <w:br/>
            </w:r>
            <w:r w:rsidRPr="00150ABA">
              <w:rPr>
                <w:b/>
                <w:noProof/>
                <w:sz w:val="20"/>
              </w:rPr>
              <w:t>2025</w:t>
            </w:r>
          </w:p>
        </w:tc>
        <w:tc>
          <w:tcPr>
            <w:tcW w:w="868" w:type="dxa"/>
            <w:vAlign w:val="center"/>
          </w:tcPr>
          <w:p w14:paraId="024C0843" w14:textId="77777777" w:rsidR="007D0D6D" w:rsidRPr="00150ABA" w:rsidRDefault="007D0D6D" w:rsidP="001F2A4B">
            <w:pPr>
              <w:jc w:val="center"/>
              <w:rPr>
                <w:noProof/>
                <w:sz w:val="20"/>
              </w:rPr>
            </w:pPr>
            <w:r w:rsidRPr="00150ABA">
              <w:rPr>
                <w:noProof/>
                <w:sz w:val="20"/>
              </w:rPr>
              <w:t>Year</w:t>
            </w:r>
            <w:r w:rsidRPr="00150ABA">
              <w:rPr>
                <w:noProof/>
                <w:sz w:val="22"/>
              </w:rPr>
              <w:br/>
            </w:r>
            <w:r w:rsidRPr="00150ABA">
              <w:rPr>
                <w:b/>
                <w:noProof/>
                <w:sz w:val="20"/>
              </w:rPr>
              <w:t>2026</w:t>
            </w:r>
          </w:p>
        </w:tc>
        <w:tc>
          <w:tcPr>
            <w:tcW w:w="868" w:type="dxa"/>
            <w:vAlign w:val="center"/>
          </w:tcPr>
          <w:p w14:paraId="39E5AB49" w14:textId="77777777" w:rsidR="007D0D6D" w:rsidRPr="00150ABA" w:rsidRDefault="007D0D6D" w:rsidP="001F2A4B">
            <w:pPr>
              <w:jc w:val="center"/>
              <w:rPr>
                <w:noProof/>
                <w:sz w:val="20"/>
              </w:rPr>
            </w:pPr>
            <w:r w:rsidRPr="00150ABA">
              <w:rPr>
                <w:noProof/>
                <w:sz w:val="20"/>
              </w:rPr>
              <w:t>Year</w:t>
            </w:r>
            <w:r w:rsidRPr="00150ABA">
              <w:rPr>
                <w:noProof/>
                <w:sz w:val="22"/>
              </w:rPr>
              <w:br/>
            </w:r>
            <w:r w:rsidRPr="00150ABA">
              <w:rPr>
                <w:b/>
                <w:noProof/>
                <w:sz w:val="20"/>
              </w:rPr>
              <w:t>2027</w:t>
            </w:r>
          </w:p>
        </w:tc>
        <w:tc>
          <w:tcPr>
            <w:tcW w:w="1777" w:type="dxa"/>
            <w:vAlign w:val="center"/>
          </w:tcPr>
          <w:p w14:paraId="3AE8EB29" w14:textId="77777777" w:rsidR="007D0D6D" w:rsidRPr="00150ABA" w:rsidRDefault="007D0D6D" w:rsidP="001F2A4B">
            <w:pPr>
              <w:jc w:val="center"/>
              <w:rPr>
                <w:b/>
                <w:noProof/>
                <w:sz w:val="20"/>
              </w:rPr>
            </w:pPr>
            <w:r w:rsidRPr="00150ABA">
              <w:rPr>
                <w:b/>
                <w:noProof/>
                <w:sz w:val="20"/>
              </w:rPr>
              <w:t>TOTAL 2024-2027</w:t>
            </w:r>
          </w:p>
        </w:tc>
      </w:tr>
      <w:tr w:rsidR="007D0D6D" w:rsidRPr="00150ABA" w14:paraId="27762BB3" w14:textId="77777777" w:rsidTr="001F2A4B">
        <w:trPr>
          <w:gridAfter w:val="7"/>
          <w:wAfter w:w="7343" w:type="dxa"/>
          <w:jc w:val="center"/>
        </w:trPr>
        <w:tc>
          <w:tcPr>
            <w:tcW w:w="3960" w:type="dxa"/>
            <w:vAlign w:val="center"/>
          </w:tcPr>
          <w:p w14:paraId="4CAD17C8" w14:textId="77777777" w:rsidR="007D0D6D" w:rsidRPr="00150ABA" w:rsidRDefault="007D0D6D" w:rsidP="001F2A4B">
            <w:pPr>
              <w:spacing w:before="60" w:after="60"/>
              <w:jc w:val="center"/>
              <w:rPr>
                <w:b/>
                <w:noProof/>
              </w:rPr>
            </w:pPr>
            <w:r w:rsidRPr="00150ABA">
              <w:rPr>
                <w:b/>
                <w:noProof/>
                <w:sz w:val="22"/>
              </w:rPr>
              <w:t>DG JUST</w:t>
            </w:r>
          </w:p>
        </w:tc>
      </w:tr>
      <w:tr w:rsidR="007D0D6D" w:rsidRPr="00150ABA" w14:paraId="2254BB31" w14:textId="77777777" w:rsidTr="001F2A4B">
        <w:trPr>
          <w:trHeight w:val="313"/>
          <w:jc w:val="center"/>
        </w:trPr>
        <w:tc>
          <w:tcPr>
            <w:tcW w:w="6054" w:type="dxa"/>
            <w:gridSpan w:val="3"/>
            <w:vAlign w:val="center"/>
          </w:tcPr>
          <w:p w14:paraId="7B7735E9" w14:textId="77777777" w:rsidR="007D0D6D" w:rsidRPr="00150ABA" w:rsidRDefault="007D0D6D" w:rsidP="001F2A4B">
            <w:pPr>
              <w:spacing w:before="20" w:after="20"/>
              <w:rPr>
                <w:noProof/>
              </w:rPr>
            </w:pPr>
            <w:r w:rsidRPr="00150ABA">
              <w:rPr>
                <w:noProof/>
                <w:sz w:val="22"/>
              </w:rPr>
              <w:sym w:font="Wingdings" w:char="F09F"/>
            </w:r>
            <w:r w:rsidRPr="00150ABA">
              <w:rPr>
                <w:noProof/>
                <w:sz w:val="22"/>
              </w:rPr>
              <w:t xml:space="preserve"> Human Resources </w:t>
            </w:r>
          </w:p>
        </w:tc>
        <w:tc>
          <w:tcPr>
            <w:tcW w:w="868" w:type="dxa"/>
            <w:vAlign w:val="center"/>
          </w:tcPr>
          <w:p w14:paraId="275C1B37" w14:textId="77777777" w:rsidR="007D0D6D" w:rsidRPr="00150ABA" w:rsidRDefault="007D0D6D" w:rsidP="001F2A4B">
            <w:pPr>
              <w:spacing w:before="20" w:after="20"/>
              <w:jc w:val="right"/>
              <w:rPr>
                <w:noProof/>
                <w:sz w:val="20"/>
              </w:rPr>
            </w:pPr>
            <w:r w:rsidRPr="00150ABA">
              <w:rPr>
                <w:noProof/>
                <w:sz w:val="20"/>
              </w:rPr>
              <w:t>0.152</w:t>
            </w:r>
          </w:p>
        </w:tc>
        <w:tc>
          <w:tcPr>
            <w:tcW w:w="868" w:type="dxa"/>
            <w:vAlign w:val="center"/>
          </w:tcPr>
          <w:p w14:paraId="138CD24B" w14:textId="77777777" w:rsidR="007D0D6D" w:rsidRPr="00150ABA" w:rsidRDefault="007D0D6D" w:rsidP="001F2A4B">
            <w:pPr>
              <w:spacing w:before="20" w:after="20"/>
              <w:jc w:val="right"/>
              <w:rPr>
                <w:noProof/>
                <w:sz w:val="20"/>
              </w:rPr>
            </w:pPr>
            <w:r w:rsidRPr="00150ABA">
              <w:rPr>
                <w:noProof/>
                <w:sz w:val="20"/>
              </w:rPr>
              <w:t>0.152</w:t>
            </w:r>
          </w:p>
        </w:tc>
        <w:tc>
          <w:tcPr>
            <w:tcW w:w="868" w:type="dxa"/>
            <w:vAlign w:val="center"/>
          </w:tcPr>
          <w:p w14:paraId="1C6C3B66" w14:textId="77777777" w:rsidR="007D0D6D" w:rsidRPr="00150ABA" w:rsidRDefault="007D0D6D" w:rsidP="001F2A4B">
            <w:pPr>
              <w:spacing w:before="20" w:after="20"/>
              <w:jc w:val="right"/>
              <w:rPr>
                <w:noProof/>
                <w:sz w:val="20"/>
              </w:rPr>
            </w:pPr>
            <w:r w:rsidRPr="00150ABA">
              <w:rPr>
                <w:noProof/>
                <w:sz w:val="20"/>
              </w:rPr>
              <w:t>0.152</w:t>
            </w:r>
          </w:p>
        </w:tc>
        <w:tc>
          <w:tcPr>
            <w:tcW w:w="868" w:type="dxa"/>
            <w:vAlign w:val="center"/>
          </w:tcPr>
          <w:p w14:paraId="7F2F7BB6" w14:textId="77777777" w:rsidR="007D0D6D" w:rsidRPr="00150ABA" w:rsidRDefault="007D0D6D" w:rsidP="001F2A4B">
            <w:pPr>
              <w:spacing w:before="20" w:after="20"/>
              <w:jc w:val="right"/>
              <w:rPr>
                <w:noProof/>
                <w:sz w:val="20"/>
              </w:rPr>
            </w:pPr>
            <w:r w:rsidRPr="00150ABA">
              <w:rPr>
                <w:noProof/>
                <w:sz w:val="20"/>
              </w:rPr>
              <w:t>0.152</w:t>
            </w:r>
          </w:p>
        </w:tc>
        <w:tc>
          <w:tcPr>
            <w:tcW w:w="1777" w:type="dxa"/>
            <w:vAlign w:val="center"/>
          </w:tcPr>
          <w:p w14:paraId="5BA9F624" w14:textId="77777777" w:rsidR="007D0D6D" w:rsidRPr="00150ABA" w:rsidRDefault="007D0D6D" w:rsidP="001F2A4B">
            <w:pPr>
              <w:spacing w:before="20" w:after="20"/>
              <w:jc w:val="right"/>
              <w:rPr>
                <w:b/>
                <w:noProof/>
                <w:sz w:val="20"/>
              </w:rPr>
            </w:pPr>
            <w:r w:rsidRPr="00150ABA">
              <w:rPr>
                <w:b/>
                <w:noProof/>
                <w:sz w:val="20"/>
              </w:rPr>
              <w:t>0.608</w:t>
            </w:r>
          </w:p>
        </w:tc>
      </w:tr>
      <w:tr w:rsidR="007D0D6D" w:rsidRPr="00150ABA" w14:paraId="548A769E" w14:textId="77777777" w:rsidTr="001F2A4B">
        <w:trPr>
          <w:trHeight w:val="351"/>
          <w:jc w:val="center"/>
        </w:trPr>
        <w:tc>
          <w:tcPr>
            <w:tcW w:w="6054" w:type="dxa"/>
            <w:gridSpan w:val="3"/>
            <w:vAlign w:val="center"/>
          </w:tcPr>
          <w:p w14:paraId="279E00CC" w14:textId="77777777" w:rsidR="007D0D6D" w:rsidRPr="00150ABA" w:rsidRDefault="007D0D6D" w:rsidP="001F2A4B">
            <w:pPr>
              <w:spacing w:before="20" w:after="20"/>
              <w:rPr>
                <w:noProof/>
              </w:rPr>
            </w:pPr>
            <w:r w:rsidRPr="00150ABA">
              <w:rPr>
                <w:noProof/>
                <w:sz w:val="22"/>
              </w:rPr>
              <w:sym w:font="Wingdings" w:char="F09F"/>
            </w:r>
            <w:r w:rsidRPr="00150ABA">
              <w:rPr>
                <w:noProof/>
                <w:sz w:val="22"/>
              </w:rPr>
              <w:t xml:space="preserve"> Other administrative expenditure </w:t>
            </w:r>
          </w:p>
        </w:tc>
        <w:tc>
          <w:tcPr>
            <w:tcW w:w="868" w:type="dxa"/>
            <w:vAlign w:val="center"/>
          </w:tcPr>
          <w:p w14:paraId="73915C36" w14:textId="77777777" w:rsidR="007D0D6D" w:rsidRPr="00150ABA" w:rsidRDefault="007D0D6D" w:rsidP="001F2A4B">
            <w:pPr>
              <w:spacing w:before="20" w:after="20"/>
              <w:jc w:val="right"/>
              <w:rPr>
                <w:b/>
                <w:noProof/>
                <w:sz w:val="20"/>
              </w:rPr>
            </w:pPr>
          </w:p>
        </w:tc>
        <w:tc>
          <w:tcPr>
            <w:tcW w:w="868" w:type="dxa"/>
            <w:vAlign w:val="center"/>
          </w:tcPr>
          <w:p w14:paraId="2A8B761C" w14:textId="77777777" w:rsidR="007D0D6D" w:rsidRPr="00150ABA" w:rsidRDefault="007D0D6D" w:rsidP="001F2A4B">
            <w:pPr>
              <w:spacing w:before="20" w:after="20"/>
              <w:jc w:val="right"/>
              <w:rPr>
                <w:b/>
                <w:noProof/>
                <w:sz w:val="20"/>
              </w:rPr>
            </w:pPr>
          </w:p>
        </w:tc>
        <w:tc>
          <w:tcPr>
            <w:tcW w:w="868" w:type="dxa"/>
            <w:vAlign w:val="center"/>
          </w:tcPr>
          <w:p w14:paraId="433ED8A1" w14:textId="77777777" w:rsidR="007D0D6D" w:rsidRPr="00150ABA" w:rsidRDefault="007D0D6D" w:rsidP="001F2A4B">
            <w:pPr>
              <w:spacing w:before="20" w:after="20"/>
              <w:jc w:val="right"/>
              <w:rPr>
                <w:b/>
                <w:noProof/>
                <w:sz w:val="20"/>
              </w:rPr>
            </w:pPr>
          </w:p>
        </w:tc>
        <w:tc>
          <w:tcPr>
            <w:tcW w:w="868" w:type="dxa"/>
            <w:vAlign w:val="center"/>
          </w:tcPr>
          <w:p w14:paraId="5D0964C4" w14:textId="77777777" w:rsidR="007D0D6D" w:rsidRPr="00150ABA" w:rsidRDefault="007D0D6D" w:rsidP="001F2A4B">
            <w:pPr>
              <w:spacing w:before="20" w:after="20"/>
              <w:jc w:val="right"/>
              <w:rPr>
                <w:b/>
                <w:noProof/>
                <w:sz w:val="20"/>
              </w:rPr>
            </w:pPr>
          </w:p>
        </w:tc>
        <w:tc>
          <w:tcPr>
            <w:tcW w:w="1777" w:type="dxa"/>
            <w:vAlign w:val="center"/>
          </w:tcPr>
          <w:p w14:paraId="4C6B8998" w14:textId="77777777" w:rsidR="007D0D6D" w:rsidRPr="00150ABA" w:rsidRDefault="007D0D6D" w:rsidP="001F2A4B">
            <w:pPr>
              <w:spacing w:before="20" w:after="20"/>
              <w:jc w:val="right"/>
              <w:rPr>
                <w:b/>
                <w:noProof/>
                <w:sz w:val="20"/>
              </w:rPr>
            </w:pPr>
          </w:p>
        </w:tc>
      </w:tr>
      <w:tr w:rsidR="007D0D6D" w:rsidRPr="00150ABA" w14:paraId="33A0BCEC" w14:textId="77777777" w:rsidTr="001F2A4B">
        <w:trPr>
          <w:jc w:val="center"/>
        </w:trPr>
        <w:tc>
          <w:tcPr>
            <w:tcW w:w="3960" w:type="dxa"/>
            <w:vAlign w:val="center"/>
          </w:tcPr>
          <w:p w14:paraId="5EF5628A" w14:textId="77777777" w:rsidR="007D0D6D" w:rsidRPr="00150ABA" w:rsidRDefault="007D0D6D" w:rsidP="001F2A4B">
            <w:pPr>
              <w:jc w:val="center"/>
              <w:rPr>
                <w:b/>
                <w:noProof/>
              </w:rPr>
            </w:pPr>
            <w:r w:rsidRPr="00150ABA">
              <w:rPr>
                <w:b/>
                <w:noProof/>
                <w:sz w:val="22"/>
              </w:rPr>
              <w:t>TOTAL DG JUST</w:t>
            </w:r>
          </w:p>
        </w:tc>
        <w:tc>
          <w:tcPr>
            <w:tcW w:w="2094" w:type="dxa"/>
            <w:gridSpan w:val="2"/>
            <w:vAlign w:val="center"/>
          </w:tcPr>
          <w:p w14:paraId="06D22B7E" w14:textId="77777777" w:rsidR="007D0D6D" w:rsidRPr="00150ABA" w:rsidRDefault="007D0D6D" w:rsidP="001F2A4B">
            <w:pPr>
              <w:rPr>
                <w:noProof/>
                <w:sz w:val="14"/>
              </w:rPr>
            </w:pPr>
            <w:r w:rsidRPr="00150ABA">
              <w:rPr>
                <w:noProof/>
                <w:sz w:val="18"/>
              </w:rPr>
              <w:t xml:space="preserve">Appropriations </w:t>
            </w:r>
          </w:p>
        </w:tc>
        <w:tc>
          <w:tcPr>
            <w:tcW w:w="868" w:type="dxa"/>
            <w:vAlign w:val="center"/>
          </w:tcPr>
          <w:p w14:paraId="47DB2EB4" w14:textId="77777777" w:rsidR="007D0D6D" w:rsidRPr="00150ABA" w:rsidRDefault="007D0D6D" w:rsidP="001F2A4B">
            <w:pPr>
              <w:spacing w:before="60" w:after="60"/>
              <w:jc w:val="right"/>
              <w:rPr>
                <w:noProof/>
                <w:sz w:val="20"/>
              </w:rPr>
            </w:pPr>
            <w:r w:rsidRPr="00150ABA">
              <w:rPr>
                <w:noProof/>
                <w:sz w:val="20"/>
              </w:rPr>
              <w:t>0.152</w:t>
            </w:r>
          </w:p>
        </w:tc>
        <w:tc>
          <w:tcPr>
            <w:tcW w:w="868" w:type="dxa"/>
            <w:vAlign w:val="center"/>
          </w:tcPr>
          <w:p w14:paraId="3E9B967E" w14:textId="77777777" w:rsidR="007D0D6D" w:rsidRPr="00150ABA" w:rsidRDefault="007D0D6D" w:rsidP="001F2A4B">
            <w:pPr>
              <w:spacing w:before="20" w:after="20"/>
              <w:jc w:val="right"/>
              <w:rPr>
                <w:noProof/>
                <w:sz w:val="20"/>
              </w:rPr>
            </w:pPr>
            <w:r w:rsidRPr="00150ABA">
              <w:rPr>
                <w:noProof/>
                <w:sz w:val="20"/>
              </w:rPr>
              <w:t>0.152</w:t>
            </w:r>
          </w:p>
        </w:tc>
        <w:tc>
          <w:tcPr>
            <w:tcW w:w="868" w:type="dxa"/>
            <w:vAlign w:val="center"/>
          </w:tcPr>
          <w:p w14:paraId="71E93736" w14:textId="77777777" w:rsidR="007D0D6D" w:rsidRPr="00150ABA" w:rsidRDefault="007D0D6D" w:rsidP="001F2A4B">
            <w:pPr>
              <w:spacing w:before="20" w:after="20"/>
              <w:jc w:val="right"/>
              <w:rPr>
                <w:noProof/>
                <w:sz w:val="20"/>
              </w:rPr>
            </w:pPr>
            <w:r w:rsidRPr="00150ABA">
              <w:rPr>
                <w:noProof/>
                <w:sz w:val="20"/>
              </w:rPr>
              <w:t>0.152</w:t>
            </w:r>
          </w:p>
        </w:tc>
        <w:tc>
          <w:tcPr>
            <w:tcW w:w="868" w:type="dxa"/>
            <w:vAlign w:val="center"/>
          </w:tcPr>
          <w:p w14:paraId="1AF811D9" w14:textId="77777777" w:rsidR="007D0D6D" w:rsidRPr="00150ABA" w:rsidRDefault="007D0D6D" w:rsidP="001F2A4B">
            <w:pPr>
              <w:spacing w:before="20" w:after="20"/>
              <w:jc w:val="right"/>
              <w:rPr>
                <w:noProof/>
                <w:sz w:val="20"/>
              </w:rPr>
            </w:pPr>
            <w:r w:rsidRPr="00150ABA">
              <w:rPr>
                <w:noProof/>
                <w:sz w:val="20"/>
              </w:rPr>
              <w:t>0.152</w:t>
            </w:r>
          </w:p>
        </w:tc>
        <w:tc>
          <w:tcPr>
            <w:tcW w:w="1777" w:type="dxa"/>
            <w:vAlign w:val="center"/>
          </w:tcPr>
          <w:p w14:paraId="39D175CB" w14:textId="77777777" w:rsidR="007D0D6D" w:rsidRPr="00150ABA" w:rsidRDefault="007D0D6D" w:rsidP="001F2A4B">
            <w:pPr>
              <w:spacing w:before="20" w:after="20"/>
              <w:jc w:val="right"/>
              <w:rPr>
                <w:b/>
                <w:noProof/>
                <w:sz w:val="20"/>
              </w:rPr>
            </w:pPr>
            <w:r w:rsidRPr="00150ABA">
              <w:rPr>
                <w:b/>
                <w:noProof/>
                <w:sz w:val="20"/>
              </w:rPr>
              <w:t>0.608</w:t>
            </w:r>
          </w:p>
        </w:tc>
      </w:tr>
    </w:tbl>
    <w:p w14:paraId="387C6AD9" w14:textId="77777777" w:rsidR="007D0D6D" w:rsidRPr="00150ABA" w:rsidRDefault="007D0D6D" w:rsidP="006F6F3C">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1777"/>
      </w:tblGrid>
      <w:tr w:rsidR="007D0D6D" w:rsidRPr="00150ABA" w14:paraId="33FA0154" w14:textId="77777777" w:rsidTr="001F2A4B">
        <w:trPr>
          <w:jc w:val="center"/>
        </w:trPr>
        <w:tc>
          <w:tcPr>
            <w:tcW w:w="3960" w:type="dxa"/>
            <w:shd w:val="thinDiagStripe" w:color="C0C0C0" w:fill="auto"/>
            <w:vAlign w:val="center"/>
          </w:tcPr>
          <w:p w14:paraId="181BDAC1" w14:textId="77777777" w:rsidR="007D0D6D" w:rsidRPr="00150ABA" w:rsidRDefault="007D0D6D" w:rsidP="001F2A4B">
            <w:pPr>
              <w:jc w:val="center"/>
              <w:rPr>
                <w:b/>
                <w:noProof/>
              </w:rPr>
            </w:pPr>
            <w:r w:rsidRPr="00150ABA">
              <w:rPr>
                <w:b/>
                <w:noProof/>
                <w:sz w:val="22"/>
              </w:rPr>
              <w:t>TOTAL appropriations</w:t>
            </w:r>
            <w:r w:rsidRPr="00150ABA">
              <w:rPr>
                <w:noProof/>
                <w:sz w:val="22"/>
              </w:rPr>
              <w:br/>
            </w:r>
            <w:r w:rsidRPr="00150ABA">
              <w:rPr>
                <w:b/>
                <w:noProof/>
                <w:sz w:val="22"/>
              </w:rPr>
              <w:t>under HEADING 7</w:t>
            </w:r>
            <w:r w:rsidRPr="00150ABA">
              <w:rPr>
                <w:noProof/>
                <w:sz w:val="22"/>
              </w:rPr>
              <w:br/>
              <w:t>of the multiannual financial framework</w:t>
            </w:r>
            <w:r w:rsidRPr="00150ABA">
              <w:rPr>
                <w:b/>
                <w:noProof/>
                <w:sz w:val="22"/>
              </w:rPr>
              <w:t xml:space="preserve"> </w:t>
            </w:r>
          </w:p>
        </w:tc>
        <w:tc>
          <w:tcPr>
            <w:tcW w:w="2094" w:type="dxa"/>
            <w:vAlign w:val="center"/>
          </w:tcPr>
          <w:p w14:paraId="7FA3E25F" w14:textId="77777777" w:rsidR="007D0D6D" w:rsidRPr="00150ABA" w:rsidRDefault="007D0D6D" w:rsidP="001F2A4B">
            <w:pPr>
              <w:spacing w:before="40" w:after="40"/>
              <w:rPr>
                <w:noProof/>
              </w:rPr>
            </w:pPr>
            <w:r w:rsidRPr="00150ABA">
              <w:rPr>
                <w:noProof/>
                <w:sz w:val="18"/>
              </w:rPr>
              <w:t>(Total commitments = Total payments)</w:t>
            </w:r>
          </w:p>
        </w:tc>
        <w:tc>
          <w:tcPr>
            <w:tcW w:w="868" w:type="dxa"/>
            <w:vAlign w:val="center"/>
          </w:tcPr>
          <w:p w14:paraId="4D30428F" w14:textId="77777777" w:rsidR="007D0D6D" w:rsidRPr="00150ABA" w:rsidRDefault="007D0D6D" w:rsidP="001F2A4B">
            <w:pPr>
              <w:spacing w:before="20" w:after="20"/>
              <w:jc w:val="right"/>
              <w:rPr>
                <w:noProof/>
                <w:sz w:val="20"/>
              </w:rPr>
            </w:pPr>
            <w:r w:rsidRPr="00150ABA">
              <w:rPr>
                <w:noProof/>
                <w:sz w:val="20"/>
              </w:rPr>
              <w:t>0.152</w:t>
            </w:r>
          </w:p>
        </w:tc>
        <w:tc>
          <w:tcPr>
            <w:tcW w:w="868" w:type="dxa"/>
            <w:vAlign w:val="center"/>
          </w:tcPr>
          <w:p w14:paraId="4F763F17" w14:textId="77777777" w:rsidR="007D0D6D" w:rsidRPr="00150ABA" w:rsidRDefault="007D0D6D" w:rsidP="001F2A4B">
            <w:pPr>
              <w:spacing w:before="20" w:after="20"/>
              <w:jc w:val="right"/>
              <w:rPr>
                <w:noProof/>
                <w:sz w:val="20"/>
              </w:rPr>
            </w:pPr>
            <w:r w:rsidRPr="00150ABA">
              <w:rPr>
                <w:noProof/>
                <w:sz w:val="20"/>
              </w:rPr>
              <w:t>0.152</w:t>
            </w:r>
          </w:p>
        </w:tc>
        <w:tc>
          <w:tcPr>
            <w:tcW w:w="868" w:type="dxa"/>
            <w:vAlign w:val="center"/>
          </w:tcPr>
          <w:p w14:paraId="065F38B7" w14:textId="77777777" w:rsidR="007D0D6D" w:rsidRPr="00150ABA" w:rsidRDefault="007D0D6D" w:rsidP="001F2A4B">
            <w:pPr>
              <w:spacing w:before="20" w:after="20"/>
              <w:jc w:val="right"/>
              <w:rPr>
                <w:noProof/>
                <w:sz w:val="20"/>
              </w:rPr>
            </w:pPr>
            <w:r w:rsidRPr="00150ABA">
              <w:rPr>
                <w:noProof/>
                <w:sz w:val="20"/>
              </w:rPr>
              <w:t>0.152</w:t>
            </w:r>
          </w:p>
        </w:tc>
        <w:tc>
          <w:tcPr>
            <w:tcW w:w="868" w:type="dxa"/>
            <w:vAlign w:val="center"/>
          </w:tcPr>
          <w:p w14:paraId="0E0F726A" w14:textId="77777777" w:rsidR="007D0D6D" w:rsidRPr="00150ABA" w:rsidRDefault="007D0D6D" w:rsidP="001F2A4B">
            <w:pPr>
              <w:spacing w:before="20" w:after="20"/>
              <w:jc w:val="right"/>
              <w:rPr>
                <w:noProof/>
                <w:sz w:val="20"/>
              </w:rPr>
            </w:pPr>
            <w:r w:rsidRPr="00150ABA">
              <w:rPr>
                <w:noProof/>
                <w:sz w:val="20"/>
              </w:rPr>
              <w:t>0.152</w:t>
            </w:r>
          </w:p>
        </w:tc>
        <w:tc>
          <w:tcPr>
            <w:tcW w:w="1777" w:type="dxa"/>
            <w:vAlign w:val="center"/>
          </w:tcPr>
          <w:p w14:paraId="01A50D40" w14:textId="77777777" w:rsidR="007D0D6D" w:rsidRPr="00150ABA" w:rsidRDefault="007D0D6D" w:rsidP="001F2A4B">
            <w:pPr>
              <w:spacing w:before="20" w:after="20"/>
              <w:jc w:val="right"/>
              <w:rPr>
                <w:b/>
                <w:noProof/>
                <w:sz w:val="20"/>
              </w:rPr>
            </w:pPr>
            <w:r w:rsidRPr="00150ABA">
              <w:rPr>
                <w:b/>
                <w:noProof/>
                <w:sz w:val="20"/>
              </w:rPr>
              <w:t>0.608</w:t>
            </w:r>
          </w:p>
        </w:tc>
      </w:tr>
    </w:tbl>
    <w:p w14:paraId="1911CC62" w14:textId="77777777" w:rsidR="007D0D6D" w:rsidRPr="00150ABA" w:rsidRDefault="007D0D6D" w:rsidP="006F6F3C">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7D0D6D" w:rsidRPr="00150ABA" w14:paraId="23E6A9D2" w14:textId="77777777" w:rsidTr="001F2A4B">
        <w:trPr>
          <w:jc w:val="center"/>
        </w:trPr>
        <w:tc>
          <w:tcPr>
            <w:tcW w:w="3960" w:type="dxa"/>
            <w:tcBorders>
              <w:top w:val="nil"/>
              <w:left w:val="nil"/>
              <w:right w:val="nil"/>
            </w:tcBorders>
            <w:vAlign w:val="center"/>
          </w:tcPr>
          <w:p w14:paraId="5ADA9AE9" w14:textId="77777777" w:rsidR="007D0D6D" w:rsidRPr="00150ABA" w:rsidRDefault="007D0D6D" w:rsidP="001F2A4B">
            <w:pPr>
              <w:jc w:val="center"/>
              <w:rPr>
                <w:noProof/>
              </w:rPr>
            </w:pPr>
          </w:p>
        </w:tc>
        <w:tc>
          <w:tcPr>
            <w:tcW w:w="1560" w:type="dxa"/>
            <w:tcBorders>
              <w:top w:val="nil"/>
              <w:left w:val="nil"/>
              <w:right w:val="nil"/>
            </w:tcBorders>
          </w:tcPr>
          <w:p w14:paraId="0F75D3E5" w14:textId="77777777" w:rsidR="007D0D6D" w:rsidRPr="00150ABA" w:rsidRDefault="007D0D6D" w:rsidP="001F2A4B">
            <w:pPr>
              <w:rPr>
                <w:noProof/>
                <w:sz w:val="20"/>
              </w:rPr>
            </w:pPr>
          </w:p>
        </w:tc>
        <w:tc>
          <w:tcPr>
            <w:tcW w:w="534" w:type="dxa"/>
            <w:tcBorders>
              <w:top w:val="nil"/>
              <w:left w:val="nil"/>
            </w:tcBorders>
          </w:tcPr>
          <w:p w14:paraId="364EC1EC" w14:textId="77777777" w:rsidR="007D0D6D" w:rsidRPr="00150ABA" w:rsidRDefault="007D0D6D" w:rsidP="001F2A4B">
            <w:pPr>
              <w:jc w:val="center"/>
              <w:rPr>
                <w:noProof/>
                <w:sz w:val="20"/>
              </w:rPr>
            </w:pPr>
          </w:p>
        </w:tc>
        <w:tc>
          <w:tcPr>
            <w:tcW w:w="868" w:type="dxa"/>
            <w:vAlign w:val="center"/>
          </w:tcPr>
          <w:p w14:paraId="06724A63" w14:textId="77777777" w:rsidR="007D0D6D" w:rsidRPr="00150ABA" w:rsidRDefault="007D0D6D" w:rsidP="001F2A4B">
            <w:pPr>
              <w:jc w:val="center"/>
              <w:rPr>
                <w:noProof/>
                <w:sz w:val="20"/>
              </w:rPr>
            </w:pPr>
            <w:r w:rsidRPr="00150ABA">
              <w:rPr>
                <w:noProof/>
                <w:sz w:val="20"/>
              </w:rPr>
              <w:t>Year</w:t>
            </w:r>
            <w:r w:rsidRPr="00150ABA">
              <w:rPr>
                <w:noProof/>
                <w:sz w:val="22"/>
              </w:rPr>
              <w:br/>
            </w:r>
            <w:r w:rsidRPr="00150ABA">
              <w:rPr>
                <w:b/>
                <w:noProof/>
                <w:sz w:val="20"/>
              </w:rPr>
              <w:t>2024</w:t>
            </w:r>
          </w:p>
        </w:tc>
        <w:tc>
          <w:tcPr>
            <w:tcW w:w="868" w:type="dxa"/>
            <w:vAlign w:val="center"/>
          </w:tcPr>
          <w:p w14:paraId="699C6EA9" w14:textId="77777777" w:rsidR="007D0D6D" w:rsidRPr="00150ABA" w:rsidRDefault="007D0D6D" w:rsidP="001F2A4B">
            <w:pPr>
              <w:jc w:val="center"/>
              <w:rPr>
                <w:noProof/>
                <w:sz w:val="20"/>
              </w:rPr>
            </w:pPr>
            <w:r w:rsidRPr="00150ABA">
              <w:rPr>
                <w:noProof/>
                <w:sz w:val="20"/>
              </w:rPr>
              <w:t>Year</w:t>
            </w:r>
            <w:r w:rsidRPr="00150ABA">
              <w:rPr>
                <w:noProof/>
                <w:sz w:val="22"/>
              </w:rPr>
              <w:br/>
            </w:r>
            <w:r w:rsidRPr="00150ABA">
              <w:rPr>
                <w:b/>
                <w:noProof/>
                <w:sz w:val="20"/>
              </w:rPr>
              <w:t>2025</w:t>
            </w:r>
          </w:p>
        </w:tc>
        <w:tc>
          <w:tcPr>
            <w:tcW w:w="868" w:type="dxa"/>
            <w:vAlign w:val="center"/>
          </w:tcPr>
          <w:p w14:paraId="314E3A2A" w14:textId="77777777" w:rsidR="007D0D6D" w:rsidRPr="00150ABA" w:rsidRDefault="007D0D6D" w:rsidP="001F2A4B">
            <w:pPr>
              <w:jc w:val="center"/>
              <w:rPr>
                <w:noProof/>
                <w:sz w:val="20"/>
              </w:rPr>
            </w:pPr>
            <w:r w:rsidRPr="00150ABA">
              <w:rPr>
                <w:noProof/>
                <w:sz w:val="20"/>
              </w:rPr>
              <w:t>Year</w:t>
            </w:r>
            <w:r w:rsidRPr="00150ABA">
              <w:rPr>
                <w:noProof/>
                <w:sz w:val="22"/>
              </w:rPr>
              <w:br/>
            </w:r>
            <w:r w:rsidRPr="00150ABA">
              <w:rPr>
                <w:b/>
                <w:noProof/>
                <w:sz w:val="20"/>
              </w:rPr>
              <w:t>2026</w:t>
            </w:r>
          </w:p>
        </w:tc>
        <w:tc>
          <w:tcPr>
            <w:tcW w:w="868" w:type="dxa"/>
            <w:vAlign w:val="center"/>
          </w:tcPr>
          <w:p w14:paraId="211A1EE6" w14:textId="77777777" w:rsidR="007D0D6D" w:rsidRPr="00150ABA" w:rsidRDefault="007D0D6D" w:rsidP="001F2A4B">
            <w:pPr>
              <w:jc w:val="center"/>
              <w:rPr>
                <w:noProof/>
                <w:sz w:val="20"/>
              </w:rPr>
            </w:pPr>
            <w:r w:rsidRPr="00150ABA">
              <w:rPr>
                <w:noProof/>
                <w:sz w:val="20"/>
              </w:rPr>
              <w:t>Year</w:t>
            </w:r>
            <w:r w:rsidRPr="00150ABA">
              <w:rPr>
                <w:noProof/>
                <w:sz w:val="22"/>
              </w:rPr>
              <w:br/>
            </w:r>
            <w:r w:rsidRPr="00150ABA">
              <w:rPr>
                <w:b/>
                <w:noProof/>
                <w:sz w:val="20"/>
              </w:rPr>
              <w:t>2027</w:t>
            </w:r>
          </w:p>
        </w:tc>
        <w:tc>
          <w:tcPr>
            <w:tcW w:w="1777" w:type="dxa"/>
            <w:vAlign w:val="center"/>
          </w:tcPr>
          <w:p w14:paraId="02201588" w14:textId="77777777" w:rsidR="007D0D6D" w:rsidRPr="00150ABA" w:rsidRDefault="007D0D6D" w:rsidP="001F2A4B">
            <w:pPr>
              <w:jc w:val="center"/>
              <w:rPr>
                <w:b/>
                <w:noProof/>
                <w:sz w:val="20"/>
              </w:rPr>
            </w:pPr>
            <w:r w:rsidRPr="00150ABA">
              <w:rPr>
                <w:b/>
                <w:noProof/>
                <w:sz w:val="20"/>
              </w:rPr>
              <w:t>TOTAL 2024-2027</w:t>
            </w:r>
          </w:p>
        </w:tc>
      </w:tr>
      <w:tr w:rsidR="007D0D6D" w:rsidRPr="00150ABA" w14:paraId="0CA4A166" w14:textId="77777777" w:rsidTr="001F2A4B">
        <w:trPr>
          <w:jc w:val="center"/>
        </w:trPr>
        <w:tc>
          <w:tcPr>
            <w:tcW w:w="3960" w:type="dxa"/>
            <w:vMerge w:val="restart"/>
            <w:shd w:val="clear" w:color="auto" w:fill="C0C0C0"/>
            <w:vAlign w:val="center"/>
          </w:tcPr>
          <w:p w14:paraId="630DA598" w14:textId="77777777" w:rsidR="007D0D6D" w:rsidRPr="00150ABA" w:rsidRDefault="007D0D6D" w:rsidP="001F2A4B">
            <w:pPr>
              <w:jc w:val="center"/>
              <w:rPr>
                <w:b/>
                <w:noProof/>
              </w:rPr>
            </w:pPr>
            <w:r w:rsidRPr="00150ABA">
              <w:rPr>
                <w:b/>
                <w:noProof/>
                <w:sz w:val="22"/>
              </w:rPr>
              <w:t xml:space="preserve">TOTAL appropriations </w:t>
            </w:r>
            <w:r w:rsidRPr="00150ABA">
              <w:rPr>
                <w:noProof/>
                <w:sz w:val="22"/>
              </w:rPr>
              <w:br/>
            </w:r>
            <w:r w:rsidRPr="00150ABA">
              <w:rPr>
                <w:b/>
                <w:noProof/>
                <w:sz w:val="22"/>
              </w:rPr>
              <w:t>under HEADINGS 1 to 7</w:t>
            </w:r>
            <w:r w:rsidRPr="00150ABA">
              <w:rPr>
                <w:noProof/>
                <w:sz w:val="22"/>
              </w:rPr>
              <w:br/>
              <w:t>of the multiannual financial framework</w:t>
            </w:r>
            <w:r w:rsidRPr="00150ABA">
              <w:rPr>
                <w:b/>
                <w:noProof/>
                <w:sz w:val="22"/>
              </w:rPr>
              <w:t xml:space="preserve"> </w:t>
            </w:r>
          </w:p>
        </w:tc>
        <w:tc>
          <w:tcPr>
            <w:tcW w:w="2094" w:type="dxa"/>
            <w:gridSpan w:val="2"/>
            <w:vAlign w:val="center"/>
          </w:tcPr>
          <w:p w14:paraId="1D96B3EE" w14:textId="77777777" w:rsidR="007D0D6D" w:rsidRPr="00150ABA" w:rsidRDefault="007D0D6D" w:rsidP="001F2A4B">
            <w:pPr>
              <w:rPr>
                <w:noProof/>
                <w:sz w:val="14"/>
              </w:rPr>
            </w:pPr>
            <w:r w:rsidRPr="00150ABA">
              <w:rPr>
                <w:noProof/>
                <w:sz w:val="18"/>
              </w:rPr>
              <w:t>Commitments</w:t>
            </w:r>
          </w:p>
        </w:tc>
        <w:tc>
          <w:tcPr>
            <w:tcW w:w="868" w:type="dxa"/>
          </w:tcPr>
          <w:p w14:paraId="398160AB" w14:textId="5CFB6FEB" w:rsidR="007D0D6D" w:rsidRPr="00150ABA" w:rsidRDefault="007D0D6D" w:rsidP="001F2A4B">
            <w:pPr>
              <w:spacing w:before="60" w:after="60"/>
              <w:jc w:val="right"/>
              <w:rPr>
                <w:noProof/>
                <w:sz w:val="20"/>
                <w:szCs w:val="20"/>
              </w:rPr>
            </w:pPr>
            <w:r w:rsidRPr="00150ABA">
              <w:rPr>
                <w:noProof/>
                <w:sz w:val="20"/>
                <w:szCs w:val="20"/>
              </w:rPr>
              <w:t>3.76</w:t>
            </w:r>
            <w:r w:rsidR="005E1965" w:rsidRPr="00150ABA">
              <w:rPr>
                <w:noProof/>
                <w:sz w:val="20"/>
                <w:szCs w:val="20"/>
              </w:rPr>
              <w:t>0</w:t>
            </w:r>
          </w:p>
        </w:tc>
        <w:tc>
          <w:tcPr>
            <w:tcW w:w="868" w:type="dxa"/>
          </w:tcPr>
          <w:p w14:paraId="3366443B" w14:textId="11723653" w:rsidR="007D0D6D" w:rsidRPr="00150ABA" w:rsidRDefault="007D0D6D" w:rsidP="005E1965">
            <w:pPr>
              <w:spacing w:before="60" w:after="60"/>
              <w:jc w:val="right"/>
              <w:rPr>
                <w:noProof/>
                <w:sz w:val="20"/>
                <w:szCs w:val="20"/>
              </w:rPr>
            </w:pPr>
            <w:r w:rsidRPr="00150ABA">
              <w:rPr>
                <w:noProof/>
                <w:sz w:val="20"/>
                <w:szCs w:val="20"/>
              </w:rPr>
              <w:t>7.1</w:t>
            </w:r>
            <w:r w:rsidR="005E1965" w:rsidRPr="00150ABA">
              <w:rPr>
                <w:noProof/>
                <w:sz w:val="20"/>
                <w:szCs w:val="20"/>
              </w:rPr>
              <w:t>04</w:t>
            </w:r>
          </w:p>
        </w:tc>
        <w:tc>
          <w:tcPr>
            <w:tcW w:w="868" w:type="dxa"/>
          </w:tcPr>
          <w:p w14:paraId="7554698A" w14:textId="1515DC44" w:rsidR="007D0D6D" w:rsidRPr="00150ABA" w:rsidRDefault="007D0D6D" w:rsidP="005E1965">
            <w:pPr>
              <w:spacing w:before="60" w:after="60"/>
              <w:jc w:val="right"/>
              <w:rPr>
                <w:noProof/>
                <w:sz w:val="20"/>
                <w:szCs w:val="20"/>
              </w:rPr>
            </w:pPr>
            <w:r w:rsidRPr="00150ABA">
              <w:rPr>
                <w:noProof/>
                <w:sz w:val="20"/>
                <w:szCs w:val="20"/>
              </w:rPr>
              <w:t>3.</w:t>
            </w:r>
            <w:r w:rsidR="005E1965" w:rsidRPr="00150ABA">
              <w:rPr>
                <w:noProof/>
                <w:sz w:val="20"/>
                <w:szCs w:val="20"/>
              </w:rPr>
              <w:t>57</w:t>
            </w:r>
            <w:r w:rsidRPr="00150ABA">
              <w:rPr>
                <w:noProof/>
                <w:sz w:val="20"/>
                <w:szCs w:val="20"/>
              </w:rPr>
              <w:t>8</w:t>
            </w:r>
          </w:p>
        </w:tc>
        <w:tc>
          <w:tcPr>
            <w:tcW w:w="868" w:type="dxa"/>
          </w:tcPr>
          <w:p w14:paraId="4261D8BB" w14:textId="17012500" w:rsidR="007D0D6D" w:rsidRPr="00150ABA" w:rsidRDefault="007D0D6D" w:rsidP="005E1965">
            <w:pPr>
              <w:spacing w:before="60" w:after="60"/>
              <w:jc w:val="right"/>
              <w:rPr>
                <w:noProof/>
                <w:sz w:val="20"/>
                <w:szCs w:val="20"/>
              </w:rPr>
            </w:pPr>
            <w:r w:rsidRPr="00150ABA">
              <w:rPr>
                <w:noProof/>
                <w:sz w:val="20"/>
                <w:szCs w:val="20"/>
              </w:rPr>
              <w:t>3.</w:t>
            </w:r>
            <w:r w:rsidR="005E1965" w:rsidRPr="00150ABA">
              <w:rPr>
                <w:noProof/>
                <w:sz w:val="20"/>
                <w:szCs w:val="20"/>
              </w:rPr>
              <w:t>751</w:t>
            </w:r>
          </w:p>
        </w:tc>
        <w:tc>
          <w:tcPr>
            <w:tcW w:w="1777" w:type="dxa"/>
          </w:tcPr>
          <w:p w14:paraId="3EC452AE" w14:textId="28CC95DC" w:rsidR="007D0D6D" w:rsidRPr="00150ABA" w:rsidRDefault="007D0D6D" w:rsidP="005E1965">
            <w:pPr>
              <w:spacing w:before="60" w:after="60"/>
              <w:jc w:val="right"/>
              <w:rPr>
                <w:b/>
                <w:noProof/>
                <w:sz w:val="20"/>
                <w:szCs w:val="20"/>
              </w:rPr>
            </w:pPr>
            <w:r w:rsidRPr="00150ABA">
              <w:rPr>
                <w:noProof/>
                <w:sz w:val="20"/>
                <w:szCs w:val="20"/>
              </w:rPr>
              <w:t>18.</w:t>
            </w:r>
            <w:r w:rsidR="005E1965" w:rsidRPr="00150ABA">
              <w:rPr>
                <w:noProof/>
                <w:sz w:val="20"/>
                <w:szCs w:val="20"/>
              </w:rPr>
              <w:t>19</w:t>
            </w:r>
            <w:r w:rsidRPr="00150ABA">
              <w:rPr>
                <w:noProof/>
                <w:sz w:val="20"/>
                <w:szCs w:val="20"/>
              </w:rPr>
              <w:t>3</w:t>
            </w:r>
          </w:p>
        </w:tc>
      </w:tr>
      <w:tr w:rsidR="007D0D6D" w:rsidRPr="00150ABA" w14:paraId="11BA7008" w14:textId="77777777" w:rsidTr="001F2A4B">
        <w:trPr>
          <w:jc w:val="center"/>
        </w:trPr>
        <w:tc>
          <w:tcPr>
            <w:tcW w:w="3960" w:type="dxa"/>
            <w:vMerge/>
            <w:vAlign w:val="center"/>
          </w:tcPr>
          <w:p w14:paraId="22D084C6" w14:textId="77777777" w:rsidR="007D0D6D" w:rsidRPr="00150ABA" w:rsidRDefault="007D0D6D" w:rsidP="001F2A4B">
            <w:pPr>
              <w:rPr>
                <w:b/>
                <w:noProof/>
              </w:rPr>
            </w:pPr>
          </w:p>
        </w:tc>
        <w:tc>
          <w:tcPr>
            <w:tcW w:w="2094" w:type="dxa"/>
            <w:gridSpan w:val="2"/>
            <w:vAlign w:val="center"/>
          </w:tcPr>
          <w:p w14:paraId="348254AE" w14:textId="77777777" w:rsidR="007D0D6D" w:rsidRPr="00150ABA" w:rsidRDefault="007D0D6D" w:rsidP="001F2A4B">
            <w:pPr>
              <w:rPr>
                <w:noProof/>
                <w:sz w:val="14"/>
              </w:rPr>
            </w:pPr>
            <w:r w:rsidRPr="00150ABA">
              <w:rPr>
                <w:noProof/>
                <w:sz w:val="18"/>
              </w:rPr>
              <w:t>Payments</w:t>
            </w:r>
          </w:p>
        </w:tc>
        <w:tc>
          <w:tcPr>
            <w:tcW w:w="868" w:type="dxa"/>
          </w:tcPr>
          <w:p w14:paraId="06F76C42" w14:textId="16B048DE" w:rsidR="007D0D6D" w:rsidRPr="00150ABA" w:rsidRDefault="007D0D6D" w:rsidP="001F2A4B">
            <w:pPr>
              <w:spacing w:before="60" w:after="60"/>
              <w:jc w:val="right"/>
              <w:rPr>
                <w:noProof/>
                <w:sz w:val="20"/>
                <w:szCs w:val="20"/>
              </w:rPr>
            </w:pPr>
            <w:r w:rsidRPr="00150ABA">
              <w:rPr>
                <w:noProof/>
                <w:sz w:val="20"/>
                <w:szCs w:val="20"/>
              </w:rPr>
              <w:t>0.76</w:t>
            </w:r>
            <w:r w:rsidR="005E1965" w:rsidRPr="00150ABA">
              <w:rPr>
                <w:noProof/>
                <w:sz w:val="20"/>
                <w:szCs w:val="20"/>
              </w:rPr>
              <w:t>0</w:t>
            </w:r>
          </w:p>
        </w:tc>
        <w:tc>
          <w:tcPr>
            <w:tcW w:w="868" w:type="dxa"/>
          </w:tcPr>
          <w:p w14:paraId="5D00D9AB" w14:textId="745E2B9E" w:rsidR="007D0D6D" w:rsidRPr="00150ABA" w:rsidRDefault="007D0D6D" w:rsidP="005E1965">
            <w:pPr>
              <w:spacing w:before="60" w:after="60"/>
              <w:jc w:val="right"/>
              <w:rPr>
                <w:noProof/>
                <w:sz w:val="20"/>
                <w:szCs w:val="20"/>
              </w:rPr>
            </w:pPr>
            <w:r w:rsidRPr="00150ABA">
              <w:rPr>
                <w:noProof/>
                <w:sz w:val="20"/>
                <w:szCs w:val="20"/>
              </w:rPr>
              <w:t>4.7</w:t>
            </w:r>
            <w:r w:rsidR="005E1965" w:rsidRPr="00150ABA">
              <w:rPr>
                <w:noProof/>
                <w:sz w:val="20"/>
                <w:szCs w:val="20"/>
              </w:rPr>
              <w:t>04</w:t>
            </w:r>
          </w:p>
        </w:tc>
        <w:tc>
          <w:tcPr>
            <w:tcW w:w="868" w:type="dxa"/>
          </w:tcPr>
          <w:p w14:paraId="04AB7015" w14:textId="7B4C0E3E" w:rsidR="007D0D6D" w:rsidRPr="00150ABA" w:rsidRDefault="005E1965" w:rsidP="005E1965">
            <w:pPr>
              <w:spacing w:before="60" w:after="60"/>
              <w:jc w:val="right"/>
              <w:rPr>
                <w:noProof/>
                <w:sz w:val="20"/>
                <w:szCs w:val="20"/>
              </w:rPr>
            </w:pPr>
            <w:r w:rsidRPr="00150ABA">
              <w:rPr>
                <w:noProof/>
                <w:sz w:val="20"/>
                <w:szCs w:val="20"/>
              </w:rPr>
              <w:t>8</w:t>
            </w:r>
            <w:r w:rsidR="007D0D6D" w:rsidRPr="00150ABA">
              <w:rPr>
                <w:noProof/>
                <w:sz w:val="20"/>
                <w:szCs w:val="20"/>
              </w:rPr>
              <w:t>.</w:t>
            </w:r>
            <w:r w:rsidRPr="00150ABA">
              <w:rPr>
                <w:noProof/>
                <w:sz w:val="20"/>
                <w:szCs w:val="20"/>
              </w:rPr>
              <w:t>97</w:t>
            </w:r>
            <w:r w:rsidR="007D0D6D" w:rsidRPr="00150ABA">
              <w:rPr>
                <w:noProof/>
                <w:sz w:val="20"/>
                <w:szCs w:val="20"/>
              </w:rPr>
              <w:t>8</w:t>
            </w:r>
          </w:p>
        </w:tc>
        <w:tc>
          <w:tcPr>
            <w:tcW w:w="868" w:type="dxa"/>
          </w:tcPr>
          <w:p w14:paraId="3FF78BE1" w14:textId="1DA4187F" w:rsidR="007D0D6D" w:rsidRPr="00150ABA" w:rsidRDefault="007D0D6D" w:rsidP="005E1965">
            <w:pPr>
              <w:spacing w:before="60" w:after="60"/>
              <w:jc w:val="right"/>
              <w:rPr>
                <w:noProof/>
                <w:sz w:val="20"/>
                <w:szCs w:val="20"/>
              </w:rPr>
            </w:pPr>
            <w:r w:rsidRPr="00150ABA">
              <w:rPr>
                <w:noProof/>
                <w:sz w:val="20"/>
                <w:szCs w:val="20"/>
              </w:rPr>
              <w:t>3.</w:t>
            </w:r>
            <w:r w:rsidR="005E1965" w:rsidRPr="00150ABA">
              <w:rPr>
                <w:noProof/>
                <w:sz w:val="20"/>
                <w:szCs w:val="20"/>
              </w:rPr>
              <w:t>751</w:t>
            </w:r>
          </w:p>
        </w:tc>
        <w:tc>
          <w:tcPr>
            <w:tcW w:w="1777" w:type="dxa"/>
          </w:tcPr>
          <w:p w14:paraId="16BDFDB3" w14:textId="222C620C" w:rsidR="007D0D6D" w:rsidRPr="00150ABA" w:rsidRDefault="007D0D6D" w:rsidP="005E1965">
            <w:pPr>
              <w:spacing w:before="60" w:after="60"/>
              <w:jc w:val="right"/>
              <w:rPr>
                <w:b/>
                <w:noProof/>
                <w:sz w:val="20"/>
                <w:szCs w:val="20"/>
              </w:rPr>
            </w:pPr>
            <w:r w:rsidRPr="00150ABA">
              <w:rPr>
                <w:noProof/>
                <w:sz w:val="20"/>
                <w:szCs w:val="20"/>
              </w:rPr>
              <w:t>18.</w:t>
            </w:r>
            <w:r w:rsidR="005E1965" w:rsidRPr="00150ABA">
              <w:rPr>
                <w:noProof/>
                <w:sz w:val="20"/>
                <w:szCs w:val="20"/>
              </w:rPr>
              <w:t>19</w:t>
            </w:r>
            <w:r w:rsidRPr="00150ABA">
              <w:rPr>
                <w:noProof/>
                <w:sz w:val="20"/>
                <w:szCs w:val="20"/>
              </w:rPr>
              <w:t>3</w:t>
            </w:r>
          </w:p>
        </w:tc>
      </w:tr>
    </w:tbl>
    <w:p w14:paraId="386898A1" w14:textId="77777777" w:rsidR="007D0D6D" w:rsidRPr="00150ABA" w:rsidRDefault="007D0D6D" w:rsidP="006F6F3C">
      <w:pPr>
        <w:rPr>
          <w:noProof/>
        </w:rPr>
      </w:pPr>
    </w:p>
    <w:p w14:paraId="1FB43B65" w14:textId="77777777" w:rsidR="007D0D6D" w:rsidRPr="00150ABA" w:rsidRDefault="007D0D6D" w:rsidP="006F6F3C">
      <w:pPr>
        <w:rPr>
          <w:noProof/>
        </w:rPr>
      </w:pPr>
    </w:p>
    <w:p w14:paraId="6057628A" w14:textId="77777777" w:rsidR="007D0D6D" w:rsidRPr="00150ABA" w:rsidRDefault="007D0D6D" w:rsidP="006F6F3C">
      <w:pPr>
        <w:rPr>
          <w:noProof/>
        </w:rPr>
      </w:pPr>
    </w:p>
    <w:p w14:paraId="136C219A" w14:textId="08E741A4" w:rsidR="007D0D6D" w:rsidRPr="00150ABA" w:rsidRDefault="00D76D82" w:rsidP="00D76D82">
      <w:pPr>
        <w:pStyle w:val="ManualHeading3"/>
        <w:rPr>
          <w:bCs/>
          <w:noProof/>
          <w:szCs w:val="24"/>
        </w:rPr>
      </w:pPr>
      <w:bookmarkStart w:id="29" w:name="_Toc85196971"/>
      <w:r w:rsidRPr="00D76D82">
        <w:t>3.2.2.</w:t>
      </w:r>
      <w:r w:rsidRPr="00D76D82">
        <w:tab/>
      </w:r>
      <w:r w:rsidR="007D0D6D" w:rsidRPr="00150ABA">
        <w:rPr>
          <w:noProof/>
        </w:rPr>
        <w:t>Estimated impact on Eurojust's appropriations</w:t>
      </w:r>
      <w:bookmarkEnd w:id="29"/>
      <w:r w:rsidR="007D0D6D" w:rsidRPr="00150ABA">
        <w:rPr>
          <w:noProof/>
        </w:rPr>
        <w:t xml:space="preserve"> </w:t>
      </w:r>
    </w:p>
    <w:p w14:paraId="3651BFC7" w14:textId="77777777" w:rsidR="007D0D6D" w:rsidRPr="00150ABA" w:rsidRDefault="007D0D6D" w:rsidP="008326C2">
      <w:pPr>
        <w:pStyle w:val="ListDash1"/>
        <w:numPr>
          <w:ilvl w:val="0"/>
          <w:numId w:val="16"/>
        </w:numPr>
        <w:rPr>
          <w:noProof/>
        </w:rPr>
      </w:pPr>
      <w:r w:rsidRPr="00150ABA">
        <w:rPr>
          <w:noProof/>
        </w:rPr>
        <w:sym w:font="Wingdings" w:char="F0A8"/>
      </w:r>
      <w:r w:rsidRPr="00150ABA">
        <w:rPr>
          <w:noProof/>
        </w:rPr>
        <w:tab/>
        <w:t xml:space="preserve">The proposal/initiative does not require the use of operational appropriations </w:t>
      </w:r>
    </w:p>
    <w:p w14:paraId="7936FCEC" w14:textId="77777777" w:rsidR="007D0D6D" w:rsidRPr="00150ABA" w:rsidRDefault="007D0D6D" w:rsidP="008326C2">
      <w:pPr>
        <w:pStyle w:val="ListDash1"/>
        <w:numPr>
          <w:ilvl w:val="0"/>
          <w:numId w:val="16"/>
        </w:numPr>
        <w:rPr>
          <w:noProof/>
        </w:rPr>
      </w:pPr>
      <w:r w:rsidRPr="00150ABA">
        <w:rPr>
          <w:noProof/>
        </w:rPr>
        <w:sym w:font="Wingdings" w:char="F0FE"/>
      </w:r>
      <w:r w:rsidRPr="00150ABA">
        <w:rPr>
          <w:noProof/>
        </w:rPr>
        <w:tab/>
        <w:t>The proposal/initiative requires the use of operational appropriations, as explained below:</w:t>
      </w:r>
    </w:p>
    <w:p w14:paraId="4D91DC73" w14:textId="77777777" w:rsidR="00A728BA" w:rsidRPr="00150ABA" w:rsidRDefault="00A728BA" w:rsidP="00451258">
      <w:pPr>
        <w:rPr>
          <w:noProof/>
          <w:szCs w:val="24"/>
        </w:rPr>
      </w:pPr>
    </w:p>
    <w:p w14:paraId="6FC30536" w14:textId="77777777" w:rsidR="007D0D6D" w:rsidRPr="00150ABA" w:rsidRDefault="00A728BA" w:rsidP="007D0D6D">
      <w:pPr>
        <w:jc w:val="right"/>
        <w:rPr>
          <w:noProof/>
          <w:sz w:val="20"/>
        </w:rPr>
      </w:pPr>
      <w:r w:rsidRPr="00150ABA">
        <w:rPr>
          <w:noProof/>
          <w:sz w:val="20"/>
        </w:rPr>
        <w:t>Commitment appropriations in EUR mi</w:t>
      </w:r>
      <w:r w:rsidR="007D0D6D" w:rsidRPr="00150ABA">
        <w:rPr>
          <w:noProof/>
          <w:sz w:val="20"/>
        </w:rPr>
        <w:t>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9"/>
        <w:gridCol w:w="753"/>
        <w:gridCol w:w="734"/>
        <w:gridCol w:w="527"/>
        <w:gridCol w:w="754"/>
        <w:gridCol w:w="565"/>
        <w:gridCol w:w="753"/>
        <w:gridCol w:w="753"/>
        <w:gridCol w:w="754"/>
        <w:gridCol w:w="825"/>
        <w:gridCol w:w="870"/>
        <w:gridCol w:w="753"/>
        <w:gridCol w:w="942"/>
      </w:tblGrid>
      <w:tr w:rsidR="007D0D6D" w:rsidRPr="00150ABA" w14:paraId="4612BE8A" w14:textId="77777777" w:rsidTr="007D0D6D">
        <w:trPr>
          <w:trHeight w:val="708"/>
          <w:jc w:val="center"/>
        </w:trPr>
        <w:tc>
          <w:tcPr>
            <w:tcW w:w="1489" w:type="dxa"/>
            <w:vMerge w:val="restart"/>
            <w:vAlign w:val="center"/>
          </w:tcPr>
          <w:p w14:paraId="27ABD5DD" w14:textId="77777777" w:rsidR="007D0D6D" w:rsidRPr="00150ABA" w:rsidRDefault="007D0D6D" w:rsidP="007D0D6D">
            <w:pPr>
              <w:ind w:right="-29"/>
              <w:jc w:val="center"/>
              <w:rPr>
                <w:b/>
                <w:noProof/>
                <w:sz w:val="18"/>
                <w:lang w:eastAsia="en-GB"/>
              </w:rPr>
            </w:pPr>
            <w:r w:rsidRPr="00150ABA">
              <w:rPr>
                <w:b/>
                <w:noProof/>
                <w:sz w:val="18"/>
                <w:lang w:eastAsia="en-GB"/>
              </w:rPr>
              <w:t xml:space="preserve">Indicate objectives and outputs </w:t>
            </w:r>
          </w:p>
          <w:p w14:paraId="063852D6" w14:textId="77777777" w:rsidR="007D0D6D" w:rsidRPr="00150ABA" w:rsidRDefault="007D0D6D" w:rsidP="007D0D6D">
            <w:pPr>
              <w:ind w:right="-29"/>
              <w:jc w:val="center"/>
              <w:rPr>
                <w:b/>
                <w:noProof/>
                <w:sz w:val="18"/>
                <w:lang w:eastAsia="en-GB"/>
              </w:rPr>
            </w:pPr>
            <w:r w:rsidRPr="00150ABA">
              <w:rPr>
                <w:b/>
                <w:noProof/>
                <w:sz w:val="18"/>
                <w:lang w:eastAsia="en-GB"/>
              </w:rPr>
              <w:t>Eurojust</w:t>
            </w:r>
          </w:p>
          <w:p w14:paraId="39CE7D29" w14:textId="77777777" w:rsidR="007D0D6D" w:rsidRPr="00150ABA" w:rsidRDefault="007D0D6D" w:rsidP="007D0D6D">
            <w:pPr>
              <w:ind w:right="-29"/>
              <w:jc w:val="center"/>
              <w:rPr>
                <w:b/>
                <w:noProof/>
                <w:sz w:val="18"/>
                <w:lang w:eastAsia="en-GB"/>
              </w:rPr>
            </w:pPr>
          </w:p>
          <w:p w14:paraId="41A4682F" w14:textId="77777777" w:rsidR="007D0D6D" w:rsidRPr="00150ABA" w:rsidRDefault="007D0D6D" w:rsidP="007D0D6D">
            <w:pPr>
              <w:ind w:right="-29"/>
              <w:jc w:val="center"/>
              <w:rPr>
                <w:noProof/>
                <w:sz w:val="18"/>
                <w:lang w:eastAsia="en-GB"/>
              </w:rPr>
            </w:pPr>
            <w:r w:rsidRPr="00150ABA">
              <w:rPr>
                <w:noProof/>
                <w:sz w:val="18"/>
                <w:lang w:eastAsia="en-GB"/>
              </w:rPr>
              <w:sym w:font="Wingdings" w:char="F0F2"/>
            </w:r>
          </w:p>
        </w:tc>
        <w:tc>
          <w:tcPr>
            <w:tcW w:w="753" w:type="dxa"/>
            <w:vAlign w:val="center"/>
          </w:tcPr>
          <w:p w14:paraId="5B3DA831" w14:textId="77777777" w:rsidR="007D0D6D" w:rsidRPr="00150ABA" w:rsidRDefault="007D0D6D" w:rsidP="007D0D6D">
            <w:pPr>
              <w:ind w:right="-29"/>
              <w:jc w:val="center"/>
              <w:rPr>
                <w:noProof/>
                <w:sz w:val="18"/>
                <w:lang w:eastAsia="en-GB"/>
              </w:rPr>
            </w:pPr>
          </w:p>
        </w:tc>
        <w:tc>
          <w:tcPr>
            <w:tcW w:w="733" w:type="dxa"/>
            <w:vAlign w:val="center"/>
          </w:tcPr>
          <w:p w14:paraId="676A46D3" w14:textId="77777777" w:rsidR="007D0D6D" w:rsidRPr="00150ABA" w:rsidRDefault="007D0D6D" w:rsidP="007D0D6D">
            <w:pPr>
              <w:ind w:right="-29"/>
              <w:jc w:val="center"/>
              <w:rPr>
                <w:noProof/>
                <w:sz w:val="18"/>
                <w:lang w:eastAsia="en-GB"/>
              </w:rPr>
            </w:pPr>
          </w:p>
        </w:tc>
        <w:tc>
          <w:tcPr>
            <w:tcW w:w="1281" w:type="dxa"/>
            <w:gridSpan w:val="2"/>
            <w:tcBorders>
              <w:left w:val="nil"/>
            </w:tcBorders>
            <w:vAlign w:val="center"/>
          </w:tcPr>
          <w:p w14:paraId="732C037C" w14:textId="77777777" w:rsidR="007D0D6D" w:rsidRPr="00150ABA" w:rsidRDefault="007D0D6D" w:rsidP="007D0D6D">
            <w:pPr>
              <w:ind w:right="-29"/>
              <w:jc w:val="center"/>
              <w:rPr>
                <w:noProof/>
                <w:sz w:val="18"/>
                <w:lang w:eastAsia="en-GB"/>
              </w:rPr>
            </w:pPr>
            <w:r w:rsidRPr="00150ABA">
              <w:rPr>
                <w:noProof/>
                <w:sz w:val="20"/>
                <w:lang w:eastAsia="en-GB"/>
              </w:rPr>
              <w:t>Year</w:t>
            </w:r>
            <w:r w:rsidRPr="00150ABA">
              <w:rPr>
                <w:noProof/>
                <w:sz w:val="22"/>
                <w:lang w:eastAsia="en-GB"/>
              </w:rPr>
              <w:br/>
            </w:r>
            <w:r w:rsidRPr="00150ABA">
              <w:rPr>
                <w:b/>
                <w:noProof/>
                <w:sz w:val="20"/>
                <w:lang w:eastAsia="en-GB"/>
              </w:rPr>
              <w:t>2024</w:t>
            </w:r>
          </w:p>
        </w:tc>
        <w:tc>
          <w:tcPr>
            <w:tcW w:w="1318" w:type="dxa"/>
            <w:gridSpan w:val="2"/>
            <w:vAlign w:val="center"/>
          </w:tcPr>
          <w:p w14:paraId="7A8EAF65" w14:textId="77777777" w:rsidR="007D0D6D" w:rsidRPr="00150ABA" w:rsidRDefault="007D0D6D" w:rsidP="007D0D6D">
            <w:pPr>
              <w:ind w:right="-29"/>
              <w:jc w:val="center"/>
              <w:rPr>
                <w:noProof/>
                <w:sz w:val="18"/>
                <w:lang w:eastAsia="en-GB"/>
              </w:rPr>
            </w:pPr>
            <w:r w:rsidRPr="00150ABA">
              <w:rPr>
                <w:noProof/>
                <w:sz w:val="20"/>
                <w:lang w:eastAsia="en-GB"/>
              </w:rPr>
              <w:t>Year</w:t>
            </w:r>
            <w:r w:rsidRPr="00150ABA">
              <w:rPr>
                <w:noProof/>
                <w:sz w:val="22"/>
                <w:lang w:eastAsia="en-GB"/>
              </w:rPr>
              <w:br/>
            </w:r>
            <w:r w:rsidRPr="00150ABA">
              <w:rPr>
                <w:b/>
                <w:noProof/>
                <w:sz w:val="20"/>
                <w:lang w:eastAsia="en-GB"/>
              </w:rPr>
              <w:t>2025</w:t>
            </w:r>
          </w:p>
        </w:tc>
        <w:tc>
          <w:tcPr>
            <w:tcW w:w="1507" w:type="dxa"/>
            <w:gridSpan w:val="2"/>
            <w:vAlign w:val="center"/>
          </w:tcPr>
          <w:p w14:paraId="4EEB9F91" w14:textId="77777777" w:rsidR="007D0D6D" w:rsidRPr="00150ABA" w:rsidRDefault="007D0D6D" w:rsidP="007D0D6D">
            <w:pPr>
              <w:ind w:right="-29"/>
              <w:jc w:val="center"/>
              <w:rPr>
                <w:noProof/>
                <w:sz w:val="18"/>
                <w:lang w:eastAsia="en-GB"/>
              </w:rPr>
            </w:pPr>
            <w:r w:rsidRPr="00150ABA">
              <w:rPr>
                <w:noProof/>
                <w:sz w:val="20"/>
                <w:lang w:eastAsia="en-GB"/>
              </w:rPr>
              <w:t>Year</w:t>
            </w:r>
            <w:r w:rsidRPr="00150ABA">
              <w:rPr>
                <w:noProof/>
                <w:sz w:val="22"/>
                <w:lang w:eastAsia="en-GB"/>
              </w:rPr>
              <w:br/>
            </w:r>
            <w:r w:rsidRPr="00150ABA">
              <w:rPr>
                <w:b/>
                <w:noProof/>
                <w:sz w:val="20"/>
                <w:lang w:eastAsia="en-GB"/>
              </w:rPr>
              <w:t>2026</w:t>
            </w:r>
          </w:p>
        </w:tc>
        <w:tc>
          <w:tcPr>
            <w:tcW w:w="1695" w:type="dxa"/>
            <w:gridSpan w:val="2"/>
            <w:vAlign w:val="center"/>
          </w:tcPr>
          <w:p w14:paraId="40554A7A" w14:textId="77777777" w:rsidR="007D0D6D" w:rsidRPr="00150ABA" w:rsidRDefault="007D0D6D" w:rsidP="007D0D6D">
            <w:pPr>
              <w:ind w:right="-29"/>
              <w:jc w:val="center"/>
              <w:rPr>
                <w:noProof/>
                <w:sz w:val="18"/>
                <w:lang w:eastAsia="en-GB"/>
              </w:rPr>
            </w:pPr>
            <w:r w:rsidRPr="00150ABA">
              <w:rPr>
                <w:noProof/>
                <w:sz w:val="20"/>
                <w:lang w:eastAsia="en-GB"/>
              </w:rPr>
              <w:t>Year</w:t>
            </w:r>
            <w:r w:rsidRPr="00150ABA">
              <w:rPr>
                <w:noProof/>
                <w:sz w:val="22"/>
                <w:lang w:eastAsia="en-GB"/>
              </w:rPr>
              <w:br/>
            </w:r>
            <w:r w:rsidRPr="00150ABA">
              <w:rPr>
                <w:b/>
                <w:noProof/>
                <w:sz w:val="20"/>
                <w:lang w:eastAsia="en-GB"/>
              </w:rPr>
              <w:t>2027</w:t>
            </w:r>
          </w:p>
        </w:tc>
        <w:tc>
          <w:tcPr>
            <w:tcW w:w="1695" w:type="dxa"/>
            <w:gridSpan w:val="2"/>
            <w:tcBorders>
              <w:left w:val="nil"/>
              <w:bottom w:val="single" w:sz="4" w:space="0" w:color="auto"/>
            </w:tcBorders>
            <w:vAlign w:val="center"/>
          </w:tcPr>
          <w:p w14:paraId="23170B21" w14:textId="77777777" w:rsidR="007D0D6D" w:rsidRPr="00150ABA" w:rsidRDefault="007D0D6D" w:rsidP="007D0D6D">
            <w:pPr>
              <w:ind w:right="-29"/>
              <w:jc w:val="center"/>
              <w:rPr>
                <w:noProof/>
                <w:sz w:val="18"/>
                <w:lang w:eastAsia="en-GB"/>
              </w:rPr>
            </w:pPr>
            <w:r w:rsidRPr="00150ABA">
              <w:rPr>
                <w:b/>
                <w:noProof/>
                <w:sz w:val="18"/>
                <w:lang w:eastAsia="en-GB"/>
              </w:rPr>
              <w:t>TOTAL 2024-2027</w:t>
            </w:r>
          </w:p>
        </w:tc>
      </w:tr>
      <w:tr w:rsidR="007D0D6D" w:rsidRPr="00150ABA" w14:paraId="0D647B43" w14:textId="77777777" w:rsidTr="007D0D6D">
        <w:trPr>
          <w:gridAfter w:val="12"/>
          <w:wAfter w:w="8982" w:type="dxa"/>
          <w:trHeight w:val="457"/>
          <w:jc w:val="center"/>
        </w:trPr>
        <w:tc>
          <w:tcPr>
            <w:tcW w:w="1489" w:type="dxa"/>
            <w:vMerge/>
            <w:vAlign w:val="center"/>
          </w:tcPr>
          <w:p w14:paraId="58248DE5" w14:textId="77777777" w:rsidR="007D0D6D" w:rsidRPr="00150ABA" w:rsidRDefault="007D0D6D" w:rsidP="007D0D6D">
            <w:pPr>
              <w:rPr>
                <w:noProof/>
                <w:sz w:val="18"/>
                <w:lang w:eastAsia="en-GB"/>
              </w:rPr>
            </w:pPr>
          </w:p>
        </w:tc>
      </w:tr>
      <w:tr w:rsidR="007D0D6D" w:rsidRPr="00150ABA" w14:paraId="482AF793" w14:textId="77777777" w:rsidTr="007D0D6D">
        <w:trPr>
          <w:cantSplit/>
          <w:trHeight w:val="1159"/>
          <w:jc w:val="center"/>
        </w:trPr>
        <w:tc>
          <w:tcPr>
            <w:tcW w:w="1489" w:type="dxa"/>
            <w:vMerge/>
            <w:vAlign w:val="center"/>
          </w:tcPr>
          <w:p w14:paraId="62D9707C" w14:textId="77777777" w:rsidR="007D0D6D" w:rsidRPr="00150ABA" w:rsidRDefault="007D0D6D" w:rsidP="007D0D6D">
            <w:pPr>
              <w:rPr>
                <w:noProof/>
                <w:sz w:val="18"/>
                <w:lang w:eastAsia="en-GB"/>
              </w:rPr>
            </w:pPr>
          </w:p>
        </w:tc>
        <w:tc>
          <w:tcPr>
            <w:tcW w:w="753" w:type="dxa"/>
            <w:vAlign w:val="center"/>
          </w:tcPr>
          <w:p w14:paraId="4ABD3943" w14:textId="77777777" w:rsidR="007D0D6D" w:rsidRPr="00150ABA" w:rsidRDefault="007D0D6D" w:rsidP="007D0D6D">
            <w:pPr>
              <w:jc w:val="center"/>
              <w:rPr>
                <w:noProof/>
                <w:sz w:val="18"/>
                <w:lang w:eastAsia="en-GB"/>
              </w:rPr>
            </w:pPr>
            <w:r w:rsidRPr="00150ABA">
              <w:rPr>
                <w:noProof/>
                <w:sz w:val="18"/>
                <w:lang w:eastAsia="en-GB"/>
              </w:rPr>
              <w:t>Type</w:t>
            </w:r>
          </w:p>
        </w:tc>
        <w:tc>
          <w:tcPr>
            <w:tcW w:w="733" w:type="dxa"/>
            <w:vAlign w:val="center"/>
          </w:tcPr>
          <w:p w14:paraId="584A8E9D" w14:textId="77777777" w:rsidR="007D0D6D" w:rsidRPr="00150ABA" w:rsidRDefault="007D0D6D" w:rsidP="007D0D6D">
            <w:pPr>
              <w:jc w:val="center"/>
              <w:rPr>
                <w:noProof/>
                <w:lang w:eastAsia="en-GB"/>
              </w:rPr>
            </w:pPr>
            <w:r w:rsidRPr="00150ABA">
              <w:rPr>
                <w:noProof/>
                <w:sz w:val="18"/>
                <w:lang w:eastAsia="en-GB"/>
              </w:rPr>
              <w:t>Average cost</w:t>
            </w:r>
          </w:p>
        </w:tc>
        <w:tc>
          <w:tcPr>
            <w:tcW w:w="527" w:type="dxa"/>
            <w:tcBorders>
              <w:left w:val="nil"/>
              <w:right w:val="dashSmallGap" w:sz="4" w:space="0" w:color="auto"/>
            </w:tcBorders>
            <w:shd w:val="pct10" w:color="auto" w:fill="auto"/>
            <w:textDirection w:val="btLr"/>
            <w:vAlign w:val="center"/>
          </w:tcPr>
          <w:p w14:paraId="3F4DFD9E" w14:textId="77777777" w:rsidR="007D0D6D" w:rsidRPr="00150ABA" w:rsidRDefault="007D0D6D" w:rsidP="007D0D6D">
            <w:pPr>
              <w:ind w:left="113" w:right="113"/>
              <w:jc w:val="center"/>
              <w:rPr>
                <w:noProof/>
                <w:lang w:eastAsia="en-GB"/>
              </w:rPr>
            </w:pPr>
            <w:r w:rsidRPr="00150ABA">
              <w:rPr>
                <w:noProof/>
                <w:sz w:val="18"/>
                <w:lang w:eastAsia="en-GB"/>
              </w:rPr>
              <w:t>No</w:t>
            </w:r>
          </w:p>
        </w:tc>
        <w:tc>
          <w:tcPr>
            <w:tcW w:w="753" w:type="dxa"/>
            <w:tcBorders>
              <w:left w:val="dashSmallGap" w:sz="4" w:space="0" w:color="auto"/>
            </w:tcBorders>
            <w:shd w:val="pct10" w:color="auto" w:fill="auto"/>
            <w:vAlign w:val="center"/>
          </w:tcPr>
          <w:p w14:paraId="2E077569" w14:textId="77777777" w:rsidR="007D0D6D" w:rsidRPr="00150ABA" w:rsidRDefault="007D0D6D" w:rsidP="007D0D6D">
            <w:pPr>
              <w:jc w:val="center"/>
              <w:rPr>
                <w:noProof/>
                <w:sz w:val="18"/>
                <w:lang w:eastAsia="en-GB"/>
              </w:rPr>
            </w:pPr>
            <w:r w:rsidRPr="00150ABA">
              <w:rPr>
                <w:noProof/>
                <w:sz w:val="18"/>
                <w:lang w:eastAsia="en-GB"/>
              </w:rPr>
              <w:t>Cost</w:t>
            </w:r>
          </w:p>
        </w:tc>
        <w:tc>
          <w:tcPr>
            <w:tcW w:w="565" w:type="dxa"/>
            <w:tcBorders>
              <w:right w:val="dashSmallGap" w:sz="4" w:space="0" w:color="auto"/>
            </w:tcBorders>
            <w:shd w:val="pct10" w:color="auto" w:fill="auto"/>
            <w:textDirection w:val="btLr"/>
            <w:vAlign w:val="center"/>
          </w:tcPr>
          <w:p w14:paraId="6F2FFCE8" w14:textId="77777777" w:rsidR="007D0D6D" w:rsidRPr="00150ABA" w:rsidRDefault="007D0D6D" w:rsidP="007D0D6D">
            <w:pPr>
              <w:ind w:left="113" w:right="113"/>
              <w:jc w:val="center"/>
              <w:rPr>
                <w:noProof/>
                <w:lang w:eastAsia="en-GB"/>
              </w:rPr>
            </w:pPr>
            <w:r w:rsidRPr="00150ABA">
              <w:rPr>
                <w:noProof/>
                <w:sz w:val="18"/>
                <w:lang w:eastAsia="en-GB"/>
              </w:rPr>
              <w:t>No</w:t>
            </w:r>
          </w:p>
        </w:tc>
        <w:tc>
          <w:tcPr>
            <w:tcW w:w="753" w:type="dxa"/>
            <w:tcBorders>
              <w:left w:val="dashSmallGap" w:sz="4" w:space="0" w:color="auto"/>
            </w:tcBorders>
            <w:shd w:val="pct10" w:color="auto" w:fill="auto"/>
            <w:vAlign w:val="center"/>
          </w:tcPr>
          <w:p w14:paraId="1F06403A" w14:textId="77777777" w:rsidR="007D0D6D" w:rsidRPr="00150ABA" w:rsidRDefault="007D0D6D" w:rsidP="007D0D6D">
            <w:pPr>
              <w:jc w:val="center"/>
              <w:rPr>
                <w:noProof/>
                <w:sz w:val="18"/>
                <w:lang w:eastAsia="en-GB"/>
              </w:rPr>
            </w:pPr>
            <w:r w:rsidRPr="00150ABA">
              <w:rPr>
                <w:noProof/>
                <w:sz w:val="18"/>
                <w:lang w:eastAsia="en-GB"/>
              </w:rPr>
              <w:t>Cost</w:t>
            </w:r>
          </w:p>
        </w:tc>
        <w:tc>
          <w:tcPr>
            <w:tcW w:w="753" w:type="dxa"/>
            <w:tcBorders>
              <w:right w:val="dashSmallGap" w:sz="4" w:space="0" w:color="auto"/>
            </w:tcBorders>
            <w:shd w:val="pct10" w:color="auto" w:fill="auto"/>
            <w:textDirection w:val="btLr"/>
            <w:vAlign w:val="center"/>
          </w:tcPr>
          <w:p w14:paraId="4DDAB2EF" w14:textId="77777777" w:rsidR="007D0D6D" w:rsidRPr="00150ABA" w:rsidRDefault="007D0D6D" w:rsidP="007D0D6D">
            <w:pPr>
              <w:ind w:left="113" w:right="113"/>
              <w:jc w:val="center"/>
              <w:rPr>
                <w:noProof/>
                <w:lang w:eastAsia="en-GB"/>
              </w:rPr>
            </w:pPr>
            <w:r w:rsidRPr="00150ABA">
              <w:rPr>
                <w:noProof/>
                <w:sz w:val="18"/>
                <w:lang w:eastAsia="en-GB"/>
              </w:rPr>
              <w:t>No</w:t>
            </w:r>
          </w:p>
        </w:tc>
        <w:tc>
          <w:tcPr>
            <w:tcW w:w="753" w:type="dxa"/>
            <w:tcBorders>
              <w:left w:val="dashSmallGap" w:sz="4" w:space="0" w:color="auto"/>
            </w:tcBorders>
            <w:shd w:val="pct10" w:color="auto" w:fill="auto"/>
            <w:vAlign w:val="center"/>
          </w:tcPr>
          <w:p w14:paraId="5A0F47B3" w14:textId="77777777" w:rsidR="007D0D6D" w:rsidRPr="00150ABA" w:rsidRDefault="007D0D6D" w:rsidP="007D0D6D">
            <w:pPr>
              <w:jc w:val="center"/>
              <w:rPr>
                <w:noProof/>
                <w:sz w:val="18"/>
                <w:lang w:eastAsia="en-GB"/>
              </w:rPr>
            </w:pPr>
            <w:r w:rsidRPr="00150ABA">
              <w:rPr>
                <w:noProof/>
                <w:sz w:val="18"/>
                <w:lang w:eastAsia="en-GB"/>
              </w:rPr>
              <w:t>Cost</w:t>
            </w:r>
          </w:p>
        </w:tc>
        <w:tc>
          <w:tcPr>
            <w:tcW w:w="825" w:type="dxa"/>
            <w:tcBorders>
              <w:right w:val="dashSmallGap" w:sz="4" w:space="0" w:color="auto"/>
            </w:tcBorders>
            <w:shd w:val="pct10" w:color="auto" w:fill="auto"/>
            <w:textDirection w:val="btLr"/>
            <w:vAlign w:val="center"/>
          </w:tcPr>
          <w:p w14:paraId="173E85CE" w14:textId="77777777" w:rsidR="007D0D6D" w:rsidRPr="00150ABA" w:rsidRDefault="007D0D6D" w:rsidP="007D0D6D">
            <w:pPr>
              <w:ind w:left="113" w:right="113"/>
              <w:jc w:val="center"/>
              <w:rPr>
                <w:noProof/>
                <w:lang w:eastAsia="en-GB"/>
              </w:rPr>
            </w:pPr>
            <w:r w:rsidRPr="00150ABA">
              <w:rPr>
                <w:noProof/>
                <w:sz w:val="18"/>
                <w:lang w:eastAsia="en-GB"/>
              </w:rPr>
              <w:t>No</w:t>
            </w:r>
          </w:p>
        </w:tc>
        <w:tc>
          <w:tcPr>
            <w:tcW w:w="869" w:type="dxa"/>
            <w:tcBorders>
              <w:left w:val="dashSmallGap" w:sz="4" w:space="0" w:color="auto"/>
            </w:tcBorders>
            <w:shd w:val="pct10" w:color="auto" w:fill="auto"/>
            <w:vAlign w:val="center"/>
          </w:tcPr>
          <w:p w14:paraId="549FF944" w14:textId="77777777" w:rsidR="007D0D6D" w:rsidRPr="00150ABA" w:rsidRDefault="007D0D6D" w:rsidP="007D0D6D">
            <w:pPr>
              <w:jc w:val="center"/>
              <w:rPr>
                <w:noProof/>
                <w:sz w:val="18"/>
                <w:lang w:eastAsia="en-GB"/>
              </w:rPr>
            </w:pPr>
            <w:r w:rsidRPr="00150ABA">
              <w:rPr>
                <w:noProof/>
                <w:sz w:val="18"/>
                <w:lang w:eastAsia="en-GB"/>
              </w:rPr>
              <w:t>Cost</w:t>
            </w:r>
          </w:p>
        </w:tc>
        <w:tc>
          <w:tcPr>
            <w:tcW w:w="753" w:type="dxa"/>
            <w:tcBorders>
              <w:right w:val="dashSmallGap" w:sz="4" w:space="0" w:color="auto"/>
            </w:tcBorders>
            <w:shd w:val="pct10" w:color="auto" w:fill="auto"/>
            <w:vAlign w:val="center"/>
          </w:tcPr>
          <w:p w14:paraId="182A7FD8" w14:textId="77777777" w:rsidR="007D0D6D" w:rsidRPr="00150ABA" w:rsidRDefault="007D0D6D" w:rsidP="007D0D6D">
            <w:pPr>
              <w:jc w:val="center"/>
              <w:rPr>
                <w:noProof/>
                <w:sz w:val="18"/>
                <w:lang w:eastAsia="en-GB"/>
              </w:rPr>
            </w:pPr>
            <w:r w:rsidRPr="00150ABA">
              <w:rPr>
                <w:noProof/>
                <w:sz w:val="18"/>
                <w:lang w:eastAsia="en-GB"/>
              </w:rPr>
              <w:t>Total No</w:t>
            </w:r>
          </w:p>
        </w:tc>
        <w:tc>
          <w:tcPr>
            <w:tcW w:w="941" w:type="dxa"/>
            <w:tcBorders>
              <w:left w:val="dashSmallGap" w:sz="4" w:space="0" w:color="auto"/>
            </w:tcBorders>
            <w:shd w:val="pct10" w:color="auto" w:fill="auto"/>
            <w:vAlign w:val="center"/>
          </w:tcPr>
          <w:p w14:paraId="317748A7" w14:textId="77777777" w:rsidR="007D0D6D" w:rsidRPr="00150ABA" w:rsidRDefault="007D0D6D" w:rsidP="007D0D6D">
            <w:pPr>
              <w:jc w:val="center"/>
              <w:rPr>
                <w:noProof/>
                <w:lang w:eastAsia="en-GB"/>
              </w:rPr>
            </w:pPr>
            <w:r w:rsidRPr="00150ABA">
              <w:rPr>
                <w:noProof/>
                <w:sz w:val="18"/>
                <w:lang w:eastAsia="en-GB"/>
              </w:rPr>
              <w:t>Total cost</w:t>
            </w:r>
          </w:p>
        </w:tc>
      </w:tr>
      <w:tr w:rsidR="007D0D6D" w:rsidRPr="00150ABA" w14:paraId="45DA371E" w14:textId="77777777" w:rsidTr="007D0D6D">
        <w:trPr>
          <w:trHeight w:val="1035"/>
          <w:jc w:val="center"/>
        </w:trPr>
        <w:tc>
          <w:tcPr>
            <w:tcW w:w="2976" w:type="dxa"/>
            <w:gridSpan w:val="3"/>
            <w:vAlign w:val="center"/>
          </w:tcPr>
          <w:p w14:paraId="33689221" w14:textId="77777777" w:rsidR="007D0D6D" w:rsidRPr="00150ABA" w:rsidRDefault="007D0D6D" w:rsidP="007D0D6D">
            <w:pPr>
              <w:spacing w:before="60" w:after="60"/>
              <w:ind w:right="-29"/>
              <w:jc w:val="center"/>
              <w:rPr>
                <w:noProof/>
                <w:sz w:val="18"/>
                <w:lang w:eastAsia="en-GB"/>
              </w:rPr>
            </w:pPr>
            <w:r w:rsidRPr="00150ABA">
              <w:rPr>
                <w:noProof/>
                <w:sz w:val="18"/>
                <w:lang w:eastAsia="en-GB"/>
              </w:rPr>
              <w:t>SPECIFIC OBJECTIVE No 1</w:t>
            </w:r>
          </w:p>
          <w:p w14:paraId="4DBAB9A7" w14:textId="77777777" w:rsidR="007D0D6D" w:rsidRPr="00150ABA" w:rsidRDefault="007D0D6D" w:rsidP="007D0D6D">
            <w:pPr>
              <w:spacing w:before="60" w:after="60"/>
              <w:ind w:right="-29"/>
              <w:jc w:val="center"/>
              <w:rPr>
                <w:noProof/>
                <w:sz w:val="18"/>
                <w:lang w:eastAsia="en-GB"/>
              </w:rPr>
            </w:pPr>
            <w:r w:rsidRPr="00150ABA">
              <w:rPr>
                <w:noProof/>
                <w:sz w:val="18"/>
                <w:lang w:eastAsia="en-GB"/>
              </w:rPr>
              <w:t>To develop the necessary technical adaptations of the relevant Eurojust IT systems</w:t>
            </w:r>
          </w:p>
        </w:tc>
        <w:tc>
          <w:tcPr>
            <w:tcW w:w="527" w:type="dxa"/>
            <w:tcBorders>
              <w:top w:val="nil"/>
              <w:left w:val="nil"/>
              <w:bottom w:val="nil"/>
              <w:right w:val="nil"/>
            </w:tcBorders>
          </w:tcPr>
          <w:p w14:paraId="0F712851" w14:textId="77777777" w:rsidR="007D0D6D" w:rsidRPr="00150ABA"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03246D71" w14:textId="77777777" w:rsidR="007D0D6D" w:rsidRPr="00150ABA" w:rsidRDefault="007D0D6D" w:rsidP="007D0D6D">
            <w:pPr>
              <w:spacing w:before="60" w:after="60"/>
              <w:ind w:right="-29"/>
              <w:jc w:val="center"/>
              <w:rPr>
                <w:noProof/>
                <w:sz w:val="18"/>
                <w:lang w:eastAsia="en-GB"/>
              </w:rPr>
            </w:pPr>
          </w:p>
        </w:tc>
        <w:tc>
          <w:tcPr>
            <w:tcW w:w="565" w:type="dxa"/>
            <w:tcBorders>
              <w:top w:val="nil"/>
              <w:left w:val="nil"/>
              <w:bottom w:val="nil"/>
              <w:right w:val="nil"/>
            </w:tcBorders>
          </w:tcPr>
          <w:p w14:paraId="27873C81" w14:textId="77777777" w:rsidR="007D0D6D" w:rsidRPr="00150ABA"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0A28DA0A" w14:textId="77777777" w:rsidR="007D0D6D" w:rsidRPr="00150ABA"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5C416C73" w14:textId="77777777" w:rsidR="007D0D6D" w:rsidRPr="00150ABA"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54EA682B" w14:textId="77777777" w:rsidR="007D0D6D" w:rsidRPr="00150ABA" w:rsidRDefault="007D0D6D" w:rsidP="007D0D6D">
            <w:pPr>
              <w:spacing w:before="60" w:after="60"/>
              <w:ind w:right="-29"/>
              <w:jc w:val="center"/>
              <w:rPr>
                <w:noProof/>
                <w:sz w:val="18"/>
                <w:lang w:eastAsia="en-GB"/>
              </w:rPr>
            </w:pPr>
          </w:p>
        </w:tc>
        <w:tc>
          <w:tcPr>
            <w:tcW w:w="825" w:type="dxa"/>
            <w:tcBorders>
              <w:top w:val="nil"/>
              <w:left w:val="nil"/>
              <w:bottom w:val="nil"/>
              <w:right w:val="nil"/>
            </w:tcBorders>
          </w:tcPr>
          <w:p w14:paraId="3FAB2525" w14:textId="77777777" w:rsidR="007D0D6D" w:rsidRPr="00150ABA" w:rsidRDefault="007D0D6D" w:rsidP="007D0D6D">
            <w:pPr>
              <w:spacing w:before="60" w:after="60"/>
              <w:ind w:right="-29"/>
              <w:jc w:val="center"/>
              <w:rPr>
                <w:noProof/>
                <w:sz w:val="18"/>
                <w:lang w:eastAsia="en-GB"/>
              </w:rPr>
            </w:pPr>
          </w:p>
        </w:tc>
        <w:tc>
          <w:tcPr>
            <w:tcW w:w="869" w:type="dxa"/>
            <w:tcBorders>
              <w:top w:val="nil"/>
              <w:left w:val="nil"/>
              <w:bottom w:val="nil"/>
              <w:right w:val="nil"/>
            </w:tcBorders>
          </w:tcPr>
          <w:p w14:paraId="23BCC905" w14:textId="77777777" w:rsidR="007D0D6D" w:rsidRPr="00150ABA"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1C7890B9" w14:textId="77777777" w:rsidR="007D0D6D" w:rsidRPr="00150ABA" w:rsidRDefault="007D0D6D" w:rsidP="007D0D6D">
            <w:pPr>
              <w:spacing w:before="60" w:after="60"/>
              <w:ind w:right="-29"/>
              <w:jc w:val="center"/>
              <w:rPr>
                <w:noProof/>
                <w:sz w:val="18"/>
                <w:lang w:eastAsia="en-GB"/>
              </w:rPr>
            </w:pPr>
          </w:p>
        </w:tc>
        <w:tc>
          <w:tcPr>
            <w:tcW w:w="941" w:type="dxa"/>
            <w:tcBorders>
              <w:top w:val="nil"/>
              <w:left w:val="nil"/>
              <w:bottom w:val="nil"/>
              <w:right w:val="nil"/>
            </w:tcBorders>
          </w:tcPr>
          <w:p w14:paraId="5854BCC2" w14:textId="77777777" w:rsidR="007D0D6D" w:rsidRPr="00150ABA" w:rsidRDefault="007D0D6D" w:rsidP="007D0D6D">
            <w:pPr>
              <w:spacing w:before="60" w:after="60"/>
              <w:ind w:right="-29"/>
              <w:jc w:val="center"/>
              <w:rPr>
                <w:noProof/>
                <w:sz w:val="18"/>
                <w:lang w:eastAsia="en-GB"/>
              </w:rPr>
            </w:pPr>
          </w:p>
        </w:tc>
      </w:tr>
      <w:tr w:rsidR="007D0D6D" w:rsidRPr="00150ABA" w14:paraId="7C0E2BDB" w14:textId="77777777" w:rsidTr="007D0D6D">
        <w:trPr>
          <w:trHeight w:hRule="exact" w:val="1606"/>
          <w:jc w:val="center"/>
        </w:trPr>
        <w:tc>
          <w:tcPr>
            <w:tcW w:w="1489" w:type="dxa"/>
          </w:tcPr>
          <w:p w14:paraId="5F814F2A" w14:textId="77777777" w:rsidR="007D0D6D" w:rsidRPr="00150ABA" w:rsidRDefault="007D0D6D" w:rsidP="007D0D6D">
            <w:pPr>
              <w:rPr>
                <w:rFonts w:ascii="Roboto" w:hAnsi="Roboto"/>
                <w:noProof/>
                <w:sz w:val="18"/>
                <w:szCs w:val="18"/>
                <w:lang w:eastAsia="en-GB"/>
              </w:rPr>
            </w:pPr>
            <w:r w:rsidRPr="00150ABA">
              <w:rPr>
                <w:rFonts w:ascii="Roboto" w:hAnsi="Roboto"/>
                <w:noProof/>
                <w:sz w:val="18"/>
                <w:szCs w:val="18"/>
                <w:lang w:eastAsia="en-GB"/>
              </w:rPr>
              <w:t>Development of the</w:t>
            </w:r>
            <w:r w:rsidRPr="00150ABA">
              <w:rPr>
                <w:noProof/>
                <w:sz w:val="18"/>
                <w:lang w:eastAsia="en-GB"/>
              </w:rPr>
              <w:t xml:space="preserve"> necessary technical adaptations of the relevant Eurojust IT systems</w:t>
            </w:r>
          </w:p>
          <w:p w14:paraId="7EC6F338" w14:textId="77777777" w:rsidR="007D0D6D" w:rsidRPr="00150ABA" w:rsidRDefault="007D0D6D" w:rsidP="007D0D6D">
            <w:pPr>
              <w:ind w:right="-29"/>
              <w:jc w:val="center"/>
              <w:rPr>
                <w:noProof/>
                <w:sz w:val="18"/>
                <w:lang w:eastAsia="en-GB"/>
              </w:rPr>
            </w:pPr>
          </w:p>
        </w:tc>
        <w:tc>
          <w:tcPr>
            <w:tcW w:w="753" w:type="dxa"/>
          </w:tcPr>
          <w:p w14:paraId="316D99F0" w14:textId="77777777" w:rsidR="007D0D6D" w:rsidRPr="00150ABA" w:rsidRDefault="007D0D6D" w:rsidP="007D0D6D">
            <w:pPr>
              <w:ind w:right="-29"/>
              <w:jc w:val="center"/>
              <w:rPr>
                <w:noProof/>
                <w:sz w:val="18"/>
                <w:lang w:eastAsia="en-GB"/>
              </w:rPr>
            </w:pPr>
          </w:p>
        </w:tc>
        <w:tc>
          <w:tcPr>
            <w:tcW w:w="733" w:type="dxa"/>
          </w:tcPr>
          <w:p w14:paraId="54B769EC" w14:textId="77777777" w:rsidR="007D0D6D" w:rsidRPr="00150ABA" w:rsidRDefault="007D0D6D" w:rsidP="007D0D6D">
            <w:pPr>
              <w:ind w:right="-29"/>
              <w:jc w:val="center"/>
              <w:rPr>
                <w:noProof/>
                <w:sz w:val="18"/>
                <w:lang w:eastAsia="en-GB"/>
              </w:rPr>
            </w:pPr>
          </w:p>
        </w:tc>
        <w:tc>
          <w:tcPr>
            <w:tcW w:w="527" w:type="dxa"/>
            <w:tcBorders>
              <w:right w:val="dashSmallGap" w:sz="4" w:space="0" w:color="auto"/>
            </w:tcBorders>
          </w:tcPr>
          <w:p w14:paraId="1B67657E" w14:textId="77777777" w:rsidR="007D0D6D" w:rsidRPr="00150ABA" w:rsidRDefault="007D0D6D" w:rsidP="007D0D6D">
            <w:pPr>
              <w:ind w:right="-29"/>
              <w:jc w:val="center"/>
              <w:rPr>
                <w:noProof/>
                <w:sz w:val="18"/>
                <w:lang w:eastAsia="en-GB"/>
              </w:rPr>
            </w:pPr>
          </w:p>
        </w:tc>
        <w:tc>
          <w:tcPr>
            <w:tcW w:w="753" w:type="dxa"/>
            <w:tcBorders>
              <w:left w:val="dashSmallGap" w:sz="4" w:space="0" w:color="auto"/>
            </w:tcBorders>
          </w:tcPr>
          <w:p w14:paraId="68AD55AF" w14:textId="77777777" w:rsidR="007D0D6D" w:rsidRPr="00150ABA" w:rsidRDefault="007D0D6D" w:rsidP="007D0D6D">
            <w:pPr>
              <w:ind w:right="-29"/>
              <w:jc w:val="center"/>
              <w:rPr>
                <w:noProof/>
                <w:sz w:val="18"/>
                <w:lang w:eastAsia="en-GB"/>
              </w:rPr>
            </w:pPr>
          </w:p>
        </w:tc>
        <w:tc>
          <w:tcPr>
            <w:tcW w:w="565" w:type="dxa"/>
            <w:tcBorders>
              <w:right w:val="dashSmallGap" w:sz="4" w:space="0" w:color="auto"/>
            </w:tcBorders>
          </w:tcPr>
          <w:p w14:paraId="5CBCFC47" w14:textId="77777777" w:rsidR="007D0D6D" w:rsidRPr="00150ABA" w:rsidRDefault="007D0D6D" w:rsidP="007D0D6D">
            <w:pPr>
              <w:ind w:right="-29"/>
              <w:jc w:val="center"/>
              <w:rPr>
                <w:noProof/>
                <w:sz w:val="18"/>
                <w:lang w:eastAsia="en-GB"/>
              </w:rPr>
            </w:pPr>
          </w:p>
        </w:tc>
        <w:tc>
          <w:tcPr>
            <w:tcW w:w="753" w:type="dxa"/>
            <w:tcBorders>
              <w:left w:val="dashSmallGap" w:sz="4" w:space="0" w:color="auto"/>
            </w:tcBorders>
          </w:tcPr>
          <w:p w14:paraId="59272A99" w14:textId="77777777" w:rsidR="007D0D6D" w:rsidRPr="00150ABA" w:rsidRDefault="007D0D6D" w:rsidP="007D0D6D">
            <w:pPr>
              <w:ind w:right="-29"/>
              <w:jc w:val="center"/>
              <w:rPr>
                <w:noProof/>
                <w:sz w:val="18"/>
                <w:lang w:eastAsia="en-GB"/>
              </w:rPr>
            </w:pPr>
            <w:r w:rsidRPr="00150ABA">
              <w:rPr>
                <w:noProof/>
                <w:sz w:val="18"/>
                <w:lang w:eastAsia="en-GB"/>
              </w:rPr>
              <w:t>0.250</w:t>
            </w:r>
          </w:p>
        </w:tc>
        <w:tc>
          <w:tcPr>
            <w:tcW w:w="753" w:type="dxa"/>
            <w:tcBorders>
              <w:right w:val="dashSmallGap" w:sz="4" w:space="0" w:color="auto"/>
            </w:tcBorders>
          </w:tcPr>
          <w:p w14:paraId="4E9A249F" w14:textId="77777777" w:rsidR="007D0D6D" w:rsidRPr="00150ABA" w:rsidRDefault="007D0D6D" w:rsidP="007D0D6D">
            <w:pPr>
              <w:ind w:right="-29"/>
              <w:jc w:val="center"/>
              <w:rPr>
                <w:noProof/>
                <w:sz w:val="18"/>
                <w:lang w:eastAsia="en-GB"/>
              </w:rPr>
            </w:pPr>
          </w:p>
        </w:tc>
        <w:tc>
          <w:tcPr>
            <w:tcW w:w="753" w:type="dxa"/>
            <w:tcBorders>
              <w:left w:val="dashSmallGap" w:sz="4" w:space="0" w:color="auto"/>
            </w:tcBorders>
          </w:tcPr>
          <w:p w14:paraId="0A7BB6F7" w14:textId="77777777" w:rsidR="007D0D6D" w:rsidRPr="00150ABA" w:rsidRDefault="007D0D6D" w:rsidP="007D0D6D">
            <w:pPr>
              <w:ind w:right="-29"/>
              <w:jc w:val="center"/>
              <w:rPr>
                <w:noProof/>
                <w:sz w:val="18"/>
                <w:lang w:eastAsia="en-GB"/>
              </w:rPr>
            </w:pPr>
          </w:p>
        </w:tc>
        <w:tc>
          <w:tcPr>
            <w:tcW w:w="825" w:type="dxa"/>
            <w:tcBorders>
              <w:right w:val="dashSmallGap" w:sz="4" w:space="0" w:color="auto"/>
            </w:tcBorders>
          </w:tcPr>
          <w:p w14:paraId="4726D4FB" w14:textId="77777777" w:rsidR="007D0D6D" w:rsidRPr="00150ABA" w:rsidRDefault="007D0D6D" w:rsidP="007D0D6D">
            <w:pPr>
              <w:ind w:right="-29"/>
              <w:jc w:val="center"/>
              <w:rPr>
                <w:noProof/>
                <w:sz w:val="18"/>
                <w:lang w:eastAsia="en-GB"/>
              </w:rPr>
            </w:pPr>
          </w:p>
        </w:tc>
        <w:tc>
          <w:tcPr>
            <w:tcW w:w="869" w:type="dxa"/>
            <w:tcBorders>
              <w:left w:val="dashSmallGap" w:sz="4" w:space="0" w:color="auto"/>
            </w:tcBorders>
          </w:tcPr>
          <w:p w14:paraId="37C58451" w14:textId="77777777" w:rsidR="007D0D6D" w:rsidRPr="00150ABA" w:rsidRDefault="007D0D6D" w:rsidP="007D0D6D">
            <w:pPr>
              <w:ind w:right="-29"/>
              <w:jc w:val="center"/>
              <w:rPr>
                <w:noProof/>
                <w:sz w:val="18"/>
                <w:lang w:eastAsia="en-GB"/>
              </w:rPr>
            </w:pPr>
          </w:p>
        </w:tc>
        <w:tc>
          <w:tcPr>
            <w:tcW w:w="753" w:type="dxa"/>
          </w:tcPr>
          <w:p w14:paraId="2F71D6D1" w14:textId="77777777" w:rsidR="007D0D6D" w:rsidRPr="00150ABA" w:rsidRDefault="007D0D6D" w:rsidP="007D0D6D">
            <w:pPr>
              <w:ind w:right="-29"/>
              <w:jc w:val="center"/>
              <w:rPr>
                <w:noProof/>
                <w:sz w:val="18"/>
                <w:lang w:eastAsia="en-GB"/>
              </w:rPr>
            </w:pPr>
          </w:p>
        </w:tc>
        <w:tc>
          <w:tcPr>
            <w:tcW w:w="941" w:type="dxa"/>
          </w:tcPr>
          <w:p w14:paraId="3D4ADD07" w14:textId="77777777" w:rsidR="007D0D6D" w:rsidRPr="00150ABA" w:rsidRDefault="007D0D6D" w:rsidP="007D0D6D">
            <w:pPr>
              <w:ind w:right="-29"/>
              <w:jc w:val="center"/>
              <w:rPr>
                <w:noProof/>
                <w:sz w:val="18"/>
                <w:lang w:eastAsia="en-GB"/>
              </w:rPr>
            </w:pPr>
            <w:r w:rsidRPr="00150ABA">
              <w:rPr>
                <w:noProof/>
                <w:sz w:val="18"/>
                <w:lang w:eastAsia="en-GB"/>
              </w:rPr>
              <w:t>0.250</w:t>
            </w:r>
          </w:p>
        </w:tc>
      </w:tr>
      <w:tr w:rsidR="007D0D6D" w:rsidRPr="00150ABA" w14:paraId="0E026A40" w14:textId="77777777" w:rsidTr="007D0D6D">
        <w:trPr>
          <w:trHeight w:hRule="exact" w:val="1606"/>
          <w:jc w:val="center"/>
        </w:trPr>
        <w:tc>
          <w:tcPr>
            <w:tcW w:w="1489" w:type="dxa"/>
            <w:vAlign w:val="center"/>
          </w:tcPr>
          <w:p w14:paraId="46B57A5A" w14:textId="77777777" w:rsidR="007D0D6D" w:rsidRPr="00150ABA" w:rsidRDefault="007D0D6D" w:rsidP="007D0D6D">
            <w:pPr>
              <w:rPr>
                <w:rFonts w:ascii="Roboto" w:hAnsi="Roboto"/>
                <w:noProof/>
                <w:sz w:val="18"/>
                <w:szCs w:val="18"/>
                <w:lang w:eastAsia="en-GB"/>
              </w:rPr>
            </w:pPr>
            <w:r w:rsidRPr="00150ABA">
              <w:rPr>
                <w:rFonts w:ascii="Roboto" w:hAnsi="Roboto"/>
                <w:noProof/>
                <w:sz w:val="18"/>
                <w:szCs w:val="18"/>
                <w:lang w:eastAsia="en-GB"/>
              </w:rPr>
              <w:t>Internal staff  required for development of  the technical adaptations</w:t>
            </w:r>
          </w:p>
        </w:tc>
        <w:tc>
          <w:tcPr>
            <w:tcW w:w="753" w:type="dxa"/>
          </w:tcPr>
          <w:p w14:paraId="3B23AA09" w14:textId="77777777" w:rsidR="007D0D6D" w:rsidRPr="00150ABA" w:rsidRDefault="007D0D6D" w:rsidP="007D0D6D">
            <w:pPr>
              <w:ind w:right="-29"/>
              <w:jc w:val="center"/>
              <w:rPr>
                <w:noProof/>
                <w:sz w:val="18"/>
                <w:lang w:eastAsia="en-GB"/>
              </w:rPr>
            </w:pPr>
          </w:p>
        </w:tc>
        <w:tc>
          <w:tcPr>
            <w:tcW w:w="733" w:type="dxa"/>
          </w:tcPr>
          <w:p w14:paraId="623EDEDA" w14:textId="77777777" w:rsidR="007D0D6D" w:rsidRPr="00150ABA" w:rsidRDefault="007D0D6D" w:rsidP="007D0D6D">
            <w:pPr>
              <w:ind w:right="-29"/>
              <w:jc w:val="center"/>
              <w:rPr>
                <w:noProof/>
                <w:sz w:val="18"/>
                <w:lang w:eastAsia="en-GB"/>
              </w:rPr>
            </w:pPr>
          </w:p>
        </w:tc>
        <w:tc>
          <w:tcPr>
            <w:tcW w:w="527" w:type="dxa"/>
            <w:tcBorders>
              <w:right w:val="dashSmallGap" w:sz="4" w:space="0" w:color="auto"/>
            </w:tcBorders>
          </w:tcPr>
          <w:p w14:paraId="20F84B41" w14:textId="77777777" w:rsidR="007D0D6D" w:rsidRPr="00150ABA" w:rsidRDefault="007D0D6D" w:rsidP="007D0D6D">
            <w:pPr>
              <w:ind w:right="-29"/>
              <w:jc w:val="center"/>
              <w:rPr>
                <w:noProof/>
                <w:sz w:val="18"/>
                <w:lang w:eastAsia="en-GB"/>
              </w:rPr>
            </w:pPr>
          </w:p>
        </w:tc>
        <w:tc>
          <w:tcPr>
            <w:tcW w:w="753" w:type="dxa"/>
            <w:tcBorders>
              <w:left w:val="dashSmallGap" w:sz="4" w:space="0" w:color="auto"/>
            </w:tcBorders>
          </w:tcPr>
          <w:p w14:paraId="706BD254" w14:textId="77777777" w:rsidR="007D0D6D" w:rsidRPr="00150ABA" w:rsidRDefault="007D0D6D" w:rsidP="007D0D6D">
            <w:pPr>
              <w:ind w:right="-29"/>
              <w:jc w:val="center"/>
              <w:rPr>
                <w:noProof/>
                <w:sz w:val="18"/>
                <w:lang w:eastAsia="en-GB"/>
              </w:rPr>
            </w:pPr>
          </w:p>
        </w:tc>
        <w:tc>
          <w:tcPr>
            <w:tcW w:w="565" w:type="dxa"/>
            <w:tcBorders>
              <w:right w:val="dashSmallGap" w:sz="4" w:space="0" w:color="auto"/>
            </w:tcBorders>
          </w:tcPr>
          <w:p w14:paraId="7370D8EC" w14:textId="77777777" w:rsidR="007D0D6D" w:rsidRPr="00150ABA" w:rsidRDefault="007D0D6D" w:rsidP="007D0D6D">
            <w:pPr>
              <w:ind w:right="-29"/>
              <w:jc w:val="center"/>
              <w:rPr>
                <w:noProof/>
                <w:sz w:val="18"/>
                <w:lang w:eastAsia="en-GB"/>
              </w:rPr>
            </w:pPr>
          </w:p>
        </w:tc>
        <w:tc>
          <w:tcPr>
            <w:tcW w:w="753" w:type="dxa"/>
            <w:tcBorders>
              <w:left w:val="dashSmallGap" w:sz="4" w:space="0" w:color="auto"/>
            </w:tcBorders>
          </w:tcPr>
          <w:p w14:paraId="4B3ED20A" w14:textId="2103D145" w:rsidR="007D0D6D" w:rsidRPr="00150ABA" w:rsidRDefault="007D0D6D" w:rsidP="005E1965">
            <w:pPr>
              <w:ind w:right="-29"/>
              <w:jc w:val="center"/>
              <w:rPr>
                <w:noProof/>
                <w:sz w:val="18"/>
                <w:lang w:eastAsia="en-GB"/>
              </w:rPr>
            </w:pPr>
            <w:r w:rsidRPr="00150ABA">
              <w:rPr>
                <w:noProof/>
                <w:sz w:val="18"/>
                <w:lang w:eastAsia="en-GB"/>
              </w:rPr>
              <w:t>0.</w:t>
            </w:r>
            <w:r w:rsidR="005E1965" w:rsidRPr="00150ABA">
              <w:rPr>
                <w:noProof/>
                <w:sz w:val="18"/>
                <w:lang w:eastAsia="en-GB"/>
              </w:rPr>
              <w:t>086</w:t>
            </w:r>
          </w:p>
        </w:tc>
        <w:tc>
          <w:tcPr>
            <w:tcW w:w="753" w:type="dxa"/>
            <w:tcBorders>
              <w:right w:val="dashSmallGap" w:sz="4" w:space="0" w:color="auto"/>
            </w:tcBorders>
          </w:tcPr>
          <w:p w14:paraId="440CB0A9" w14:textId="77777777" w:rsidR="007D0D6D" w:rsidRPr="00150ABA" w:rsidRDefault="007D0D6D" w:rsidP="007D0D6D">
            <w:pPr>
              <w:ind w:right="-29"/>
              <w:jc w:val="center"/>
              <w:rPr>
                <w:noProof/>
                <w:sz w:val="18"/>
                <w:lang w:eastAsia="en-GB"/>
              </w:rPr>
            </w:pPr>
          </w:p>
        </w:tc>
        <w:tc>
          <w:tcPr>
            <w:tcW w:w="753" w:type="dxa"/>
            <w:tcBorders>
              <w:left w:val="dashSmallGap" w:sz="4" w:space="0" w:color="auto"/>
            </w:tcBorders>
          </w:tcPr>
          <w:p w14:paraId="35E213DE" w14:textId="1034892C" w:rsidR="007D0D6D" w:rsidRPr="00150ABA" w:rsidRDefault="006012BC" w:rsidP="006012BC">
            <w:pPr>
              <w:ind w:right="-29"/>
              <w:jc w:val="center"/>
              <w:rPr>
                <w:noProof/>
                <w:sz w:val="18"/>
                <w:lang w:eastAsia="en-GB"/>
              </w:rPr>
            </w:pPr>
            <w:r w:rsidRPr="00150ABA">
              <w:rPr>
                <w:noProof/>
                <w:sz w:val="18"/>
                <w:lang w:eastAsia="en-GB"/>
              </w:rPr>
              <w:t>0.173</w:t>
            </w:r>
          </w:p>
        </w:tc>
        <w:tc>
          <w:tcPr>
            <w:tcW w:w="825" w:type="dxa"/>
            <w:tcBorders>
              <w:right w:val="dashSmallGap" w:sz="4" w:space="0" w:color="auto"/>
            </w:tcBorders>
          </w:tcPr>
          <w:p w14:paraId="3D2108A3" w14:textId="77777777" w:rsidR="007D0D6D" w:rsidRPr="00150ABA" w:rsidRDefault="007D0D6D" w:rsidP="007D0D6D">
            <w:pPr>
              <w:ind w:right="-29"/>
              <w:jc w:val="center"/>
              <w:rPr>
                <w:noProof/>
                <w:sz w:val="18"/>
                <w:lang w:eastAsia="en-GB"/>
              </w:rPr>
            </w:pPr>
          </w:p>
        </w:tc>
        <w:tc>
          <w:tcPr>
            <w:tcW w:w="869" w:type="dxa"/>
            <w:tcBorders>
              <w:left w:val="dashSmallGap" w:sz="4" w:space="0" w:color="auto"/>
            </w:tcBorders>
          </w:tcPr>
          <w:p w14:paraId="375518A7" w14:textId="6E4D7EFF" w:rsidR="007D0D6D" w:rsidRPr="00150ABA" w:rsidRDefault="006012BC" w:rsidP="007D0D6D">
            <w:pPr>
              <w:ind w:right="-29"/>
              <w:jc w:val="center"/>
              <w:rPr>
                <w:noProof/>
                <w:sz w:val="18"/>
                <w:lang w:eastAsia="en-GB"/>
              </w:rPr>
            </w:pPr>
            <w:r w:rsidRPr="00150ABA">
              <w:rPr>
                <w:noProof/>
                <w:sz w:val="18"/>
                <w:lang w:eastAsia="en-GB"/>
              </w:rPr>
              <w:t>0.173</w:t>
            </w:r>
          </w:p>
        </w:tc>
        <w:tc>
          <w:tcPr>
            <w:tcW w:w="753" w:type="dxa"/>
          </w:tcPr>
          <w:p w14:paraId="569F846D" w14:textId="77777777" w:rsidR="007D0D6D" w:rsidRPr="00150ABA" w:rsidRDefault="007D0D6D" w:rsidP="007D0D6D">
            <w:pPr>
              <w:ind w:right="-29"/>
              <w:jc w:val="center"/>
              <w:rPr>
                <w:noProof/>
                <w:sz w:val="18"/>
                <w:lang w:eastAsia="en-GB"/>
              </w:rPr>
            </w:pPr>
          </w:p>
        </w:tc>
        <w:tc>
          <w:tcPr>
            <w:tcW w:w="941" w:type="dxa"/>
          </w:tcPr>
          <w:p w14:paraId="40A8278F" w14:textId="255D7F85" w:rsidR="007D0D6D" w:rsidRPr="00150ABA" w:rsidRDefault="007D0D6D" w:rsidP="006012BC">
            <w:pPr>
              <w:ind w:right="-29"/>
              <w:jc w:val="center"/>
              <w:rPr>
                <w:noProof/>
                <w:sz w:val="18"/>
                <w:lang w:eastAsia="en-GB"/>
              </w:rPr>
            </w:pPr>
            <w:r w:rsidRPr="00150ABA">
              <w:rPr>
                <w:noProof/>
                <w:sz w:val="18"/>
                <w:lang w:eastAsia="en-GB"/>
              </w:rPr>
              <w:t>0.</w:t>
            </w:r>
            <w:r w:rsidR="006012BC" w:rsidRPr="00150ABA">
              <w:rPr>
                <w:noProof/>
                <w:sz w:val="18"/>
                <w:lang w:eastAsia="en-GB"/>
              </w:rPr>
              <w:t>432</w:t>
            </w:r>
          </w:p>
        </w:tc>
      </w:tr>
      <w:tr w:rsidR="007D0D6D" w:rsidRPr="00150ABA" w14:paraId="6788F53C" w14:textId="77777777" w:rsidTr="007D0D6D">
        <w:trPr>
          <w:trHeight w:val="449"/>
          <w:jc w:val="center"/>
        </w:trPr>
        <w:tc>
          <w:tcPr>
            <w:tcW w:w="2976" w:type="dxa"/>
            <w:gridSpan w:val="3"/>
            <w:tcBorders>
              <w:bottom w:val="single" w:sz="12" w:space="0" w:color="auto"/>
            </w:tcBorders>
            <w:vAlign w:val="center"/>
          </w:tcPr>
          <w:p w14:paraId="0DB2CFCD" w14:textId="77777777" w:rsidR="007D0D6D" w:rsidRPr="00150ABA" w:rsidRDefault="007D0D6D" w:rsidP="007D0D6D">
            <w:pPr>
              <w:ind w:right="-29"/>
              <w:jc w:val="center"/>
              <w:rPr>
                <w:noProof/>
                <w:sz w:val="18"/>
                <w:lang w:eastAsia="en-GB"/>
              </w:rPr>
            </w:pPr>
            <w:r w:rsidRPr="00150ABA">
              <w:rPr>
                <w:noProof/>
                <w:sz w:val="18"/>
                <w:lang w:eastAsia="en-GB"/>
              </w:rPr>
              <w:t>Subtotal for specific objective No 1</w:t>
            </w:r>
          </w:p>
        </w:tc>
        <w:tc>
          <w:tcPr>
            <w:tcW w:w="527" w:type="dxa"/>
            <w:tcBorders>
              <w:bottom w:val="single" w:sz="12" w:space="0" w:color="auto"/>
            </w:tcBorders>
          </w:tcPr>
          <w:p w14:paraId="1FDAA7F1" w14:textId="77777777" w:rsidR="007D0D6D" w:rsidRPr="00150ABA" w:rsidRDefault="007D0D6D" w:rsidP="007D0D6D">
            <w:pPr>
              <w:ind w:right="-29"/>
              <w:jc w:val="center"/>
              <w:rPr>
                <w:noProof/>
                <w:sz w:val="18"/>
                <w:lang w:eastAsia="en-GB"/>
              </w:rPr>
            </w:pPr>
          </w:p>
        </w:tc>
        <w:tc>
          <w:tcPr>
            <w:tcW w:w="753" w:type="dxa"/>
            <w:tcBorders>
              <w:bottom w:val="single" w:sz="12" w:space="0" w:color="auto"/>
            </w:tcBorders>
          </w:tcPr>
          <w:p w14:paraId="2269926F" w14:textId="77777777" w:rsidR="007D0D6D" w:rsidRPr="00150ABA" w:rsidRDefault="007D0D6D" w:rsidP="007D0D6D">
            <w:pPr>
              <w:ind w:right="-29"/>
              <w:jc w:val="center"/>
              <w:rPr>
                <w:noProof/>
                <w:sz w:val="18"/>
                <w:lang w:eastAsia="en-GB"/>
              </w:rPr>
            </w:pPr>
          </w:p>
        </w:tc>
        <w:tc>
          <w:tcPr>
            <w:tcW w:w="565" w:type="dxa"/>
            <w:tcBorders>
              <w:bottom w:val="single" w:sz="12" w:space="0" w:color="auto"/>
            </w:tcBorders>
          </w:tcPr>
          <w:p w14:paraId="4723638C" w14:textId="77777777" w:rsidR="007D0D6D" w:rsidRPr="00150ABA" w:rsidRDefault="007D0D6D" w:rsidP="007D0D6D">
            <w:pPr>
              <w:ind w:right="-29"/>
              <w:jc w:val="center"/>
              <w:rPr>
                <w:noProof/>
                <w:sz w:val="18"/>
                <w:lang w:eastAsia="en-GB"/>
              </w:rPr>
            </w:pPr>
          </w:p>
        </w:tc>
        <w:tc>
          <w:tcPr>
            <w:tcW w:w="753" w:type="dxa"/>
            <w:tcBorders>
              <w:bottom w:val="single" w:sz="12" w:space="0" w:color="auto"/>
            </w:tcBorders>
          </w:tcPr>
          <w:p w14:paraId="33AEC6AE" w14:textId="32663F78" w:rsidR="007D0D6D" w:rsidRPr="00150ABA" w:rsidRDefault="007D0D6D" w:rsidP="005E1965">
            <w:pPr>
              <w:ind w:right="-29"/>
              <w:jc w:val="center"/>
              <w:rPr>
                <w:noProof/>
                <w:sz w:val="18"/>
                <w:lang w:eastAsia="en-GB"/>
              </w:rPr>
            </w:pPr>
            <w:r w:rsidRPr="00150ABA">
              <w:rPr>
                <w:noProof/>
                <w:sz w:val="18"/>
                <w:lang w:eastAsia="en-GB"/>
              </w:rPr>
              <w:t>0.</w:t>
            </w:r>
            <w:r w:rsidR="005E1965" w:rsidRPr="00150ABA">
              <w:rPr>
                <w:noProof/>
                <w:sz w:val="18"/>
                <w:lang w:eastAsia="en-GB"/>
              </w:rPr>
              <w:t>336</w:t>
            </w:r>
          </w:p>
        </w:tc>
        <w:tc>
          <w:tcPr>
            <w:tcW w:w="753" w:type="dxa"/>
            <w:tcBorders>
              <w:bottom w:val="single" w:sz="12" w:space="0" w:color="auto"/>
            </w:tcBorders>
          </w:tcPr>
          <w:p w14:paraId="5308CC5D" w14:textId="77777777" w:rsidR="007D0D6D" w:rsidRPr="00150ABA" w:rsidRDefault="007D0D6D" w:rsidP="007D0D6D">
            <w:pPr>
              <w:ind w:right="-29"/>
              <w:jc w:val="center"/>
              <w:rPr>
                <w:noProof/>
                <w:sz w:val="18"/>
                <w:lang w:eastAsia="en-GB"/>
              </w:rPr>
            </w:pPr>
          </w:p>
        </w:tc>
        <w:tc>
          <w:tcPr>
            <w:tcW w:w="753" w:type="dxa"/>
            <w:tcBorders>
              <w:bottom w:val="single" w:sz="12" w:space="0" w:color="auto"/>
            </w:tcBorders>
          </w:tcPr>
          <w:p w14:paraId="1394ECBF" w14:textId="74F08A7E" w:rsidR="007D0D6D" w:rsidRPr="00150ABA" w:rsidRDefault="006012BC" w:rsidP="007D0D6D">
            <w:pPr>
              <w:ind w:right="-29"/>
              <w:jc w:val="center"/>
              <w:rPr>
                <w:noProof/>
                <w:sz w:val="18"/>
                <w:lang w:eastAsia="en-GB"/>
              </w:rPr>
            </w:pPr>
            <w:r w:rsidRPr="00150ABA">
              <w:rPr>
                <w:noProof/>
                <w:sz w:val="18"/>
                <w:lang w:eastAsia="en-GB"/>
              </w:rPr>
              <w:t>0.173</w:t>
            </w:r>
          </w:p>
        </w:tc>
        <w:tc>
          <w:tcPr>
            <w:tcW w:w="825" w:type="dxa"/>
            <w:tcBorders>
              <w:bottom w:val="single" w:sz="12" w:space="0" w:color="auto"/>
            </w:tcBorders>
          </w:tcPr>
          <w:p w14:paraId="534B1083" w14:textId="77777777" w:rsidR="007D0D6D" w:rsidRPr="00150ABA" w:rsidRDefault="007D0D6D" w:rsidP="007D0D6D">
            <w:pPr>
              <w:ind w:right="-29"/>
              <w:jc w:val="center"/>
              <w:rPr>
                <w:noProof/>
                <w:sz w:val="18"/>
                <w:lang w:eastAsia="en-GB"/>
              </w:rPr>
            </w:pPr>
          </w:p>
        </w:tc>
        <w:tc>
          <w:tcPr>
            <w:tcW w:w="869" w:type="dxa"/>
            <w:tcBorders>
              <w:bottom w:val="single" w:sz="12" w:space="0" w:color="auto"/>
            </w:tcBorders>
          </w:tcPr>
          <w:p w14:paraId="01C5431E" w14:textId="16B9D23B" w:rsidR="007D0D6D" w:rsidRPr="00150ABA" w:rsidRDefault="006012BC" w:rsidP="007D0D6D">
            <w:pPr>
              <w:ind w:right="-29"/>
              <w:jc w:val="center"/>
              <w:rPr>
                <w:noProof/>
                <w:sz w:val="18"/>
                <w:lang w:eastAsia="en-GB"/>
              </w:rPr>
            </w:pPr>
            <w:r w:rsidRPr="00150ABA">
              <w:rPr>
                <w:noProof/>
                <w:sz w:val="18"/>
                <w:lang w:eastAsia="en-GB"/>
              </w:rPr>
              <w:t>0.173</w:t>
            </w:r>
          </w:p>
        </w:tc>
        <w:tc>
          <w:tcPr>
            <w:tcW w:w="753" w:type="dxa"/>
            <w:tcBorders>
              <w:bottom w:val="single" w:sz="12" w:space="0" w:color="auto"/>
            </w:tcBorders>
          </w:tcPr>
          <w:p w14:paraId="07AC7AFE" w14:textId="77777777" w:rsidR="007D0D6D" w:rsidRPr="00150ABA" w:rsidRDefault="007D0D6D" w:rsidP="007D0D6D">
            <w:pPr>
              <w:ind w:right="-29"/>
              <w:jc w:val="center"/>
              <w:rPr>
                <w:noProof/>
                <w:sz w:val="18"/>
                <w:lang w:eastAsia="en-GB"/>
              </w:rPr>
            </w:pPr>
          </w:p>
        </w:tc>
        <w:tc>
          <w:tcPr>
            <w:tcW w:w="941" w:type="dxa"/>
            <w:tcBorders>
              <w:bottom w:val="single" w:sz="12" w:space="0" w:color="auto"/>
            </w:tcBorders>
          </w:tcPr>
          <w:p w14:paraId="7EF71260" w14:textId="04C0EEA4" w:rsidR="007D0D6D" w:rsidRPr="00150ABA" w:rsidRDefault="007D0D6D" w:rsidP="006012BC">
            <w:pPr>
              <w:ind w:right="-29"/>
              <w:jc w:val="center"/>
              <w:rPr>
                <w:noProof/>
                <w:sz w:val="18"/>
                <w:lang w:eastAsia="en-GB"/>
              </w:rPr>
            </w:pPr>
            <w:r w:rsidRPr="00150ABA">
              <w:rPr>
                <w:noProof/>
                <w:sz w:val="18"/>
                <w:lang w:eastAsia="en-GB"/>
              </w:rPr>
              <w:t>0.</w:t>
            </w:r>
            <w:r w:rsidR="006012BC" w:rsidRPr="00150ABA">
              <w:rPr>
                <w:noProof/>
                <w:sz w:val="18"/>
                <w:lang w:eastAsia="en-GB"/>
              </w:rPr>
              <w:t>682</w:t>
            </w:r>
          </w:p>
        </w:tc>
      </w:tr>
      <w:tr w:rsidR="007D0D6D" w:rsidRPr="00150ABA" w14:paraId="47E68DDF" w14:textId="77777777" w:rsidTr="007D0D6D">
        <w:trPr>
          <w:trHeight w:val="831"/>
          <w:jc w:val="center"/>
        </w:trPr>
        <w:tc>
          <w:tcPr>
            <w:tcW w:w="2976" w:type="dxa"/>
            <w:gridSpan w:val="3"/>
            <w:vAlign w:val="center"/>
          </w:tcPr>
          <w:p w14:paraId="0C34DFFB" w14:textId="77777777" w:rsidR="007D0D6D" w:rsidRPr="00150ABA" w:rsidRDefault="007D0D6D" w:rsidP="007D0D6D">
            <w:pPr>
              <w:spacing w:before="60" w:after="60"/>
              <w:ind w:right="-29"/>
              <w:jc w:val="center"/>
              <w:rPr>
                <w:noProof/>
                <w:sz w:val="18"/>
                <w:lang w:eastAsia="en-GB"/>
              </w:rPr>
            </w:pPr>
            <w:r w:rsidRPr="00150ABA">
              <w:rPr>
                <w:noProof/>
                <w:sz w:val="18"/>
                <w:lang w:eastAsia="en-GB"/>
              </w:rPr>
              <w:t>SPECIFIC OBJECTIVE No 2</w:t>
            </w:r>
          </w:p>
          <w:p w14:paraId="63816A36" w14:textId="5BA8BBBC" w:rsidR="007D0D6D" w:rsidRPr="00150ABA" w:rsidRDefault="007D0D6D" w:rsidP="007D0D6D">
            <w:pPr>
              <w:spacing w:before="60" w:after="60"/>
              <w:ind w:right="-29"/>
              <w:jc w:val="center"/>
              <w:rPr>
                <w:noProof/>
                <w:sz w:val="18"/>
                <w:lang w:eastAsia="en-GB"/>
              </w:rPr>
            </w:pPr>
            <w:r w:rsidRPr="00150ABA">
              <w:rPr>
                <w:noProof/>
                <w:sz w:val="18"/>
                <w:lang w:eastAsia="en-GB"/>
              </w:rPr>
              <w:t>To provide administrative support to the JITs collaborat</w:t>
            </w:r>
            <w:r w:rsidR="00984BBF" w:rsidRPr="00150ABA">
              <w:rPr>
                <w:noProof/>
                <w:sz w:val="18"/>
                <w:lang w:eastAsia="en-GB"/>
              </w:rPr>
              <w:t>i</w:t>
            </w:r>
            <w:r w:rsidRPr="00150ABA">
              <w:rPr>
                <w:noProof/>
                <w:sz w:val="18"/>
                <w:lang w:eastAsia="en-GB"/>
              </w:rPr>
              <w:t>on platform users</w:t>
            </w:r>
          </w:p>
        </w:tc>
        <w:tc>
          <w:tcPr>
            <w:tcW w:w="527" w:type="dxa"/>
            <w:tcBorders>
              <w:top w:val="nil"/>
              <w:left w:val="nil"/>
              <w:bottom w:val="nil"/>
              <w:right w:val="nil"/>
            </w:tcBorders>
          </w:tcPr>
          <w:p w14:paraId="76D48523" w14:textId="77777777" w:rsidR="007D0D6D" w:rsidRPr="00150ABA"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520482A7" w14:textId="77777777" w:rsidR="007D0D6D" w:rsidRPr="00150ABA" w:rsidRDefault="007D0D6D" w:rsidP="007D0D6D">
            <w:pPr>
              <w:spacing w:before="60" w:after="60"/>
              <w:ind w:right="-29"/>
              <w:jc w:val="center"/>
              <w:rPr>
                <w:noProof/>
                <w:sz w:val="18"/>
                <w:lang w:eastAsia="en-GB"/>
              </w:rPr>
            </w:pPr>
          </w:p>
        </w:tc>
        <w:tc>
          <w:tcPr>
            <w:tcW w:w="565" w:type="dxa"/>
            <w:tcBorders>
              <w:top w:val="nil"/>
              <w:left w:val="nil"/>
              <w:bottom w:val="nil"/>
              <w:right w:val="nil"/>
            </w:tcBorders>
          </w:tcPr>
          <w:p w14:paraId="12153316" w14:textId="77777777" w:rsidR="007D0D6D" w:rsidRPr="00150ABA"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5255947B" w14:textId="77777777" w:rsidR="007D0D6D" w:rsidRPr="00150ABA"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382E0315" w14:textId="77777777" w:rsidR="007D0D6D" w:rsidRPr="00150ABA"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583912A5" w14:textId="77777777" w:rsidR="007D0D6D" w:rsidRPr="00150ABA" w:rsidRDefault="007D0D6D" w:rsidP="007D0D6D">
            <w:pPr>
              <w:spacing w:before="60" w:after="60"/>
              <w:ind w:right="-29"/>
              <w:jc w:val="center"/>
              <w:rPr>
                <w:noProof/>
                <w:sz w:val="18"/>
                <w:lang w:eastAsia="en-GB"/>
              </w:rPr>
            </w:pPr>
          </w:p>
        </w:tc>
        <w:tc>
          <w:tcPr>
            <w:tcW w:w="825" w:type="dxa"/>
            <w:tcBorders>
              <w:top w:val="nil"/>
              <w:left w:val="nil"/>
              <w:bottom w:val="nil"/>
              <w:right w:val="nil"/>
            </w:tcBorders>
          </w:tcPr>
          <w:p w14:paraId="208D31DD" w14:textId="77777777" w:rsidR="007D0D6D" w:rsidRPr="00150ABA" w:rsidRDefault="007D0D6D" w:rsidP="007D0D6D">
            <w:pPr>
              <w:spacing w:before="60" w:after="60"/>
              <w:ind w:right="-29"/>
              <w:jc w:val="center"/>
              <w:rPr>
                <w:noProof/>
                <w:sz w:val="18"/>
                <w:lang w:eastAsia="en-GB"/>
              </w:rPr>
            </w:pPr>
          </w:p>
        </w:tc>
        <w:tc>
          <w:tcPr>
            <w:tcW w:w="869" w:type="dxa"/>
            <w:tcBorders>
              <w:top w:val="nil"/>
              <w:left w:val="nil"/>
              <w:bottom w:val="nil"/>
              <w:right w:val="nil"/>
            </w:tcBorders>
          </w:tcPr>
          <w:p w14:paraId="63BEB0AB" w14:textId="77777777" w:rsidR="007D0D6D" w:rsidRPr="00150ABA"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258C719B" w14:textId="77777777" w:rsidR="007D0D6D" w:rsidRPr="00150ABA" w:rsidRDefault="007D0D6D" w:rsidP="007D0D6D">
            <w:pPr>
              <w:spacing w:before="60" w:after="60"/>
              <w:ind w:right="-29"/>
              <w:jc w:val="center"/>
              <w:rPr>
                <w:noProof/>
                <w:sz w:val="18"/>
                <w:lang w:eastAsia="en-GB"/>
              </w:rPr>
            </w:pPr>
          </w:p>
        </w:tc>
        <w:tc>
          <w:tcPr>
            <w:tcW w:w="941" w:type="dxa"/>
            <w:tcBorders>
              <w:top w:val="nil"/>
              <w:left w:val="nil"/>
              <w:bottom w:val="nil"/>
              <w:right w:val="nil"/>
            </w:tcBorders>
          </w:tcPr>
          <w:p w14:paraId="17EF06DA" w14:textId="77777777" w:rsidR="007D0D6D" w:rsidRPr="00150ABA" w:rsidRDefault="007D0D6D" w:rsidP="007D0D6D">
            <w:pPr>
              <w:spacing w:before="60" w:after="60"/>
              <w:ind w:right="-29"/>
              <w:jc w:val="center"/>
              <w:rPr>
                <w:noProof/>
                <w:sz w:val="18"/>
                <w:lang w:eastAsia="en-GB"/>
              </w:rPr>
            </w:pPr>
          </w:p>
        </w:tc>
      </w:tr>
      <w:tr w:rsidR="007D0D6D" w:rsidRPr="00150ABA" w14:paraId="2DC201EC" w14:textId="77777777" w:rsidTr="007D0D6D">
        <w:trPr>
          <w:trHeight w:hRule="exact" w:val="2089"/>
          <w:jc w:val="center"/>
        </w:trPr>
        <w:tc>
          <w:tcPr>
            <w:tcW w:w="1489" w:type="dxa"/>
          </w:tcPr>
          <w:p w14:paraId="72DD7216" w14:textId="77777777" w:rsidR="007D0D6D" w:rsidRPr="00150ABA" w:rsidRDefault="007D0D6D" w:rsidP="007D0D6D">
            <w:pPr>
              <w:ind w:right="-29"/>
              <w:jc w:val="center"/>
              <w:rPr>
                <w:noProof/>
                <w:sz w:val="18"/>
                <w:lang w:eastAsia="en-GB"/>
              </w:rPr>
            </w:pPr>
            <w:r w:rsidRPr="00150ABA">
              <w:rPr>
                <w:rFonts w:ascii="Roboto" w:hAnsi="Roboto"/>
                <w:noProof/>
                <w:sz w:val="18"/>
                <w:szCs w:val="18"/>
                <w:lang w:eastAsia="en-GB"/>
              </w:rPr>
              <w:t xml:space="preserve">Internal staff  required to </w:t>
            </w:r>
            <w:r w:rsidRPr="00150ABA">
              <w:rPr>
                <w:noProof/>
                <w:sz w:val="18"/>
                <w:lang w:eastAsia="en-GB"/>
              </w:rPr>
              <w:t>provide administrative support to the JITs collaboration platform users</w:t>
            </w:r>
          </w:p>
        </w:tc>
        <w:tc>
          <w:tcPr>
            <w:tcW w:w="753" w:type="dxa"/>
          </w:tcPr>
          <w:p w14:paraId="346E9A2C" w14:textId="77777777" w:rsidR="007D0D6D" w:rsidRPr="00150ABA" w:rsidRDefault="007D0D6D" w:rsidP="007D0D6D">
            <w:pPr>
              <w:ind w:right="-29"/>
              <w:jc w:val="center"/>
              <w:rPr>
                <w:noProof/>
                <w:sz w:val="18"/>
                <w:lang w:eastAsia="en-GB"/>
              </w:rPr>
            </w:pPr>
          </w:p>
        </w:tc>
        <w:tc>
          <w:tcPr>
            <w:tcW w:w="733" w:type="dxa"/>
          </w:tcPr>
          <w:p w14:paraId="121D5E48" w14:textId="77777777" w:rsidR="007D0D6D" w:rsidRPr="00150ABA" w:rsidRDefault="007D0D6D" w:rsidP="007D0D6D">
            <w:pPr>
              <w:ind w:right="-29"/>
              <w:jc w:val="center"/>
              <w:rPr>
                <w:noProof/>
                <w:sz w:val="18"/>
                <w:lang w:eastAsia="en-GB"/>
              </w:rPr>
            </w:pPr>
          </w:p>
        </w:tc>
        <w:tc>
          <w:tcPr>
            <w:tcW w:w="527" w:type="dxa"/>
            <w:tcBorders>
              <w:right w:val="dashSmallGap" w:sz="4" w:space="0" w:color="auto"/>
            </w:tcBorders>
          </w:tcPr>
          <w:p w14:paraId="0BB6B0E6" w14:textId="77777777" w:rsidR="007D0D6D" w:rsidRPr="00150ABA" w:rsidRDefault="007D0D6D" w:rsidP="007D0D6D">
            <w:pPr>
              <w:ind w:right="-29"/>
              <w:jc w:val="center"/>
              <w:rPr>
                <w:noProof/>
                <w:sz w:val="18"/>
                <w:lang w:eastAsia="en-GB"/>
              </w:rPr>
            </w:pPr>
          </w:p>
        </w:tc>
        <w:tc>
          <w:tcPr>
            <w:tcW w:w="753" w:type="dxa"/>
            <w:tcBorders>
              <w:left w:val="dashSmallGap" w:sz="4" w:space="0" w:color="auto"/>
            </w:tcBorders>
          </w:tcPr>
          <w:p w14:paraId="7AAD18A1" w14:textId="77777777" w:rsidR="007D0D6D" w:rsidRPr="00150ABA" w:rsidRDefault="007D0D6D" w:rsidP="007D0D6D">
            <w:pPr>
              <w:ind w:right="-29"/>
              <w:jc w:val="center"/>
              <w:rPr>
                <w:noProof/>
                <w:sz w:val="18"/>
                <w:lang w:eastAsia="en-GB"/>
              </w:rPr>
            </w:pPr>
          </w:p>
        </w:tc>
        <w:tc>
          <w:tcPr>
            <w:tcW w:w="565" w:type="dxa"/>
            <w:tcBorders>
              <w:right w:val="dashSmallGap" w:sz="4" w:space="0" w:color="auto"/>
            </w:tcBorders>
          </w:tcPr>
          <w:p w14:paraId="5D96D7B7" w14:textId="77777777" w:rsidR="007D0D6D" w:rsidRPr="00150ABA" w:rsidRDefault="007D0D6D" w:rsidP="007D0D6D">
            <w:pPr>
              <w:ind w:right="-29"/>
              <w:jc w:val="center"/>
              <w:rPr>
                <w:noProof/>
                <w:sz w:val="18"/>
                <w:lang w:eastAsia="en-GB"/>
              </w:rPr>
            </w:pPr>
          </w:p>
        </w:tc>
        <w:tc>
          <w:tcPr>
            <w:tcW w:w="753" w:type="dxa"/>
            <w:tcBorders>
              <w:left w:val="dashSmallGap" w:sz="4" w:space="0" w:color="auto"/>
            </w:tcBorders>
          </w:tcPr>
          <w:p w14:paraId="7EDE71CD" w14:textId="77777777" w:rsidR="007D0D6D" w:rsidRPr="00150ABA" w:rsidRDefault="007D0D6D" w:rsidP="007D0D6D">
            <w:pPr>
              <w:ind w:right="-29"/>
              <w:jc w:val="center"/>
              <w:rPr>
                <w:noProof/>
                <w:sz w:val="18"/>
                <w:lang w:eastAsia="en-GB"/>
              </w:rPr>
            </w:pPr>
          </w:p>
        </w:tc>
        <w:tc>
          <w:tcPr>
            <w:tcW w:w="753" w:type="dxa"/>
            <w:tcBorders>
              <w:right w:val="dashSmallGap" w:sz="4" w:space="0" w:color="auto"/>
            </w:tcBorders>
          </w:tcPr>
          <w:p w14:paraId="36C0BC03" w14:textId="77777777" w:rsidR="007D0D6D" w:rsidRPr="00150ABA" w:rsidRDefault="007D0D6D" w:rsidP="007D0D6D">
            <w:pPr>
              <w:ind w:right="-29"/>
              <w:jc w:val="center"/>
              <w:rPr>
                <w:noProof/>
                <w:sz w:val="18"/>
                <w:lang w:eastAsia="en-GB"/>
              </w:rPr>
            </w:pPr>
          </w:p>
        </w:tc>
        <w:tc>
          <w:tcPr>
            <w:tcW w:w="753" w:type="dxa"/>
            <w:tcBorders>
              <w:left w:val="dashSmallGap" w:sz="4" w:space="0" w:color="auto"/>
            </w:tcBorders>
          </w:tcPr>
          <w:p w14:paraId="1AF9805B" w14:textId="249514F3" w:rsidR="007D0D6D" w:rsidRPr="00150ABA" w:rsidRDefault="007D0D6D" w:rsidP="006012BC">
            <w:pPr>
              <w:ind w:right="-29"/>
              <w:jc w:val="center"/>
              <w:rPr>
                <w:noProof/>
                <w:sz w:val="18"/>
                <w:lang w:eastAsia="en-GB"/>
              </w:rPr>
            </w:pPr>
            <w:r w:rsidRPr="00150ABA">
              <w:rPr>
                <w:noProof/>
                <w:sz w:val="18"/>
                <w:lang w:eastAsia="en-GB"/>
              </w:rPr>
              <w:t>0.</w:t>
            </w:r>
            <w:r w:rsidR="006012BC" w:rsidRPr="00150ABA">
              <w:rPr>
                <w:noProof/>
                <w:sz w:val="18"/>
                <w:lang w:eastAsia="en-GB"/>
              </w:rPr>
              <w:t>173</w:t>
            </w:r>
          </w:p>
        </w:tc>
        <w:tc>
          <w:tcPr>
            <w:tcW w:w="825" w:type="dxa"/>
            <w:tcBorders>
              <w:right w:val="dashSmallGap" w:sz="4" w:space="0" w:color="auto"/>
            </w:tcBorders>
          </w:tcPr>
          <w:p w14:paraId="70BDDE8D" w14:textId="77777777" w:rsidR="007D0D6D" w:rsidRPr="00150ABA" w:rsidRDefault="007D0D6D" w:rsidP="007D0D6D">
            <w:pPr>
              <w:ind w:right="-29"/>
              <w:jc w:val="center"/>
              <w:rPr>
                <w:noProof/>
                <w:sz w:val="18"/>
                <w:lang w:eastAsia="en-GB"/>
              </w:rPr>
            </w:pPr>
          </w:p>
        </w:tc>
        <w:tc>
          <w:tcPr>
            <w:tcW w:w="869" w:type="dxa"/>
            <w:tcBorders>
              <w:left w:val="dashSmallGap" w:sz="4" w:space="0" w:color="auto"/>
            </w:tcBorders>
          </w:tcPr>
          <w:p w14:paraId="3F0FA99B" w14:textId="08181B50" w:rsidR="007D0D6D" w:rsidRPr="00150ABA" w:rsidRDefault="007D0D6D" w:rsidP="006012BC">
            <w:pPr>
              <w:ind w:right="-29"/>
              <w:jc w:val="center"/>
              <w:rPr>
                <w:noProof/>
                <w:sz w:val="18"/>
                <w:lang w:eastAsia="en-GB"/>
              </w:rPr>
            </w:pPr>
            <w:r w:rsidRPr="00150ABA">
              <w:rPr>
                <w:noProof/>
                <w:sz w:val="18"/>
                <w:lang w:eastAsia="en-GB"/>
              </w:rPr>
              <w:t>0.</w:t>
            </w:r>
            <w:r w:rsidR="006012BC" w:rsidRPr="00150ABA">
              <w:rPr>
                <w:noProof/>
                <w:sz w:val="18"/>
                <w:lang w:eastAsia="en-GB"/>
              </w:rPr>
              <w:t>34</w:t>
            </w:r>
            <w:r w:rsidRPr="00150ABA">
              <w:rPr>
                <w:noProof/>
                <w:sz w:val="18"/>
                <w:lang w:eastAsia="en-GB"/>
              </w:rPr>
              <w:t>6</w:t>
            </w:r>
          </w:p>
        </w:tc>
        <w:tc>
          <w:tcPr>
            <w:tcW w:w="753" w:type="dxa"/>
          </w:tcPr>
          <w:p w14:paraId="56EA65D1" w14:textId="77777777" w:rsidR="007D0D6D" w:rsidRPr="00150ABA" w:rsidRDefault="007D0D6D" w:rsidP="007D0D6D">
            <w:pPr>
              <w:ind w:right="-29"/>
              <w:jc w:val="center"/>
              <w:rPr>
                <w:noProof/>
                <w:sz w:val="18"/>
                <w:lang w:eastAsia="en-GB"/>
              </w:rPr>
            </w:pPr>
          </w:p>
        </w:tc>
        <w:tc>
          <w:tcPr>
            <w:tcW w:w="941" w:type="dxa"/>
          </w:tcPr>
          <w:p w14:paraId="7950D9D7" w14:textId="55D539E7" w:rsidR="007D0D6D" w:rsidRPr="00150ABA" w:rsidRDefault="007D0D6D" w:rsidP="006012BC">
            <w:pPr>
              <w:ind w:right="-29"/>
              <w:jc w:val="center"/>
              <w:rPr>
                <w:noProof/>
                <w:sz w:val="18"/>
                <w:lang w:eastAsia="en-GB"/>
              </w:rPr>
            </w:pPr>
            <w:r w:rsidRPr="00150ABA">
              <w:rPr>
                <w:noProof/>
                <w:sz w:val="18"/>
                <w:lang w:eastAsia="en-GB"/>
              </w:rPr>
              <w:t>0.</w:t>
            </w:r>
            <w:r w:rsidR="006012BC" w:rsidRPr="00150ABA">
              <w:rPr>
                <w:noProof/>
                <w:sz w:val="18"/>
                <w:lang w:eastAsia="en-GB"/>
              </w:rPr>
              <w:t>51</w:t>
            </w:r>
            <w:r w:rsidRPr="00150ABA">
              <w:rPr>
                <w:noProof/>
                <w:sz w:val="18"/>
                <w:lang w:eastAsia="en-GB"/>
              </w:rPr>
              <w:t>9</w:t>
            </w:r>
          </w:p>
        </w:tc>
      </w:tr>
      <w:tr w:rsidR="007D0D6D" w:rsidRPr="00150ABA" w14:paraId="6058063C" w14:textId="77777777" w:rsidTr="007D0D6D">
        <w:trPr>
          <w:trHeight w:val="449"/>
          <w:jc w:val="center"/>
        </w:trPr>
        <w:tc>
          <w:tcPr>
            <w:tcW w:w="2976" w:type="dxa"/>
            <w:gridSpan w:val="3"/>
            <w:tcBorders>
              <w:bottom w:val="single" w:sz="12" w:space="0" w:color="auto"/>
            </w:tcBorders>
            <w:vAlign w:val="center"/>
          </w:tcPr>
          <w:p w14:paraId="06D0751B" w14:textId="77777777" w:rsidR="007D0D6D" w:rsidRPr="00150ABA" w:rsidRDefault="007D0D6D" w:rsidP="007D0D6D">
            <w:pPr>
              <w:ind w:right="-29"/>
              <w:jc w:val="center"/>
              <w:rPr>
                <w:noProof/>
                <w:sz w:val="18"/>
                <w:lang w:eastAsia="en-GB"/>
              </w:rPr>
            </w:pPr>
            <w:r w:rsidRPr="00150ABA">
              <w:rPr>
                <w:noProof/>
                <w:sz w:val="18"/>
                <w:lang w:eastAsia="en-GB"/>
              </w:rPr>
              <w:t>Subtotal for specific objective No 2</w:t>
            </w:r>
          </w:p>
        </w:tc>
        <w:tc>
          <w:tcPr>
            <w:tcW w:w="527" w:type="dxa"/>
            <w:tcBorders>
              <w:bottom w:val="single" w:sz="12" w:space="0" w:color="auto"/>
            </w:tcBorders>
          </w:tcPr>
          <w:p w14:paraId="06295365" w14:textId="77777777" w:rsidR="007D0D6D" w:rsidRPr="00150ABA" w:rsidRDefault="007D0D6D" w:rsidP="007D0D6D">
            <w:pPr>
              <w:ind w:right="-29"/>
              <w:jc w:val="center"/>
              <w:rPr>
                <w:noProof/>
                <w:sz w:val="18"/>
                <w:lang w:eastAsia="en-GB"/>
              </w:rPr>
            </w:pPr>
          </w:p>
        </w:tc>
        <w:tc>
          <w:tcPr>
            <w:tcW w:w="753" w:type="dxa"/>
            <w:tcBorders>
              <w:bottom w:val="single" w:sz="12" w:space="0" w:color="auto"/>
            </w:tcBorders>
          </w:tcPr>
          <w:p w14:paraId="7A710136" w14:textId="77777777" w:rsidR="007D0D6D" w:rsidRPr="00150ABA" w:rsidRDefault="007D0D6D" w:rsidP="007D0D6D">
            <w:pPr>
              <w:ind w:right="-29"/>
              <w:jc w:val="center"/>
              <w:rPr>
                <w:noProof/>
                <w:sz w:val="18"/>
                <w:lang w:eastAsia="en-GB"/>
              </w:rPr>
            </w:pPr>
          </w:p>
        </w:tc>
        <w:tc>
          <w:tcPr>
            <w:tcW w:w="565" w:type="dxa"/>
            <w:tcBorders>
              <w:bottom w:val="single" w:sz="12" w:space="0" w:color="auto"/>
            </w:tcBorders>
          </w:tcPr>
          <w:p w14:paraId="5C48654F" w14:textId="77777777" w:rsidR="007D0D6D" w:rsidRPr="00150ABA" w:rsidRDefault="007D0D6D" w:rsidP="007D0D6D">
            <w:pPr>
              <w:ind w:right="-29"/>
              <w:jc w:val="center"/>
              <w:rPr>
                <w:noProof/>
                <w:sz w:val="18"/>
                <w:lang w:eastAsia="en-GB"/>
              </w:rPr>
            </w:pPr>
          </w:p>
        </w:tc>
        <w:tc>
          <w:tcPr>
            <w:tcW w:w="753" w:type="dxa"/>
            <w:tcBorders>
              <w:bottom w:val="single" w:sz="12" w:space="0" w:color="auto"/>
            </w:tcBorders>
          </w:tcPr>
          <w:p w14:paraId="606368BB" w14:textId="77777777" w:rsidR="007D0D6D" w:rsidRPr="00150ABA" w:rsidRDefault="007D0D6D" w:rsidP="007D0D6D">
            <w:pPr>
              <w:ind w:right="-29"/>
              <w:jc w:val="center"/>
              <w:rPr>
                <w:noProof/>
                <w:sz w:val="18"/>
                <w:lang w:eastAsia="en-GB"/>
              </w:rPr>
            </w:pPr>
          </w:p>
        </w:tc>
        <w:tc>
          <w:tcPr>
            <w:tcW w:w="753" w:type="dxa"/>
            <w:tcBorders>
              <w:bottom w:val="single" w:sz="12" w:space="0" w:color="auto"/>
            </w:tcBorders>
          </w:tcPr>
          <w:p w14:paraId="60B5B063" w14:textId="77777777" w:rsidR="007D0D6D" w:rsidRPr="00150ABA" w:rsidRDefault="007D0D6D" w:rsidP="007D0D6D">
            <w:pPr>
              <w:ind w:right="-29"/>
              <w:jc w:val="center"/>
              <w:rPr>
                <w:noProof/>
                <w:sz w:val="18"/>
                <w:lang w:eastAsia="en-GB"/>
              </w:rPr>
            </w:pPr>
          </w:p>
        </w:tc>
        <w:tc>
          <w:tcPr>
            <w:tcW w:w="753" w:type="dxa"/>
            <w:tcBorders>
              <w:bottom w:val="single" w:sz="12" w:space="0" w:color="auto"/>
            </w:tcBorders>
          </w:tcPr>
          <w:p w14:paraId="353CB9BB" w14:textId="515B91B1" w:rsidR="007D0D6D" w:rsidRPr="00150ABA" w:rsidRDefault="007D0D6D" w:rsidP="006012BC">
            <w:pPr>
              <w:ind w:right="-29"/>
              <w:jc w:val="center"/>
              <w:rPr>
                <w:noProof/>
                <w:sz w:val="18"/>
                <w:lang w:eastAsia="en-GB"/>
              </w:rPr>
            </w:pPr>
            <w:r w:rsidRPr="00150ABA">
              <w:rPr>
                <w:noProof/>
                <w:sz w:val="18"/>
                <w:lang w:eastAsia="en-GB"/>
              </w:rPr>
              <w:t>0.</w:t>
            </w:r>
            <w:r w:rsidR="006012BC" w:rsidRPr="00150ABA">
              <w:rPr>
                <w:noProof/>
                <w:sz w:val="18"/>
                <w:lang w:eastAsia="en-GB"/>
              </w:rPr>
              <w:t>173</w:t>
            </w:r>
          </w:p>
        </w:tc>
        <w:tc>
          <w:tcPr>
            <w:tcW w:w="825" w:type="dxa"/>
            <w:tcBorders>
              <w:bottom w:val="single" w:sz="12" w:space="0" w:color="auto"/>
            </w:tcBorders>
          </w:tcPr>
          <w:p w14:paraId="75AE06C2" w14:textId="77777777" w:rsidR="007D0D6D" w:rsidRPr="00150ABA" w:rsidRDefault="007D0D6D" w:rsidP="007D0D6D">
            <w:pPr>
              <w:ind w:right="-29"/>
              <w:jc w:val="center"/>
              <w:rPr>
                <w:noProof/>
                <w:sz w:val="18"/>
                <w:lang w:eastAsia="en-GB"/>
              </w:rPr>
            </w:pPr>
          </w:p>
        </w:tc>
        <w:tc>
          <w:tcPr>
            <w:tcW w:w="869" w:type="dxa"/>
            <w:tcBorders>
              <w:bottom w:val="single" w:sz="12" w:space="0" w:color="auto"/>
            </w:tcBorders>
          </w:tcPr>
          <w:p w14:paraId="304639C9" w14:textId="267B9BBF" w:rsidR="007D0D6D" w:rsidRPr="00150ABA" w:rsidRDefault="007D0D6D" w:rsidP="006012BC">
            <w:pPr>
              <w:ind w:right="-29"/>
              <w:jc w:val="center"/>
              <w:rPr>
                <w:noProof/>
                <w:sz w:val="18"/>
                <w:lang w:eastAsia="en-GB"/>
              </w:rPr>
            </w:pPr>
            <w:r w:rsidRPr="00150ABA">
              <w:rPr>
                <w:noProof/>
                <w:sz w:val="18"/>
                <w:lang w:eastAsia="en-GB"/>
              </w:rPr>
              <w:t>0.</w:t>
            </w:r>
            <w:r w:rsidR="006012BC" w:rsidRPr="00150ABA">
              <w:rPr>
                <w:noProof/>
                <w:sz w:val="18"/>
                <w:lang w:eastAsia="en-GB"/>
              </w:rPr>
              <w:t>34</w:t>
            </w:r>
            <w:r w:rsidRPr="00150ABA">
              <w:rPr>
                <w:noProof/>
                <w:sz w:val="18"/>
                <w:lang w:eastAsia="en-GB"/>
              </w:rPr>
              <w:t>6</w:t>
            </w:r>
          </w:p>
        </w:tc>
        <w:tc>
          <w:tcPr>
            <w:tcW w:w="753" w:type="dxa"/>
            <w:tcBorders>
              <w:bottom w:val="single" w:sz="12" w:space="0" w:color="auto"/>
            </w:tcBorders>
          </w:tcPr>
          <w:p w14:paraId="1123B0DC" w14:textId="77777777" w:rsidR="007D0D6D" w:rsidRPr="00150ABA" w:rsidRDefault="007D0D6D" w:rsidP="007D0D6D">
            <w:pPr>
              <w:ind w:right="-29"/>
              <w:jc w:val="center"/>
              <w:rPr>
                <w:noProof/>
                <w:sz w:val="18"/>
                <w:lang w:eastAsia="en-GB"/>
              </w:rPr>
            </w:pPr>
          </w:p>
        </w:tc>
        <w:tc>
          <w:tcPr>
            <w:tcW w:w="941" w:type="dxa"/>
            <w:tcBorders>
              <w:bottom w:val="single" w:sz="12" w:space="0" w:color="auto"/>
            </w:tcBorders>
          </w:tcPr>
          <w:p w14:paraId="21449D6C" w14:textId="449588E6" w:rsidR="007D0D6D" w:rsidRPr="00150ABA" w:rsidRDefault="007D0D6D" w:rsidP="006012BC">
            <w:pPr>
              <w:ind w:right="-29"/>
              <w:jc w:val="center"/>
              <w:rPr>
                <w:noProof/>
                <w:sz w:val="18"/>
                <w:lang w:eastAsia="en-GB"/>
              </w:rPr>
            </w:pPr>
            <w:r w:rsidRPr="00150ABA">
              <w:rPr>
                <w:noProof/>
                <w:sz w:val="18"/>
                <w:lang w:eastAsia="en-GB"/>
              </w:rPr>
              <w:t>0.</w:t>
            </w:r>
            <w:r w:rsidR="006012BC" w:rsidRPr="00150ABA">
              <w:rPr>
                <w:noProof/>
                <w:sz w:val="18"/>
                <w:lang w:eastAsia="en-GB"/>
              </w:rPr>
              <w:t>519</w:t>
            </w:r>
          </w:p>
        </w:tc>
      </w:tr>
      <w:tr w:rsidR="007D0D6D" w:rsidRPr="00150ABA" w14:paraId="661BF80E" w14:textId="77777777" w:rsidTr="007D0D6D">
        <w:trPr>
          <w:trHeight w:val="585"/>
          <w:jc w:val="center"/>
        </w:trPr>
        <w:tc>
          <w:tcPr>
            <w:tcW w:w="2976" w:type="dxa"/>
            <w:gridSpan w:val="3"/>
            <w:tcBorders>
              <w:top w:val="single" w:sz="12" w:space="0" w:color="auto"/>
              <w:left w:val="single" w:sz="12" w:space="0" w:color="auto"/>
              <w:bottom w:val="single" w:sz="12" w:space="0" w:color="auto"/>
            </w:tcBorders>
            <w:vAlign w:val="center"/>
          </w:tcPr>
          <w:p w14:paraId="2BF40902" w14:textId="77777777" w:rsidR="007D0D6D" w:rsidRPr="00150ABA" w:rsidRDefault="007D0D6D" w:rsidP="007D0D6D">
            <w:pPr>
              <w:ind w:right="-29"/>
              <w:jc w:val="center"/>
              <w:rPr>
                <w:noProof/>
                <w:sz w:val="18"/>
                <w:lang w:eastAsia="en-GB"/>
              </w:rPr>
            </w:pPr>
            <w:r w:rsidRPr="00150ABA">
              <w:rPr>
                <w:b/>
                <w:noProof/>
                <w:sz w:val="18"/>
                <w:lang w:eastAsia="en-GB"/>
              </w:rPr>
              <w:t>TOTAL COST</w:t>
            </w:r>
          </w:p>
        </w:tc>
        <w:tc>
          <w:tcPr>
            <w:tcW w:w="527" w:type="dxa"/>
            <w:tcBorders>
              <w:top w:val="single" w:sz="12" w:space="0" w:color="auto"/>
              <w:bottom w:val="single" w:sz="12" w:space="0" w:color="auto"/>
            </w:tcBorders>
          </w:tcPr>
          <w:p w14:paraId="4C0A6A11" w14:textId="77777777" w:rsidR="007D0D6D" w:rsidRPr="00150ABA" w:rsidRDefault="007D0D6D" w:rsidP="007D0D6D">
            <w:pPr>
              <w:spacing w:before="180" w:after="180"/>
              <w:ind w:right="-29"/>
              <w:jc w:val="center"/>
              <w:rPr>
                <w:noProof/>
                <w:sz w:val="18"/>
                <w:lang w:eastAsia="en-GB"/>
              </w:rPr>
            </w:pPr>
          </w:p>
        </w:tc>
        <w:tc>
          <w:tcPr>
            <w:tcW w:w="753" w:type="dxa"/>
            <w:tcBorders>
              <w:top w:val="single" w:sz="12" w:space="0" w:color="auto"/>
              <w:bottom w:val="single" w:sz="12" w:space="0" w:color="auto"/>
            </w:tcBorders>
          </w:tcPr>
          <w:p w14:paraId="4693EDEF" w14:textId="77777777" w:rsidR="007D0D6D" w:rsidRPr="00150ABA" w:rsidRDefault="007D0D6D" w:rsidP="007D0D6D">
            <w:pPr>
              <w:spacing w:before="180" w:after="180"/>
              <w:ind w:right="-29"/>
              <w:jc w:val="center"/>
              <w:rPr>
                <w:noProof/>
                <w:sz w:val="18"/>
                <w:lang w:eastAsia="en-GB"/>
              </w:rPr>
            </w:pPr>
          </w:p>
        </w:tc>
        <w:tc>
          <w:tcPr>
            <w:tcW w:w="565" w:type="dxa"/>
            <w:tcBorders>
              <w:top w:val="single" w:sz="12" w:space="0" w:color="auto"/>
              <w:bottom w:val="single" w:sz="12" w:space="0" w:color="auto"/>
            </w:tcBorders>
          </w:tcPr>
          <w:p w14:paraId="341BC8E9" w14:textId="77777777" w:rsidR="007D0D6D" w:rsidRPr="00150ABA" w:rsidRDefault="007D0D6D" w:rsidP="007D0D6D">
            <w:pPr>
              <w:spacing w:before="180" w:after="180"/>
              <w:ind w:right="-29"/>
              <w:jc w:val="center"/>
              <w:rPr>
                <w:noProof/>
                <w:sz w:val="18"/>
                <w:lang w:eastAsia="en-GB"/>
              </w:rPr>
            </w:pPr>
          </w:p>
        </w:tc>
        <w:tc>
          <w:tcPr>
            <w:tcW w:w="753" w:type="dxa"/>
            <w:tcBorders>
              <w:top w:val="single" w:sz="12" w:space="0" w:color="auto"/>
              <w:bottom w:val="single" w:sz="12" w:space="0" w:color="auto"/>
            </w:tcBorders>
          </w:tcPr>
          <w:p w14:paraId="28F75961" w14:textId="77777777" w:rsidR="007D0D6D" w:rsidRPr="00150ABA" w:rsidRDefault="007D0D6D" w:rsidP="007D0D6D">
            <w:pPr>
              <w:spacing w:before="180" w:after="180"/>
              <w:ind w:right="-29"/>
              <w:jc w:val="center"/>
              <w:rPr>
                <w:noProof/>
                <w:sz w:val="18"/>
                <w:lang w:eastAsia="en-GB"/>
              </w:rPr>
            </w:pPr>
          </w:p>
        </w:tc>
        <w:tc>
          <w:tcPr>
            <w:tcW w:w="753" w:type="dxa"/>
            <w:tcBorders>
              <w:top w:val="single" w:sz="12" w:space="0" w:color="auto"/>
              <w:bottom w:val="single" w:sz="12" w:space="0" w:color="auto"/>
            </w:tcBorders>
          </w:tcPr>
          <w:p w14:paraId="342CA3B3" w14:textId="77777777" w:rsidR="007D0D6D" w:rsidRPr="00150ABA" w:rsidRDefault="007D0D6D" w:rsidP="007D0D6D">
            <w:pPr>
              <w:spacing w:before="180" w:after="180"/>
              <w:ind w:right="-29"/>
              <w:jc w:val="center"/>
              <w:rPr>
                <w:noProof/>
                <w:sz w:val="18"/>
                <w:lang w:eastAsia="en-GB"/>
              </w:rPr>
            </w:pPr>
          </w:p>
        </w:tc>
        <w:tc>
          <w:tcPr>
            <w:tcW w:w="753" w:type="dxa"/>
            <w:tcBorders>
              <w:top w:val="single" w:sz="12" w:space="0" w:color="auto"/>
              <w:bottom w:val="single" w:sz="12" w:space="0" w:color="auto"/>
            </w:tcBorders>
          </w:tcPr>
          <w:p w14:paraId="2F90CC1E" w14:textId="77777777" w:rsidR="007D0D6D" w:rsidRPr="00150ABA" w:rsidRDefault="007D0D6D" w:rsidP="007D0D6D">
            <w:pPr>
              <w:spacing w:before="180" w:after="180"/>
              <w:ind w:right="-29"/>
              <w:jc w:val="center"/>
              <w:rPr>
                <w:noProof/>
                <w:sz w:val="18"/>
                <w:lang w:eastAsia="en-GB"/>
              </w:rPr>
            </w:pPr>
          </w:p>
        </w:tc>
        <w:tc>
          <w:tcPr>
            <w:tcW w:w="825" w:type="dxa"/>
            <w:tcBorders>
              <w:top w:val="single" w:sz="12" w:space="0" w:color="auto"/>
              <w:bottom w:val="single" w:sz="12" w:space="0" w:color="auto"/>
            </w:tcBorders>
          </w:tcPr>
          <w:p w14:paraId="60F35651" w14:textId="77777777" w:rsidR="007D0D6D" w:rsidRPr="00150ABA" w:rsidRDefault="007D0D6D" w:rsidP="007D0D6D">
            <w:pPr>
              <w:spacing w:before="180" w:after="180"/>
              <w:ind w:right="-29"/>
              <w:jc w:val="center"/>
              <w:rPr>
                <w:noProof/>
                <w:sz w:val="18"/>
                <w:lang w:eastAsia="en-GB"/>
              </w:rPr>
            </w:pPr>
          </w:p>
        </w:tc>
        <w:tc>
          <w:tcPr>
            <w:tcW w:w="869" w:type="dxa"/>
            <w:tcBorders>
              <w:top w:val="single" w:sz="12" w:space="0" w:color="auto"/>
              <w:bottom w:val="single" w:sz="12" w:space="0" w:color="auto"/>
            </w:tcBorders>
          </w:tcPr>
          <w:p w14:paraId="72433CD6" w14:textId="77777777" w:rsidR="007D0D6D" w:rsidRPr="00150ABA" w:rsidRDefault="007D0D6D" w:rsidP="007D0D6D">
            <w:pPr>
              <w:spacing w:before="180" w:after="180"/>
              <w:ind w:right="-29"/>
              <w:jc w:val="center"/>
              <w:rPr>
                <w:noProof/>
                <w:sz w:val="18"/>
                <w:lang w:eastAsia="en-GB"/>
              </w:rPr>
            </w:pPr>
          </w:p>
        </w:tc>
        <w:tc>
          <w:tcPr>
            <w:tcW w:w="753" w:type="dxa"/>
            <w:tcBorders>
              <w:top w:val="single" w:sz="12" w:space="0" w:color="auto"/>
              <w:bottom w:val="single" w:sz="12" w:space="0" w:color="auto"/>
            </w:tcBorders>
          </w:tcPr>
          <w:p w14:paraId="1881CEA9" w14:textId="77777777" w:rsidR="007D0D6D" w:rsidRPr="00150ABA" w:rsidRDefault="007D0D6D" w:rsidP="007D0D6D">
            <w:pPr>
              <w:spacing w:before="180" w:after="180"/>
              <w:ind w:right="-29"/>
              <w:jc w:val="center"/>
              <w:rPr>
                <w:noProof/>
                <w:sz w:val="18"/>
                <w:lang w:eastAsia="en-GB"/>
              </w:rPr>
            </w:pPr>
          </w:p>
        </w:tc>
        <w:tc>
          <w:tcPr>
            <w:tcW w:w="941" w:type="dxa"/>
            <w:tcBorders>
              <w:top w:val="single" w:sz="12" w:space="0" w:color="auto"/>
              <w:bottom w:val="single" w:sz="12" w:space="0" w:color="auto"/>
              <w:right w:val="single" w:sz="12" w:space="0" w:color="auto"/>
            </w:tcBorders>
          </w:tcPr>
          <w:p w14:paraId="46E1F90B" w14:textId="2819C161" w:rsidR="007D0D6D" w:rsidRPr="00150ABA" w:rsidRDefault="007D0D6D" w:rsidP="006012BC">
            <w:pPr>
              <w:spacing w:before="180" w:after="180"/>
              <w:ind w:right="-29"/>
              <w:jc w:val="center"/>
              <w:rPr>
                <w:noProof/>
                <w:sz w:val="18"/>
                <w:lang w:eastAsia="en-GB"/>
              </w:rPr>
            </w:pPr>
            <w:r w:rsidRPr="00150ABA">
              <w:rPr>
                <w:noProof/>
                <w:sz w:val="18"/>
                <w:lang w:eastAsia="en-GB"/>
              </w:rPr>
              <w:t>1.</w:t>
            </w:r>
            <w:r w:rsidR="006012BC" w:rsidRPr="00150ABA">
              <w:rPr>
                <w:noProof/>
                <w:sz w:val="18"/>
                <w:lang w:eastAsia="en-GB"/>
              </w:rPr>
              <w:t>201</w:t>
            </w:r>
          </w:p>
        </w:tc>
      </w:tr>
    </w:tbl>
    <w:p w14:paraId="5A0821DA" w14:textId="77777777" w:rsidR="007D0D6D" w:rsidRPr="00150ABA" w:rsidRDefault="007D0D6D" w:rsidP="007D0D6D">
      <w:pPr>
        <w:rPr>
          <w:noProof/>
        </w:rPr>
      </w:pPr>
    </w:p>
    <w:p w14:paraId="05079033" w14:textId="77777777" w:rsidR="007D0D6D" w:rsidRPr="00150ABA" w:rsidRDefault="007D0D6D" w:rsidP="007D0D6D">
      <w:pPr>
        <w:tabs>
          <w:tab w:val="left" w:pos="1707"/>
        </w:tabs>
        <w:rPr>
          <w:noProof/>
        </w:rPr>
      </w:pPr>
      <w:r w:rsidRPr="00150ABA">
        <w:rPr>
          <w:noProof/>
        </w:rPr>
        <w:tab/>
      </w:r>
    </w:p>
    <w:p w14:paraId="0E33AC81" w14:textId="77777777" w:rsidR="00A728BA" w:rsidRPr="00150ABA" w:rsidRDefault="007D0D6D" w:rsidP="007D0D6D">
      <w:pPr>
        <w:tabs>
          <w:tab w:val="left" w:pos="1707"/>
        </w:tabs>
        <w:rPr>
          <w:noProof/>
        </w:rPr>
        <w:sectPr w:rsidR="00A728BA" w:rsidRPr="00150ABA" w:rsidSect="00E45D24">
          <w:headerReference w:type="default" r:id="rId15"/>
          <w:footerReference w:type="default" r:id="rId16"/>
          <w:headerReference w:type="first" r:id="rId17"/>
          <w:footerReference w:type="first" r:id="rId18"/>
          <w:pgSz w:w="16840" w:h="11907" w:orient="landscape" w:code="9"/>
          <w:pgMar w:top="1134" w:right="1418" w:bottom="567" w:left="1418" w:header="709" w:footer="709" w:gutter="0"/>
          <w:cols w:space="708"/>
          <w:docGrid w:linePitch="360"/>
        </w:sectPr>
      </w:pPr>
      <w:r w:rsidRPr="00150ABA">
        <w:rPr>
          <w:noProof/>
        </w:rPr>
        <w:tab/>
      </w:r>
    </w:p>
    <w:p w14:paraId="6F6D7846" w14:textId="036D0862" w:rsidR="007D0D6D" w:rsidRPr="00150ABA" w:rsidRDefault="00D76D82" w:rsidP="00D76D82">
      <w:pPr>
        <w:pStyle w:val="ManualHeading3"/>
        <w:rPr>
          <w:bCs/>
          <w:noProof/>
          <w:szCs w:val="24"/>
        </w:rPr>
      </w:pPr>
      <w:bookmarkStart w:id="30" w:name="_Toc85196972"/>
      <w:r w:rsidRPr="00D76D82">
        <w:t>3.2.3.</w:t>
      </w:r>
      <w:r w:rsidRPr="00D76D82">
        <w:tab/>
      </w:r>
      <w:r w:rsidR="007D0D6D" w:rsidRPr="00150ABA">
        <w:rPr>
          <w:noProof/>
        </w:rPr>
        <w:t>Estimated impact on eu-LISA's appropriations</w:t>
      </w:r>
      <w:bookmarkEnd w:id="30"/>
      <w:r w:rsidR="007D0D6D" w:rsidRPr="00150ABA">
        <w:rPr>
          <w:noProof/>
        </w:rPr>
        <w:t xml:space="preserve"> </w:t>
      </w:r>
    </w:p>
    <w:p w14:paraId="55AC0419" w14:textId="77777777" w:rsidR="007D0D6D" w:rsidRPr="00150ABA" w:rsidRDefault="007D0D6D" w:rsidP="008326C2">
      <w:pPr>
        <w:pStyle w:val="ListDash1"/>
        <w:numPr>
          <w:ilvl w:val="0"/>
          <w:numId w:val="16"/>
        </w:numPr>
        <w:rPr>
          <w:noProof/>
        </w:rPr>
      </w:pPr>
      <w:r w:rsidRPr="00150ABA">
        <w:rPr>
          <w:noProof/>
        </w:rPr>
        <w:sym w:font="Wingdings" w:char="F0A8"/>
      </w:r>
      <w:r w:rsidRPr="00150ABA">
        <w:rPr>
          <w:noProof/>
        </w:rPr>
        <w:tab/>
        <w:t xml:space="preserve">The proposal/initiative does not require the use of operational appropriations </w:t>
      </w:r>
    </w:p>
    <w:p w14:paraId="432617DC" w14:textId="77777777" w:rsidR="007D0D6D" w:rsidRPr="00150ABA" w:rsidRDefault="007D0D6D" w:rsidP="008326C2">
      <w:pPr>
        <w:pStyle w:val="ListDash1"/>
        <w:numPr>
          <w:ilvl w:val="0"/>
          <w:numId w:val="16"/>
        </w:numPr>
        <w:rPr>
          <w:noProof/>
        </w:rPr>
      </w:pPr>
      <w:r w:rsidRPr="00150ABA">
        <w:rPr>
          <w:noProof/>
        </w:rPr>
        <w:sym w:font="Wingdings" w:char="F0FE"/>
      </w:r>
      <w:r w:rsidRPr="00150ABA">
        <w:rPr>
          <w:noProof/>
        </w:rPr>
        <w:tab/>
        <w:t>The proposal/initiative requires the use of operational appropriations, as explained below:</w:t>
      </w:r>
    </w:p>
    <w:p w14:paraId="276E3887" w14:textId="5EA08CF8" w:rsidR="00A728BA" w:rsidRPr="00150ABA" w:rsidRDefault="00534A42" w:rsidP="00534A42">
      <w:pPr>
        <w:ind w:firstLine="720"/>
        <w:jc w:val="right"/>
        <w:rPr>
          <w:noProof/>
          <w:sz w:val="20"/>
        </w:rPr>
      </w:pPr>
      <w:r w:rsidRPr="00150ABA">
        <w:rPr>
          <w:noProof/>
          <w:sz w:val="20"/>
        </w:rPr>
        <w:t xml:space="preserve">Commitment appropriations in </w:t>
      </w:r>
      <w:r w:rsidR="00A728BA" w:rsidRPr="00150ABA">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789"/>
        <w:gridCol w:w="831"/>
        <w:gridCol w:w="720"/>
        <w:gridCol w:w="900"/>
      </w:tblGrid>
      <w:tr w:rsidR="001F2A4B" w:rsidRPr="00150ABA" w14:paraId="6AFB06DD" w14:textId="77777777" w:rsidTr="001F2A4B">
        <w:trPr>
          <w:jc w:val="center"/>
        </w:trPr>
        <w:tc>
          <w:tcPr>
            <w:tcW w:w="1423" w:type="dxa"/>
            <w:vMerge w:val="restart"/>
            <w:vAlign w:val="center"/>
          </w:tcPr>
          <w:p w14:paraId="4A7B5235" w14:textId="77777777" w:rsidR="001F2A4B" w:rsidRPr="0084051F" w:rsidRDefault="001F2A4B" w:rsidP="001F2A4B">
            <w:pPr>
              <w:ind w:right="-29"/>
              <w:jc w:val="center"/>
              <w:rPr>
                <w:b/>
                <w:noProof/>
                <w:sz w:val="18"/>
                <w:lang w:val="fr-BE"/>
              </w:rPr>
            </w:pPr>
            <w:r w:rsidRPr="0084051F">
              <w:rPr>
                <w:b/>
                <w:noProof/>
                <w:sz w:val="18"/>
                <w:lang w:val="fr-BE"/>
              </w:rPr>
              <w:t xml:space="preserve">Indicate objectives and outputs </w:t>
            </w:r>
          </w:p>
          <w:p w14:paraId="780D99CF" w14:textId="77777777" w:rsidR="001F2A4B" w:rsidRPr="0084051F" w:rsidRDefault="001F2A4B" w:rsidP="001F2A4B">
            <w:pPr>
              <w:ind w:right="-29"/>
              <w:jc w:val="center"/>
              <w:rPr>
                <w:b/>
                <w:noProof/>
                <w:sz w:val="18"/>
                <w:lang w:val="fr-BE"/>
              </w:rPr>
            </w:pPr>
            <w:r w:rsidRPr="0084051F">
              <w:rPr>
                <w:b/>
                <w:noProof/>
                <w:sz w:val="18"/>
                <w:lang w:val="fr-BE"/>
              </w:rPr>
              <w:t>eu-LISA</w:t>
            </w:r>
          </w:p>
          <w:p w14:paraId="3CD2A33E" w14:textId="77777777" w:rsidR="001F2A4B" w:rsidRPr="0084051F" w:rsidRDefault="001F2A4B" w:rsidP="001F2A4B">
            <w:pPr>
              <w:ind w:right="-29"/>
              <w:jc w:val="center"/>
              <w:rPr>
                <w:b/>
                <w:noProof/>
                <w:sz w:val="18"/>
                <w:lang w:val="fr-BE"/>
              </w:rPr>
            </w:pPr>
          </w:p>
          <w:p w14:paraId="77CD63E7" w14:textId="77777777" w:rsidR="001F2A4B" w:rsidRPr="00150ABA" w:rsidRDefault="001F2A4B" w:rsidP="001F2A4B">
            <w:pPr>
              <w:ind w:right="-29"/>
              <w:jc w:val="center"/>
              <w:rPr>
                <w:noProof/>
                <w:sz w:val="18"/>
              </w:rPr>
            </w:pPr>
            <w:r w:rsidRPr="00150ABA">
              <w:rPr>
                <w:noProof/>
                <w:sz w:val="18"/>
              </w:rPr>
              <w:sym w:font="Wingdings" w:char="F0F2"/>
            </w:r>
          </w:p>
        </w:tc>
        <w:tc>
          <w:tcPr>
            <w:tcW w:w="720" w:type="dxa"/>
            <w:vAlign w:val="center"/>
          </w:tcPr>
          <w:p w14:paraId="1D7E81B7" w14:textId="77777777" w:rsidR="001F2A4B" w:rsidRPr="00150ABA" w:rsidRDefault="001F2A4B" w:rsidP="001F2A4B">
            <w:pPr>
              <w:ind w:right="-29"/>
              <w:jc w:val="center"/>
              <w:rPr>
                <w:noProof/>
                <w:sz w:val="18"/>
              </w:rPr>
            </w:pPr>
          </w:p>
        </w:tc>
        <w:tc>
          <w:tcPr>
            <w:tcW w:w="701" w:type="dxa"/>
            <w:vAlign w:val="center"/>
          </w:tcPr>
          <w:p w14:paraId="1943196F" w14:textId="77777777" w:rsidR="001F2A4B" w:rsidRPr="00150ABA" w:rsidRDefault="001F2A4B" w:rsidP="001F2A4B">
            <w:pPr>
              <w:ind w:right="-29"/>
              <w:jc w:val="center"/>
              <w:rPr>
                <w:noProof/>
                <w:sz w:val="18"/>
              </w:rPr>
            </w:pPr>
          </w:p>
        </w:tc>
        <w:tc>
          <w:tcPr>
            <w:tcW w:w="1224" w:type="dxa"/>
            <w:gridSpan w:val="2"/>
            <w:tcBorders>
              <w:left w:val="nil"/>
            </w:tcBorders>
            <w:vAlign w:val="center"/>
          </w:tcPr>
          <w:p w14:paraId="3E336388" w14:textId="77777777" w:rsidR="001F2A4B" w:rsidRPr="00150ABA" w:rsidRDefault="001F2A4B" w:rsidP="001F2A4B">
            <w:pPr>
              <w:ind w:right="-29"/>
              <w:jc w:val="center"/>
              <w:rPr>
                <w:noProof/>
                <w:sz w:val="18"/>
              </w:rPr>
            </w:pPr>
            <w:r w:rsidRPr="00150ABA">
              <w:rPr>
                <w:noProof/>
                <w:sz w:val="20"/>
              </w:rPr>
              <w:t>Year</w:t>
            </w:r>
            <w:r w:rsidRPr="00150ABA">
              <w:rPr>
                <w:noProof/>
                <w:sz w:val="22"/>
              </w:rPr>
              <w:br/>
            </w:r>
            <w:r w:rsidRPr="00150ABA">
              <w:rPr>
                <w:b/>
                <w:noProof/>
                <w:sz w:val="20"/>
              </w:rPr>
              <w:t>2024</w:t>
            </w:r>
          </w:p>
        </w:tc>
        <w:tc>
          <w:tcPr>
            <w:tcW w:w="1260" w:type="dxa"/>
            <w:gridSpan w:val="2"/>
            <w:vAlign w:val="center"/>
          </w:tcPr>
          <w:p w14:paraId="547E38B0" w14:textId="77777777" w:rsidR="001F2A4B" w:rsidRPr="00150ABA" w:rsidRDefault="001F2A4B" w:rsidP="001F2A4B">
            <w:pPr>
              <w:ind w:right="-29"/>
              <w:jc w:val="center"/>
              <w:rPr>
                <w:noProof/>
                <w:sz w:val="18"/>
              </w:rPr>
            </w:pPr>
            <w:r w:rsidRPr="00150ABA">
              <w:rPr>
                <w:noProof/>
                <w:sz w:val="20"/>
              </w:rPr>
              <w:t>Year</w:t>
            </w:r>
            <w:r w:rsidRPr="00150ABA">
              <w:rPr>
                <w:noProof/>
                <w:sz w:val="22"/>
              </w:rPr>
              <w:br/>
            </w:r>
            <w:r w:rsidRPr="00150ABA">
              <w:rPr>
                <w:b/>
                <w:noProof/>
                <w:sz w:val="20"/>
              </w:rPr>
              <w:t>2025</w:t>
            </w:r>
          </w:p>
        </w:tc>
        <w:tc>
          <w:tcPr>
            <w:tcW w:w="1440" w:type="dxa"/>
            <w:gridSpan w:val="2"/>
            <w:vAlign w:val="center"/>
          </w:tcPr>
          <w:p w14:paraId="0951A171" w14:textId="77777777" w:rsidR="001F2A4B" w:rsidRPr="00150ABA" w:rsidRDefault="001F2A4B" w:rsidP="001F2A4B">
            <w:pPr>
              <w:ind w:right="-29"/>
              <w:jc w:val="center"/>
              <w:rPr>
                <w:noProof/>
                <w:sz w:val="18"/>
              </w:rPr>
            </w:pPr>
            <w:r w:rsidRPr="00150ABA">
              <w:rPr>
                <w:noProof/>
                <w:sz w:val="20"/>
              </w:rPr>
              <w:t>Year</w:t>
            </w:r>
            <w:r w:rsidRPr="00150ABA">
              <w:rPr>
                <w:noProof/>
                <w:sz w:val="22"/>
              </w:rPr>
              <w:br/>
            </w:r>
            <w:r w:rsidRPr="00150ABA">
              <w:rPr>
                <w:b/>
                <w:noProof/>
                <w:sz w:val="20"/>
              </w:rPr>
              <w:t>2026</w:t>
            </w:r>
          </w:p>
        </w:tc>
        <w:tc>
          <w:tcPr>
            <w:tcW w:w="1620" w:type="dxa"/>
            <w:gridSpan w:val="2"/>
            <w:vAlign w:val="center"/>
          </w:tcPr>
          <w:p w14:paraId="1BAB15F0" w14:textId="77777777" w:rsidR="001F2A4B" w:rsidRPr="00150ABA" w:rsidRDefault="001F2A4B" w:rsidP="001F2A4B">
            <w:pPr>
              <w:ind w:right="-29"/>
              <w:jc w:val="center"/>
              <w:rPr>
                <w:noProof/>
                <w:sz w:val="18"/>
              </w:rPr>
            </w:pPr>
            <w:r w:rsidRPr="00150ABA">
              <w:rPr>
                <w:noProof/>
                <w:sz w:val="20"/>
              </w:rPr>
              <w:t>Year</w:t>
            </w:r>
            <w:r w:rsidRPr="00150ABA">
              <w:rPr>
                <w:noProof/>
                <w:sz w:val="22"/>
              </w:rPr>
              <w:br/>
            </w:r>
            <w:r w:rsidRPr="00150ABA">
              <w:rPr>
                <w:b/>
                <w:noProof/>
                <w:sz w:val="20"/>
              </w:rPr>
              <w:t>2027</w:t>
            </w:r>
          </w:p>
        </w:tc>
        <w:tc>
          <w:tcPr>
            <w:tcW w:w="1620" w:type="dxa"/>
            <w:gridSpan w:val="2"/>
            <w:tcBorders>
              <w:left w:val="nil"/>
              <w:bottom w:val="single" w:sz="4" w:space="0" w:color="auto"/>
            </w:tcBorders>
            <w:vAlign w:val="center"/>
          </w:tcPr>
          <w:p w14:paraId="0D756046" w14:textId="77777777" w:rsidR="001F2A4B" w:rsidRPr="00150ABA" w:rsidRDefault="001F2A4B" w:rsidP="001F2A4B">
            <w:pPr>
              <w:ind w:right="-29"/>
              <w:jc w:val="center"/>
              <w:rPr>
                <w:noProof/>
                <w:sz w:val="18"/>
              </w:rPr>
            </w:pPr>
            <w:r w:rsidRPr="00150ABA">
              <w:rPr>
                <w:b/>
                <w:noProof/>
                <w:sz w:val="18"/>
              </w:rPr>
              <w:t>TOTAL 2024-2027</w:t>
            </w:r>
          </w:p>
        </w:tc>
      </w:tr>
      <w:tr w:rsidR="001F2A4B" w:rsidRPr="00150ABA" w14:paraId="1CACADAF" w14:textId="77777777" w:rsidTr="001F2A4B">
        <w:trPr>
          <w:gridAfter w:val="12"/>
          <w:wAfter w:w="8585" w:type="dxa"/>
          <w:trHeight w:val="447"/>
          <w:jc w:val="center"/>
        </w:trPr>
        <w:tc>
          <w:tcPr>
            <w:tcW w:w="1423" w:type="dxa"/>
            <w:vMerge/>
            <w:vAlign w:val="center"/>
          </w:tcPr>
          <w:p w14:paraId="3B433749" w14:textId="77777777" w:rsidR="001F2A4B" w:rsidRPr="00150ABA" w:rsidRDefault="001F2A4B" w:rsidP="001F2A4B">
            <w:pPr>
              <w:rPr>
                <w:noProof/>
                <w:sz w:val="18"/>
              </w:rPr>
            </w:pPr>
          </w:p>
        </w:tc>
      </w:tr>
      <w:tr w:rsidR="001F2A4B" w:rsidRPr="00150ABA" w14:paraId="3C50B70D" w14:textId="77777777" w:rsidTr="001F2A4B">
        <w:trPr>
          <w:cantSplit/>
          <w:trHeight w:val="1134"/>
          <w:jc w:val="center"/>
        </w:trPr>
        <w:tc>
          <w:tcPr>
            <w:tcW w:w="1423" w:type="dxa"/>
            <w:vMerge/>
            <w:vAlign w:val="center"/>
          </w:tcPr>
          <w:p w14:paraId="278FD4F6" w14:textId="77777777" w:rsidR="001F2A4B" w:rsidRPr="00150ABA" w:rsidRDefault="001F2A4B" w:rsidP="001F2A4B">
            <w:pPr>
              <w:rPr>
                <w:noProof/>
                <w:sz w:val="18"/>
              </w:rPr>
            </w:pPr>
          </w:p>
        </w:tc>
        <w:tc>
          <w:tcPr>
            <w:tcW w:w="720" w:type="dxa"/>
            <w:vAlign w:val="center"/>
          </w:tcPr>
          <w:p w14:paraId="53E9B8A8" w14:textId="77777777" w:rsidR="001F2A4B" w:rsidRPr="00150ABA" w:rsidRDefault="001F2A4B" w:rsidP="001F2A4B">
            <w:pPr>
              <w:jc w:val="center"/>
              <w:rPr>
                <w:noProof/>
                <w:sz w:val="18"/>
              </w:rPr>
            </w:pPr>
            <w:r w:rsidRPr="00150ABA">
              <w:rPr>
                <w:noProof/>
                <w:sz w:val="18"/>
              </w:rPr>
              <w:t>Type</w:t>
            </w:r>
          </w:p>
        </w:tc>
        <w:tc>
          <w:tcPr>
            <w:tcW w:w="701" w:type="dxa"/>
            <w:vAlign w:val="center"/>
          </w:tcPr>
          <w:p w14:paraId="485DF653" w14:textId="77777777" w:rsidR="001F2A4B" w:rsidRPr="00150ABA" w:rsidRDefault="001F2A4B" w:rsidP="001F2A4B">
            <w:pPr>
              <w:jc w:val="center"/>
              <w:rPr>
                <w:noProof/>
              </w:rPr>
            </w:pPr>
            <w:r w:rsidRPr="00150ABA">
              <w:rPr>
                <w:noProof/>
                <w:sz w:val="18"/>
              </w:rPr>
              <w:t>Average cost</w:t>
            </w:r>
          </w:p>
        </w:tc>
        <w:tc>
          <w:tcPr>
            <w:tcW w:w="504" w:type="dxa"/>
            <w:tcBorders>
              <w:left w:val="nil"/>
              <w:right w:val="dashSmallGap" w:sz="4" w:space="0" w:color="auto"/>
            </w:tcBorders>
            <w:shd w:val="pct10" w:color="auto" w:fill="auto"/>
            <w:textDirection w:val="btLr"/>
            <w:vAlign w:val="center"/>
          </w:tcPr>
          <w:p w14:paraId="57BF9A34" w14:textId="77777777" w:rsidR="001F2A4B" w:rsidRPr="00150ABA" w:rsidRDefault="001F2A4B" w:rsidP="001F2A4B">
            <w:pPr>
              <w:ind w:left="113" w:right="113"/>
              <w:jc w:val="center"/>
              <w:rPr>
                <w:noProof/>
              </w:rPr>
            </w:pPr>
            <w:r w:rsidRPr="00150ABA">
              <w:rPr>
                <w:noProof/>
                <w:sz w:val="18"/>
              </w:rPr>
              <w:t>No</w:t>
            </w:r>
          </w:p>
        </w:tc>
        <w:tc>
          <w:tcPr>
            <w:tcW w:w="720" w:type="dxa"/>
            <w:tcBorders>
              <w:left w:val="dashSmallGap" w:sz="4" w:space="0" w:color="auto"/>
            </w:tcBorders>
            <w:shd w:val="pct10" w:color="auto" w:fill="auto"/>
            <w:vAlign w:val="center"/>
          </w:tcPr>
          <w:p w14:paraId="6C8BA4BD" w14:textId="77777777" w:rsidR="001F2A4B" w:rsidRPr="00150ABA" w:rsidRDefault="001F2A4B" w:rsidP="001F2A4B">
            <w:pPr>
              <w:jc w:val="center"/>
              <w:rPr>
                <w:noProof/>
                <w:sz w:val="18"/>
              </w:rPr>
            </w:pPr>
            <w:r w:rsidRPr="00150ABA">
              <w:rPr>
                <w:noProof/>
                <w:sz w:val="18"/>
              </w:rPr>
              <w:t>Cost</w:t>
            </w:r>
          </w:p>
        </w:tc>
        <w:tc>
          <w:tcPr>
            <w:tcW w:w="540" w:type="dxa"/>
            <w:tcBorders>
              <w:right w:val="dashSmallGap" w:sz="4" w:space="0" w:color="auto"/>
            </w:tcBorders>
            <w:shd w:val="pct10" w:color="auto" w:fill="auto"/>
            <w:textDirection w:val="btLr"/>
            <w:vAlign w:val="center"/>
          </w:tcPr>
          <w:p w14:paraId="443BDD6C" w14:textId="77777777" w:rsidR="001F2A4B" w:rsidRPr="00150ABA" w:rsidRDefault="001F2A4B" w:rsidP="001F2A4B">
            <w:pPr>
              <w:ind w:left="113" w:right="113"/>
              <w:jc w:val="center"/>
              <w:rPr>
                <w:noProof/>
              </w:rPr>
            </w:pPr>
            <w:r w:rsidRPr="00150ABA">
              <w:rPr>
                <w:noProof/>
                <w:sz w:val="18"/>
              </w:rPr>
              <w:t>No</w:t>
            </w:r>
          </w:p>
        </w:tc>
        <w:tc>
          <w:tcPr>
            <w:tcW w:w="720" w:type="dxa"/>
            <w:tcBorders>
              <w:left w:val="dashSmallGap" w:sz="4" w:space="0" w:color="auto"/>
            </w:tcBorders>
            <w:shd w:val="pct10" w:color="auto" w:fill="auto"/>
            <w:vAlign w:val="center"/>
          </w:tcPr>
          <w:p w14:paraId="47AA4E54" w14:textId="77777777" w:rsidR="001F2A4B" w:rsidRPr="00150ABA" w:rsidRDefault="001F2A4B" w:rsidP="001F2A4B">
            <w:pPr>
              <w:jc w:val="center"/>
              <w:rPr>
                <w:noProof/>
                <w:sz w:val="18"/>
              </w:rPr>
            </w:pPr>
            <w:r w:rsidRPr="00150ABA">
              <w:rPr>
                <w:noProof/>
                <w:sz w:val="18"/>
              </w:rPr>
              <w:t>Cost</w:t>
            </w:r>
          </w:p>
        </w:tc>
        <w:tc>
          <w:tcPr>
            <w:tcW w:w="720" w:type="dxa"/>
            <w:tcBorders>
              <w:right w:val="dashSmallGap" w:sz="4" w:space="0" w:color="auto"/>
            </w:tcBorders>
            <w:shd w:val="pct10" w:color="auto" w:fill="auto"/>
            <w:textDirection w:val="btLr"/>
            <w:vAlign w:val="center"/>
          </w:tcPr>
          <w:p w14:paraId="6B8BBB0A" w14:textId="77777777" w:rsidR="001F2A4B" w:rsidRPr="00150ABA" w:rsidRDefault="001F2A4B" w:rsidP="001F2A4B">
            <w:pPr>
              <w:ind w:left="113" w:right="113"/>
              <w:jc w:val="center"/>
              <w:rPr>
                <w:noProof/>
              </w:rPr>
            </w:pPr>
            <w:r w:rsidRPr="00150ABA">
              <w:rPr>
                <w:noProof/>
                <w:sz w:val="18"/>
              </w:rPr>
              <w:t>No</w:t>
            </w:r>
          </w:p>
        </w:tc>
        <w:tc>
          <w:tcPr>
            <w:tcW w:w="720" w:type="dxa"/>
            <w:tcBorders>
              <w:left w:val="dashSmallGap" w:sz="4" w:space="0" w:color="auto"/>
            </w:tcBorders>
            <w:shd w:val="pct10" w:color="auto" w:fill="auto"/>
            <w:vAlign w:val="center"/>
          </w:tcPr>
          <w:p w14:paraId="6A935642" w14:textId="77777777" w:rsidR="001F2A4B" w:rsidRPr="00150ABA" w:rsidRDefault="001F2A4B" w:rsidP="001F2A4B">
            <w:pPr>
              <w:jc w:val="center"/>
              <w:rPr>
                <w:noProof/>
                <w:sz w:val="18"/>
              </w:rPr>
            </w:pPr>
            <w:r w:rsidRPr="00150ABA">
              <w:rPr>
                <w:noProof/>
                <w:sz w:val="18"/>
              </w:rPr>
              <w:t>Cost</w:t>
            </w:r>
          </w:p>
        </w:tc>
        <w:tc>
          <w:tcPr>
            <w:tcW w:w="789" w:type="dxa"/>
            <w:tcBorders>
              <w:right w:val="dashSmallGap" w:sz="4" w:space="0" w:color="auto"/>
            </w:tcBorders>
            <w:shd w:val="pct10" w:color="auto" w:fill="auto"/>
            <w:textDirection w:val="btLr"/>
            <w:vAlign w:val="center"/>
          </w:tcPr>
          <w:p w14:paraId="316103E9" w14:textId="77777777" w:rsidR="001F2A4B" w:rsidRPr="00150ABA" w:rsidRDefault="001F2A4B" w:rsidP="001F2A4B">
            <w:pPr>
              <w:ind w:left="113" w:right="113"/>
              <w:jc w:val="center"/>
              <w:rPr>
                <w:noProof/>
              </w:rPr>
            </w:pPr>
            <w:r w:rsidRPr="00150ABA">
              <w:rPr>
                <w:noProof/>
                <w:sz w:val="18"/>
              </w:rPr>
              <w:t>No</w:t>
            </w:r>
          </w:p>
        </w:tc>
        <w:tc>
          <w:tcPr>
            <w:tcW w:w="831" w:type="dxa"/>
            <w:tcBorders>
              <w:left w:val="dashSmallGap" w:sz="4" w:space="0" w:color="auto"/>
            </w:tcBorders>
            <w:shd w:val="pct10" w:color="auto" w:fill="auto"/>
            <w:vAlign w:val="center"/>
          </w:tcPr>
          <w:p w14:paraId="71DFC4A1" w14:textId="77777777" w:rsidR="001F2A4B" w:rsidRPr="00150ABA" w:rsidRDefault="001F2A4B" w:rsidP="001F2A4B">
            <w:pPr>
              <w:jc w:val="center"/>
              <w:rPr>
                <w:noProof/>
                <w:sz w:val="18"/>
              </w:rPr>
            </w:pPr>
            <w:r w:rsidRPr="00150ABA">
              <w:rPr>
                <w:noProof/>
                <w:sz w:val="18"/>
              </w:rPr>
              <w:t>Cost</w:t>
            </w:r>
          </w:p>
        </w:tc>
        <w:tc>
          <w:tcPr>
            <w:tcW w:w="720" w:type="dxa"/>
            <w:tcBorders>
              <w:right w:val="dashSmallGap" w:sz="4" w:space="0" w:color="auto"/>
            </w:tcBorders>
            <w:shd w:val="pct10" w:color="auto" w:fill="auto"/>
            <w:vAlign w:val="center"/>
          </w:tcPr>
          <w:p w14:paraId="30873D2A" w14:textId="77777777" w:rsidR="001F2A4B" w:rsidRPr="00150ABA" w:rsidRDefault="001F2A4B" w:rsidP="001F2A4B">
            <w:pPr>
              <w:jc w:val="center"/>
              <w:rPr>
                <w:noProof/>
                <w:sz w:val="18"/>
              </w:rPr>
            </w:pPr>
            <w:r w:rsidRPr="00150ABA">
              <w:rPr>
                <w:noProof/>
                <w:sz w:val="18"/>
              </w:rPr>
              <w:t>Total No</w:t>
            </w:r>
          </w:p>
        </w:tc>
        <w:tc>
          <w:tcPr>
            <w:tcW w:w="900" w:type="dxa"/>
            <w:tcBorders>
              <w:left w:val="dashSmallGap" w:sz="4" w:space="0" w:color="auto"/>
            </w:tcBorders>
            <w:shd w:val="pct10" w:color="auto" w:fill="auto"/>
            <w:vAlign w:val="center"/>
          </w:tcPr>
          <w:p w14:paraId="4F4244A8" w14:textId="77777777" w:rsidR="001F2A4B" w:rsidRPr="00150ABA" w:rsidRDefault="001F2A4B" w:rsidP="001F2A4B">
            <w:pPr>
              <w:jc w:val="center"/>
              <w:rPr>
                <w:noProof/>
              </w:rPr>
            </w:pPr>
            <w:r w:rsidRPr="00150ABA">
              <w:rPr>
                <w:noProof/>
                <w:sz w:val="18"/>
              </w:rPr>
              <w:t>Total cost</w:t>
            </w:r>
          </w:p>
        </w:tc>
      </w:tr>
      <w:tr w:rsidR="001F2A4B" w:rsidRPr="00150ABA" w14:paraId="5541BDE1" w14:textId="77777777" w:rsidTr="001F2A4B">
        <w:trPr>
          <w:jc w:val="center"/>
        </w:trPr>
        <w:tc>
          <w:tcPr>
            <w:tcW w:w="2844" w:type="dxa"/>
            <w:gridSpan w:val="3"/>
            <w:vAlign w:val="center"/>
          </w:tcPr>
          <w:p w14:paraId="7F8B3547" w14:textId="77777777" w:rsidR="001F2A4B" w:rsidRPr="00150ABA" w:rsidRDefault="001F2A4B" w:rsidP="001F2A4B">
            <w:pPr>
              <w:spacing w:before="60" w:after="60"/>
              <w:ind w:right="-29"/>
              <w:jc w:val="center"/>
              <w:rPr>
                <w:noProof/>
                <w:sz w:val="18"/>
              </w:rPr>
            </w:pPr>
            <w:r w:rsidRPr="00150ABA">
              <w:rPr>
                <w:noProof/>
                <w:sz w:val="18"/>
              </w:rPr>
              <w:t>SPECIFIC OBJECTIVE No 1</w:t>
            </w:r>
          </w:p>
          <w:p w14:paraId="1A87D08B" w14:textId="77777777" w:rsidR="001F2A4B" w:rsidRPr="00150ABA" w:rsidRDefault="001F2A4B" w:rsidP="001F2A4B">
            <w:pPr>
              <w:spacing w:before="60" w:after="60"/>
              <w:ind w:right="-29"/>
              <w:jc w:val="center"/>
              <w:rPr>
                <w:noProof/>
                <w:sz w:val="18"/>
              </w:rPr>
            </w:pPr>
            <w:r w:rsidRPr="00150ABA">
              <w:rPr>
                <w:noProof/>
                <w:sz w:val="18"/>
              </w:rPr>
              <w:t>To develop the JITs collaboration platform</w:t>
            </w:r>
          </w:p>
        </w:tc>
        <w:tc>
          <w:tcPr>
            <w:tcW w:w="504" w:type="dxa"/>
            <w:tcBorders>
              <w:top w:val="nil"/>
              <w:left w:val="nil"/>
              <w:bottom w:val="nil"/>
              <w:right w:val="nil"/>
            </w:tcBorders>
          </w:tcPr>
          <w:p w14:paraId="67581FC3" w14:textId="77777777" w:rsidR="001F2A4B" w:rsidRPr="00150ABA" w:rsidRDefault="001F2A4B" w:rsidP="001F2A4B">
            <w:pPr>
              <w:spacing w:before="60" w:after="60"/>
              <w:ind w:right="-29"/>
              <w:jc w:val="center"/>
              <w:rPr>
                <w:noProof/>
                <w:sz w:val="18"/>
              </w:rPr>
            </w:pPr>
          </w:p>
        </w:tc>
        <w:tc>
          <w:tcPr>
            <w:tcW w:w="720" w:type="dxa"/>
            <w:tcBorders>
              <w:top w:val="nil"/>
              <w:left w:val="nil"/>
              <w:bottom w:val="nil"/>
              <w:right w:val="nil"/>
            </w:tcBorders>
          </w:tcPr>
          <w:p w14:paraId="3AC76FAE" w14:textId="77777777" w:rsidR="001F2A4B" w:rsidRPr="00150ABA" w:rsidRDefault="001F2A4B" w:rsidP="001F2A4B">
            <w:pPr>
              <w:spacing w:before="60" w:after="60"/>
              <w:ind w:right="-29"/>
              <w:jc w:val="center"/>
              <w:rPr>
                <w:noProof/>
                <w:sz w:val="18"/>
              </w:rPr>
            </w:pPr>
          </w:p>
        </w:tc>
        <w:tc>
          <w:tcPr>
            <w:tcW w:w="540" w:type="dxa"/>
            <w:tcBorders>
              <w:top w:val="nil"/>
              <w:left w:val="nil"/>
              <w:bottom w:val="nil"/>
              <w:right w:val="nil"/>
            </w:tcBorders>
          </w:tcPr>
          <w:p w14:paraId="10143903" w14:textId="77777777" w:rsidR="001F2A4B" w:rsidRPr="00150ABA" w:rsidRDefault="001F2A4B" w:rsidP="001F2A4B">
            <w:pPr>
              <w:spacing w:before="60" w:after="60"/>
              <w:ind w:right="-29"/>
              <w:jc w:val="center"/>
              <w:rPr>
                <w:noProof/>
                <w:sz w:val="18"/>
              </w:rPr>
            </w:pPr>
          </w:p>
        </w:tc>
        <w:tc>
          <w:tcPr>
            <w:tcW w:w="720" w:type="dxa"/>
            <w:tcBorders>
              <w:top w:val="nil"/>
              <w:left w:val="nil"/>
              <w:bottom w:val="nil"/>
              <w:right w:val="nil"/>
            </w:tcBorders>
          </w:tcPr>
          <w:p w14:paraId="72DBD08C" w14:textId="77777777" w:rsidR="001F2A4B" w:rsidRPr="00150ABA" w:rsidRDefault="001F2A4B" w:rsidP="001F2A4B">
            <w:pPr>
              <w:spacing w:before="60" w:after="60"/>
              <w:ind w:right="-29"/>
              <w:jc w:val="center"/>
              <w:rPr>
                <w:noProof/>
                <w:sz w:val="18"/>
              </w:rPr>
            </w:pPr>
          </w:p>
        </w:tc>
        <w:tc>
          <w:tcPr>
            <w:tcW w:w="720" w:type="dxa"/>
            <w:tcBorders>
              <w:top w:val="nil"/>
              <w:left w:val="nil"/>
              <w:bottom w:val="nil"/>
              <w:right w:val="nil"/>
            </w:tcBorders>
          </w:tcPr>
          <w:p w14:paraId="75DC8E5B" w14:textId="77777777" w:rsidR="001F2A4B" w:rsidRPr="00150ABA" w:rsidRDefault="001F2A4B" w:rsidP="001F2A4B">
            <w:pPr>
              <w:spacing w:before="60" w:after="60"/>
              <w:ind w:right="-29"/>
              <w:jc w:val="center"/>
              <w:rPr>
                <w:noProof/>
                <w:sz w:val="18"/>
              </w:rPr>
            </w:pPr>
          </w:p>
        </w:tc>
        <w:tc>
          <w:tcPr>
            <w:tcW w:w="720" w:type="dxa"/>
            <w:tcBorders>
              <w:top w:val="nil"/>
              <w:left w:val="nil"/>
              <w:bottom w:val="nil"/>
              <w:right w:val="nil"/>
            </w:tcBorders>
          </w:tcPr>
          <w:p w14:paraId="294E30DF" w14:textId="77777777" w:rsidR="001F2A4B" w:rsidRPr="00150ABA" w:rsidRDefault="001F2A4B" w:rsidP="001F2A4B">
            <w:pPr>
              <w:spacing w:before="60" w:after="60"/>
              <w:ind w:right="-29"/>
              <w:jc w:val="center"/>
              <w:rPr>
                <w:noProof/>
                <w:sz w:val="18"/>
              </w:rPr>
            </w:pPr>
          </w:p>
        </w:tc>
        <w:tc>
          <w:tcPr>
            <w:tcW w:w="789" w:type="dxa"/>
            <w:tcBorders>
              <w:top w:val="nil"/>
              <w:left w:val="nil"/>
              <w:bottom w:val="nil"/>
              <w:right w:val="nil"/>
            </w:tcBorders>
          </w:tcPr>
          <w:p w14:paraId="37B59F92" w14:textId="77777777" w:rsidR="001F2A4B" w:rsidRPr="00150ABA" w:rsidRDefault="001F2A4B" w:rsidP="001F2A4B">
            <w:pPr>
              <w:spacing w:before="60" w:after="60"/>
              <w:ind w:right="-29"/>
              <w:jc w:val="center"/>
              <w:rPr>
                <w:noProof/>
                <w:sz w:val="18"/>
              </w:rPr>
            </w:pPr>
          </w:p>
        </w:tc>
        <w:tc>
          <w:tcPr>
            <w:tcW w:w="831" w:type="dxa"/>
            <w:tcBorders>
              <w:top w:val="nil"/>
              <w:left w:val="nil"/>
              <w:bottom w:val="nil"/>
              <w:right w:val="nil"/>
            </w:tcBorders>
          </w:tcPr>
          <w:p w14:paraId="4DB78598" w14:textId="77777777" w:rsidR="001F2A4B" w:rsidRPr="00150ABA" w:rsidRDefault="001F2A4B" w:rsidP="001F2A4B">
            <w:pPr>
              <w:spacing w:before="60" w:after="60"/>
              <w:ind w:right="-29"/>
              <w:jc w:val="center"/>
              <w:rPr>
                <w:noProof/>
                <w:sz w:val="18"/>
              </w:rPr>
            </w:pPr>
          </w:p>
        </w:tc>
        <w:tc>
          <w:tcPr>
            <w:tcW w:w="720" w:type="dxa"/>
            <w:tcBorders>
              <w:top w:val="nil"/>
              <w:left w:val="nil"/>
              <w:bottom w:val="nil"/>
              <w:right w:val="nil"/>
            </w:tcBorders>
          </w:tcPr>
          <w:p w14:paraId="148D0518" w14:textId="77777777" w:rsidR="001F2A4B" w:rsidRPr="00150ABA" w:rsidRDefault="001F2A4B" w:rsidP="001F2A4B">
            <w:pPr>
              <w:spacing w:before="60" w:after="60"/>
              <w:ind w:right="-29"/>
              <w:jc w:val="center"/>
              <w:rPr>
                <w:noProof/>
                <w:sz w:val="18"/>
              </w:rPr>
            </w:pPr>
          </w:p>
        </w:tc>
        <w:tc>
          <w:tcPr>
            <w:tcW w:w="900" w:type="dxa"/>
            <w:tcBorders>
              <w:top w:val="nil"/>
              <w:left w:val="nil"/>
              <w:bottom w:val="nil"/>
              <w:right w:val="nil"/>
            </w:tcBorders>
          </w:tcPr>
          <w:p w14:paraId="01091A47" w14:textId="77777777" w:rsidR="001F2A4B" w:rsidRPr="00150ABA" w:rsidRDefault="001F2A4B" w:rsidP="001F2A4B">
            <w:pPr>
              <w:spacing w:before="60" w:after="60"/>
              <w:ind w:right="-29"/>
              <w:jc w:val="center"/>
              <w:rPr>
                <w:noProof/>
                <w:sz w:val="18"/>
              </w:rPr>
            </w:pPr>
          </w:p>
        </w:tc>
      </w:tr>
      <w:tr w:rsidR="001F2A4B" w:rsidRPr="00150ABA" w14:paraId="276C59BC" w14:textId="77777777" w:rsidTr="001F2A4B">
        <w:trPr>
          <w:trHeight w:hRule="exact" w:val="1571"/>
          <w:jc w:val="center"/>
        </w:trPr>
        <w:tc>
          <w:tcPr>
            <w:tcW w:w="1423" w:type="dxa"/>
          </w:tcPr>
          <w:p w14:paraId="561E4165" w14:textId="77777777" w:rsidR="001F2A4B" w:rsidRPr="00150ABA" w:rsidRDefault="001F2A4B" w:rsidP="001F2A4B">
            <w:pPr>
              <w:rPr>
                <w:rFonts w:ascii="Roboto" w:hAnsi="Roboto"/>
                <w:noProof/>
                <w:sz w:val="18"/>
                <w:szCs w:val="18"/>
              </w:rPr>
            </w:pPr>
            <w:r w:rsidRPr="00150ABA">
              <w:rPr>
                <w:rFonts w:ascii="Roboto" w:hAnsi="Roboto"/>
                <w:noProof/>
                <w:sz w:val="18"/>
                <w:szCs w:val="18"/>
              </w:rPr>
              <w:t>Professional Services – design, development &amp; testing costs (contractors)</w:t>
            </w:r>
          </w:p>
          <w:p w14:paraId="61BFB122" w14:textId="77777777" w:rsidR="001F2A4B" w:rsidRPr="00150ABA" w:rsidRDefault="001F2A4B" w:rsidP="001F2A4B">
            <w:pPr>
              <w:ind w:right="-29"/>
              <w:jc w:val="center"/>
              <w:rPr>
                <w:noProof/>
                <w:sz w:val="18"/>
              </w:rPr>
            </w:pPr>
          </w:p>
        </w:tc>
        <w:tc>
          <w:tcPr>
            <w:tcW w:w="720" w:type="dxa"/>
          </w:tcPr>
          <w:p w14:paraId="11FB3F58" w14:textId="77777777" w:rsidR="001F2A4B" w:rsidRPr="00150ABA" w:rsidRDefault="001F2A4B" w:rsidP="001F2A4B">
            <w:pPr>
              <w:ind w:right="-29"/>
              <w:jc w:val="center"/>
              <w:rPr>
                <w:noProof/>
                <w:sz w:val="18"/>
              </w:rPr>
            </w:pPr>
          </w:p>
        </w:tc>
        <w:tc>
          <w:tcPr>
            <w:tcW w:w="701" w:type="dxa"/>
          </w:tcPr>
          <w:p w14:paraId="6EB9CC36" w14:textId="77777777" w:rsidR="001F2A4B" w:rsidRPr="00150ABA" w:rsidRDefault="001F2A4B" w:rsidP="001F2A4B">
            <w:pPr>
              <w:ind w:right="-29"/>
              <w:jc w:val="center"/>
              <w:rPr>
                <w:noProof/>
                <w:sz w:val="18"/>
              </w:rPr>
            </w:pPr>
          </w:p>
        </w:tc>
        <w:tc>
          <w:tcPr>
            <w:tcW w:w="504" w:type="dxa"/>
            <w:tcBorders>
              <w:right w:val="dashSmallGap" w:sz="4" w:space="0" w:color="auto"/>
            </w:tcBorders>
          </w:tcPr>
          <w:p w14:paraId="68DC2B20" w14:textId="77777777" w:rsidR="001F2A4B" w:rsidRPr="00150ABA" w:rsidRDefault="001F2A4B" w:rsidP="001F2A4B">
            <w:pPr>
              <w:ind w:right="-29"/>
              <w:jc w:val="center"/>
              <w:rPr>
                <w:noProof/>
                <w:sz w:val="18"/>
              </w:rPr>
            </w:pPr>
          </w:p>
        </w:tc>
        <w:tc>
          <w:tcPr>
            <w:tcW w:w="720" w:type="dxa"/>
            <w:tcBorders>
              <w:left w:val="dashSmallGap" w:sz="4" w:space="0" w:color="auto"/>
            </w:tcBorders>
          </w:tcPr>
          <w:p w14:paraId="616F6009" w14:textId="77777777" w:rsidR="001F2A4B" w:rsidRPr="00150ABA" w:rsidRDefault="001F2A4B" w:rsidP="001F2A4B">
            <w:pPr>
              <w:ind w:right="-29"/>
              <w:jc w:val="center"/>
              <w:rPr>
                <w:noProof/>
                <w:sz w:val="18"/>
              </w:rPr>
            </w:pPr>
            <w:r w:rsidRPr="00150ABA">
              <w:rPr>
                <w:noProof/>
                <w:sz w:val="18"/>
              </w:rPr>
              <w:t>0.500</w:t>
            </w:r>
          </w:p>
        </w:tc>
        <w:tc>
          <w:tcPr>
            <w:tcW w:w="540" w:type="dxa"/>
            <w:tcBorders>
              <w:right w:val="dashSmallGap" w:sz="4" w:space="0" w:color="auto"/>
            </w:tcBorders>
          </w:tcPr>
          <w:p w14:paraId="08C42B50" w14:textId="77777777" w:rsidR="001F2A4B" w:rsidRPr="00150ABA" w:rsidRDefault="001F2A4B" w:rsidP="001F2A4B">
            <w:pPr>
              <w:ind w:right="-29"/>
              <w:jc w:val="center"/>
              <w:rPr>
                <w:noProof/>
                <w:sz w:val="18"/>
              </w:rPr>
            </w:pPr>
          </w:p>
        </w:tc>
        <w:tc>
          <w:tcPr>
            <w:tcW w:w="720" w:type="dxa"/>
            <w:tcBorders>
              <w:left w:val="dashSmallGap" w:sz="4" w:space="0" w:color="auto"/>
            </w:tcBorders>
          </w:tcPr>
          <w:p w14:paraId="68BE6112" w14:textId="77777777" w:rsidR="001F2A4B" w:rsidRPr="00150ABA" w:rsidRDefault="001F2A4B" w:rsidP="001F2A4B">
            <w:pPr>
              <w:ind w:right="-29"/>
              <w:jc w:val="center"/>
              <w:rPr>
                <w:noProof/>
                <w:sz w:val="18"/>
              </w:rPr>
            </w:pPr>
            <w:r w:rsidRPr="00150ABA">
              <w:rPr>
                <w:noProof/>
                <w:sz w:val="18"/>
              </w:rPr>
              <w:t>0.200</w:t>
            </w:r>
          </w:p>
        </w:tc>
        <w:tc>
          <w:tcPr>
            <w:tcW w:w="720" w:type="dxa"/>
            <w:tcBorders>
              <w:right w:val="dashSmallGap" w:sz="4" w:space="0" w:color="auto"/>
            </w:tcBorders>
          </w:tcPr>
          <w:p w14:paraId="6A9ED48A" w14:textId="77777777" w:rsidR="001F2A4B" w:rsidRPr="00150ABA" w:rsidRDefault="001F2A4B" w:rsidP="001F2A4B">
            <w:pPr>
              <w:ind w:right="-29"/>
              <w:jc w:val="center"/>
              <w:rPr>
                <w:noProof/>
                <w:sz w:val="18"/>
              </w:rPr>
            </w:pPr>
          </w:p>
        </w:tc>
        <w:tc>
          <w:tcPr>
            <w:tcW w:w="720" w:type="dxa"/>
            <w:tcBorders>
              <w:left w:val="dashSmallGap" w:sz="4" w:space="0" w:color="auto"/>
            </w:tcBorders>
          </w:tcPr>
          <w:p w14:paraId="6A4CACA3" w14:textId="77777777" w:rsidR="001F2A4B" w:rsidRPr="00150ABA" w:rsidRDefault="001F2A4B" w:rsidP="001F2A4B">
            <w:pPr>
              <w:ind w:right="-29"/>
              <w:jc w:val="center"/>
              <w:rPr>
                <w:noProof/>
                <w:sz w:val="18"/>
              </w:rPr>
            </w:pPr>
          </w:p>
        </w:tc>
        <w:tc>
          <w:tcPr>
            <w:tcW w:w="789" w:type="dxa"/>
            <w:tcBorders>
              <w:right w:val="dashSmallGap" w:sz="4" w:space="0" w:color="auto"/>
            </w:tcBorders>
          </w:tcPr>
          <w:p w14:paraId="1A87E8BF" w14:textId="77777777" w:rsidR="001F2A4B" w:rsidRPr="00150ABA" w:rsidRDefault="001F2A4B" w:rsidP="001F2A4B">
            <w:pPr>
              <w:ind w:right="-29"/>
              <w:jc w:val="center"/>
              <w:rPr>
                <w:noProof/>
                <w:sz w:val="18"/>
              </w:rPr>
            </w:pPr>
          </w:p>
        </w:tc>
        <w:tc>
          <w:tcPr>
            <w:tcW w:w="831" w:type="dxa"/>
            <w:tcBorders>
              <w:left w:val="dashSmallGap" w:sz="4" w:space="0" w:color="auto"/>
            </w:tcBorders>
          </w:tcPr>
          <w:p w14:paraId="6AF8A0B4" w14:textId="77777777" w:rsidR="001F2A4B" w:rsidRPr="00150ABA" w:rsidRDefault="001F2A4B" w:rsidP="001F2A4B">
            <w:pPr>
              <w:ind w:right="-29"/>
              <w:jc w:val="center"/>
              <w:rPr>
                <w:noProof/>
                <w:sz w:val="18"/>
              </w:rPr>
            </w:pPr>
          </w:p>
        </w:tc>
        <w:tc>
          <w:tcPr>
            <w:tcW w:w="720" w:type="dxa"/>
          </w:tcPr>
          <w:p w14:paraId="5F3A17DE" w14:textId="77777777" w:rsidR="001F2A4B" w:rsidRPr="00150ABA" w:rsidRDefault="001F2A4B" w:rsidP="001F2A4B">
            <w:pPr>
              <w:ind w:right="-29"/>
              <w:jc w:val="center"/>
              <w:rPr>
                <w:noProof/>
                <w:sz w:val="18"/>
              </w:rPr>
            </w:pPr>
          </w:p>
        </w:tc>
        <w:tc>
          <w:tcPr>
            <w:tcW w:w="900" w:type="dxa"/>
          </w:tcPr>
          <w:p w14:paraId="52B290DD" w14:textId="77777777" w:rsidR="001F2A4B" w:rsidRPr="00150ABA" w:rsidRDefault="001F2A4B" w:rsidP="001F2A4B">
            <w:pPr>
              <w:ind w:right="-29"/>
              <w:jc w:val="center"/>
              <w:rPr>
                <w:noProof/>
                <w:sz w:val="18"/>
              </w:rPr>
            </w:pPr>
            <w:r w:rsidRPr="00150ABA">
              <w:rPr>
                <w:noProof/>
                <w:sz w:val="18"/>
              </w:rPr>
              <w:t>0.700</w:t>
            </w:r>
          </w:p>
        </w:tc>
      </w:tr>
      <w:tr w:rsidR="001F2A4B" w:rsidRPr="00150ABA" w14:paraId="64CE7892" w14:textId="77777777" w:rsidTr="001F2A4B">
        <w:trPr>
          <w:trHeight w:hRule="exact" w:val="1126"/>
          <w:jc w:val="center"/>
        </w:trPr>
        <w:tc>
          <w:tcPr>
            <w:tcW w:w="1423" w:type="dxa"/>
          </w:tcPr>
          <w:p w14:paraId="02BB46E9" w14:textId="77777777" w:rsidR="001F2A4B" w:rsidRPr="00150ABA" w:rsidRDefault="001F2A4B" w:rsidP="001F2A4B">
            <w:pPr>
              <w:rPr>
                <w:rFonts w:ascii="Roboto" w:hAnsi="Roboto"/>
                <w:noProof/>
                <w:sz w:val="18"/>
                <w:szCs w:val="18"/>
              </w:rPr>
            </w:pPr>
            <w:r w:rsidRPr="00150ABA">
              <w:rPr>
                <w:rFonts w:ascii="Roboto" w:hAnsi="Roboto"/>
                <w:noProof/>
                <w:sz w:val="18"/>
                <w:szCs w:val="18"/>
              </w:rPr>
              <w:t>Security design, management, testing and compliance</w:t>
            </w:r>
          </w:p>
        </w:tc>
        <w:tc>
          <w:tcPr>
            <w:tcW w:w="720" w:type="dxa"/>
          </w:tcPr>
          <w:p w14:paraId="659C024D" w14:textId="77777777" w:rsidR="001F2A4B" w:rsidRPr="00150ABA" w:rsidRDefault="001F2A4B" w:rsidP="001F2A4B">
            <w:pPr>
              <w:ind w:right="-29"/>
              <w:jc w:val="center"/>
              <w:rPr>
                <w:noProof/>
                <w:sz w:val="18"/>
              </w:rPr>
            </w:pPr>
          </w:p>
        </w:tc>
        <w:tc>
          <w:tcPr>
            <w:tcW w:w="701" w:type="dxa"/>
          </w:tcPr>
          <w:p w14:paraId="2D1143E1" w14:textId="77777777" w:rsidR="001F2A4B" w:rsidRPr="00150ABA" w:rsidRDefault="001F2A4B" w:rsidP="001F2A4B">
            <w:pPr>
              <w:ind w:right="-29"/>
              <w:jc w:val="center"/>
              <w:rPr>
                <w:noProof/>
                <w:sz w:val="18"/>
              </w:rPr>
            </w:pPr>
          </w:p>
        </w:tc>
        <w:tc>
          <w:tcPr>
            <w:tcW w:w="504" w:type="dxa"/>
            <w:tcBorders>
              <w:right w:val="dashSmallGap" w:sz="4" w:space="0" w:color="auto"/>
            </w:tcBorders>
          </w:tcPr>
          <w:p w14:paraId="0A65DB8B" w14:textId="77777777" w:rsidR="001F2A4B" w:rsidRPr="00150ABA" w:rsidRDefault="001F2A4B" w:rsidP="001F2A4B">
            <w:pPr>
              <w:ind w:right="-29"/>
              <w:jc w:val="center"/>
              <w:rPr>
                <w:noProof/>
                <w:sz w:val="18"/>
              </w:rPr>
            </w:pPr>
          </w:p>
        </w:tc>
        <w:tc>
          <w:tcPr>
            <w:tcW w:w="720" w:type="dxa"/>
            <w:tcBorders>
              <w:left w:val="dashSmallGap" w:sz="4" w:space="0" w:color="auto"/>
            </w:tcBorders>
          </w:tcPr>
          <w:p w14:paraId="00A41DF2" w14:textId="77777777" w:rsidR="001F2A4B" w:rsidRPr="00150ABA" w:rsidRDefault="001F2A4B" w:rsidP="001F2A4B">
            <w:pPr>
              <w:ind w:right="-29"/>
              <w:jc w:val="center"/>
              <w:rPr>
                <w:noProof/>
                <w:sz w:val="18"/>
              </w:rPr>
            </w:pPr>
            <w:r w:rsidRPr="00150ABA">
              <w:rPr>
                <w:noProof/>
                <w:sz w:val="18"/>
              </w:rPr>
              <w:t>1.000</w:t>
            </w:r>
          </w:p>
        </w:tc>
        <w:tc>
          <w:tcPr>
            <w:tcW w:w="540" w:type="dxa"/>
            <w:tcBorders>
              <w:right w:val="dashSmallGap" w:sz="4" w:space="0" w:color="auto"/>
            </w:tcBorders>
          </w:tcPr>
          <w:p w14:paraId="331D741A" w14:textId="77777777" w:rsidR="001F2A4B" w:rsidRPr="00150ABA" w:rsidRDefault="001F2A4B" w:rsidP="001F2A4B">
            <w:pPr>
              <w:ind w:right="-29"/>
              <w:jc w:val="center"/>
              <w:rPr>
                <w:noProof/>
                <w:sz w:val="18"/>
              </w:rPr>
            </w:pPr>
          </w:p>
        </w:tc>
        <w:tc>
          <w:tcPr>
            <w:tcW w:w="720" w:type="dxa"/>
            <w:tcBorders>
              <w:left w:val="dashSmallGap" w:sz="4" w:space="0" w:color="auto"/>
            </w:tcBorders>
          </w:tcPr>
          <w:p w14:paraId="0BFBE337" w14:textId="77777777" w:rsidR="001F2A4B" w:rsidRPr="00150ABA" w:rsidRDefault="001F2A4B" w:rsidP="001F2A4B">
            <w:pPr>
              <w:ind w:right="-29"/>
              <w:jc w:val="center"/>
              <w:rPr>
                <w:noProof/>
                <w:sz w:val="18"/>
              </w:rPr>
            </w:pPr>
          </w:p>
        </w:tc>
        <w:tc>
          <w:tcPr>
            <w:tcW w:w="720" w:type="dxa"/>
            <w:tcBorders>
              <w:right w:val="dashSmallGap" w:sz="4" w:space="0" w:color="auto"/>
            </w:tcBorders>
          </w:tcPr>
          <w:p w14:paraId="594864D2" w14:textId="77777777" w:rsidR="001F2A4B" w:rsidRPr="00150ABA" w:rsidRDefault="001F2A4B" w:rsidP="001F2A4B">
            <w:pPr>
              <w:ind w:right="-29"/>
              <w:jc w:val="center"/>
              <w:rPr>
                <w:noProof/>
                <w:sz w:val="18"/>
              </w:rPr>
            </w:pPr>
          </w:p>
        </w:tc>
        <w:tc>
          <w:tcPr>
            <w:tcW w:w="720" w:type="dxa"/>
            <w:tcBorders>
              <w:left w:val="dashSmallGap" w:sz="4" w:space="0" w:color="auto"/>
            </w:tcBorders>
          </w:tcPr>
          <w:p w14:paraId="4950B873" w14:textId="77777777" w:rsidR="001F2A4B" w:rsidRPr="00150ABA" w:rsidRDefault="001F2A4B" w:rsidP="001F2A4B">
            <w:pPr>
              <w:ind w:right="-29"/>
              <w:jc w:val="center"/>
              <w:rPr>
                <w:noProof/>
                <w:sz w:val="18"/>
              </w:rPr>
            </w:pPr>
          </w:p>
        </w:tc>
        <w:tc>
          <w:tcPr>
            <w:tcW w:w="789" w:type="dxa"/>
            <w:tcBorders>
              <w:right w:val="dashSmallGap" w:sz="4" w:space="0" w:color="auto"/>
            </w:tcBorders>
          </w:tcPr>
          <w:p w14:paraId="38C0E201" w14:textId="77777777" w:rsidR="001F2A4B" w:rsidRPr="00150ABA" w:rsidRDefault="001F2A4B" w:rsidP="001F2A4B">
            <w:pPr>
              <w:ind w:right="-29"/>
              <w:jc w:val="center"/>
              <w:rPr>
                <w:noProof/>
                <w:sz w:val="18"/>
              </w:rPr>
            </w:pPr>
          </w:p>
        </w:tc>
        <w:tc>
          <w:tcPr>
            <w:tcW w:w="831" w:type="dxa"/>
            <w:tcBorders>
              <w:left w:val="dashSmallGap" w:sz="4" w:space="0" w:color="auto"/>
            </w:tcBorders>
          </w:tcPr>
          <w:p w14:paraId="5AAB0C1D" w14:textId="77777777" w:rsidR="001F2A4B" w:rsidRPr="00150ABA" w:rsidRDefault="001F2A4B" w:rsidP="001F2A4B">
            <w:pPr>
              <w:ind w:right="-29"/>
              <w:jc w:val="center"/>
              <w:rPr>
                <w:noProof/>
                <w:sz w:val="18"/>
              </w:rPr>
            </w:pPr>
          </w:p>
        </w:tc>
        <w:tc>
          <w:tcPr>
            <w:tcW w:w="720" w:type="dxa"/>
          </w:tcPr>
          <w:p w14:paraId="6EFCA6E0" w14:textId="77777777" w:rsidR="001F2A4B" w:rsidRPr="00150ABA" w:rsidRDefault="001F2A4B" w:rsidP="001F2A4B">
            <w:pPr>
              <w:ind w:right="-29"/>
              <w:jc w:val="center"/>
              <w:rPr>
                <w:noProof/>
                <w:sz w:val="18"/>
              </w:rPr>
            </w:pPr>
          </w:p>
        </w:tc>
        <w:tc>
          <w:tcPr>
            <w:tcW w:w="900" w:type="dxa"/>
          </w:tcPr>
          <w:p w14:paraId="6D9AC041" w14:textId="77777777" w:rsidR="001F2A4B" w:rsidRPr="00150ABA" w:rsidRDefault="001F2A4B" w:rsidP="001F2A4B">
            <w:pPr>
              <w:ind w:right="-29"/>
              <w:jc w:val="center"/>
              <w:rPr>
                <w:noProof/>
                <w:sz w:val="18"/>
              </w:rPr>
            </w:pPr>
            <w:r w:rsidRPr="00150ABA">
              <w:rPr>
                <w:noProof/>
                <w:sz w:val="18"/>
              </w:rPr>
              <w:t>1.000</w:t>
            </w:r>
          </w:p>
        </w:tc>
      </w:tr>
      <w:tr w:rsidR="001F2A4B" w:rsidRPr="00150ABA" w14:paraId="42AF3FD2" w14:textId="77777777" w:rsidTr="001F2A4B">
        <w:trPr>
          <w:trHeight w:hRule="exact" w:val="1280"/>
          <w:jc w:val="center"/>
        </w:trPr>
        <w:tc>
          <w:tcPr>
            <w:tcW w:w="1423" w:type="dxa"/>
          </w:tcPr>
          <w:p w14:paraId="5FF455B9" w14:textId="77777777" w:rsidR="001F2A4B" w:rsidRPr="00150ABA" w:rsidRDefault="001F2A4B" w:rsidP="001F2A4B">
            <w:pPr>
              <w:rPr>
                <w:rFonts w:ascii="Roboto" w:hAnsi="Roboto"/>
                <w:noProof/>
                <w:sz w:val="18"/>
                <w:szCs w:val="18"/>
              </w:rPr>
            </w:pPr>
            <w:r w:rsidRPr="00150ABA">
              <w:rPr>
                <w:rFonts w:ascii="Roboto" w:hAnsi="Roboto"/>
                <w:noProof/>
                <w:sz w:val="18"/>
                <w:szCs w:val="18"/>
              </w:rPr>
              <w:t xml:space="preserve">Infrastructure (hardware, software and network provisions) </w:t>
            </w:r>
          </w:p>
          <w:p w14:paraId="3B898E7F" w14:textId="77777777" w:rsidR="001F2A4B" w:rsidRPr="00150ABA" w:rsidRDefault="001F2A4B" w:rsidP="001F2A4B">
            <w:pPr>
              <w:ind w:right="-29"/>
              <w:jc w:val="center"/>
              <w:rPr>
                <w:noProof/>
                <w:sz w:val="18"/>
              </w:rPr>
            </w:pPr>
          </w:p>
        </w:tc>
        <w:tc>
          <w:tcPr>
            <w:tcW w:w="720" w:type="dxa"/>
          </w:tcPr>
          <w:p w14:paraId="272C7462" w14:textId="77777777" w:rsidR="001F2A4B" w:rsidRPr="00150ABA" w:rsidRDefault="001F2A4B" w:rsidP="001F2A4B">
            <w:pPr>
              <w:ind w:right="-29"/>
              <w:jc w:val="center"/>
              <w:rPr>
                <w:noProof/>
                <w:sz w:val="18"/>
              </w:rPr>
            </w:pPr>
          </w:p>
        </w:tc>
        <w:tc>
          <w:tcPr>
            <w:tcW w:w="701" w:type="dxa"/>
          </w:tcPr>
          <w:p w14:paraId="6F7989B2" w14:textId="77777777" w:rsidR="001F2A4B" w:rsidRPr="00150ABA" w:rsidRDefault="001F2A4B" w:rsidP="001F2A4B">
            <w:pPr>
              <w:ind w:right="-29"/>
              <w:jc w:val="center"/>
              <w:rPr>
                <w:noProof/>
                <w:sz w:val="18"/>
              </w:rPr>
            </w:pPr>
          </w:p>
        </w:tc>
        <w:tc>
          <w:tcPr>
            <w:tcW w:w="504" w:type="dxa"/>
            <w:tcBorders>
              <w:right w:val="dashSmallGap" w:sz="4" w:space="0" w:color="auto"/>
            </w:tcBorders>
          </w:tcPr>
          <w:p w14:paraId="24A4776A" w14:textId="77777777" w:rsidR="001F2A4B" w:rsidRPr="00150ABA" w:rsidRDefault="001F2A4B" w:rsidP="001F2A4B">
            <w:pPr>
              <w:ind w:right="-29"/>
              <w:jc w:val="center"/>
              <w:rPr>
                <w:noProof/>
                <w:sz w:val="18"/>
              </w:rPr>
            </w:pPr>
          </w:p>
        </w:tc>
        <w:tc>
          <w:tcPr>
            <w:tcW w:w="720" w:type="dxa"/>
            <w:tcBorders>
              <w:left w:val="dashSmallGap" w:sz="4" w:space="0" w:color="auto"/>
            </w:tcBorders>
          </w:tcPr>
          <w:p w14:paraId="5485D9D3" w14:textId="77777777" w:rsidR="001F2A4B" w:rsidRPr="00150ABA" w:rsidRDefault="001F2A4B" w:rsidP="001F2A4B">
            <w:pPr>
              <w:ind w:right="-29"/>
              <w:jc w:val="center"/>
              <w:rPr>
                <w:noProof/>
                <w:sz w:val="18"/>
              </w:rPr>
            </w:pPr>
            <w:r w:rsidRPr="00150ABA">
              <w:rPr>
                <w:noProof/>
                <w:sz w:val="18"/>
              </w:rPr>
              <w:t>0.500</w:t>
            </w:r>
          </w:p>
        </w:tc>
        <w:tc>
          <w:tcPr>
            <w:tcW w:w="540" w:type="dxa"/>
            <w:tcBorders>
              <w:right w:val="dashSmallGap" w:sz="4" w:space="0" w:color="auto"/>
            </w:tcBorders>
          </w:tcPr>
          <w:p w14:paraId="2E0255F6" w14:textId="77777777" w:rsidR="001F2A4B" w:rsidRPr="00150ABA" w:rsidRDefault="001F2A4B" w:rsidP="001F2A4B">
            <w:pPr>
              <w:ind w:right="-29"/>
              <w:jc w:val="center"/>
              <w:rPr>
                <w:noProof/>
                <w:sz w:val="18"/>
              </w:rPr>
            </w:pPr>
          </w:p>
        </w:tc>
        <w:tc>
          <w:tcPr>
            <w:tcW w:w="720" w:type="dxa"/>
            <w:tcBorders>
              <w:left w:val="dashSmallGap" w:sz="4" w:space="0" w:color="auto"/>
            </w:tcBorders>
          </w:tcPr>
          <w:p w14:paraId="2AA87DD5" w14:textId="77777777" w:rsidR="001F2A4B" w:rsidRPr="00150ABA" w:rsidRDefault="001F2A4B" w:rsidP="001F2A4B">
            <w:pPr>
              <w:ind w:right="-29"/>
              <w:jc w:val="center"/>
              <w:rPr>
                <w:noProof/>
                <w:sz w:val="18"/>
              </w:rPr>
            </w:pPr>
            <w:r w:rsidRPr="00150ABA">
              <w:rPr>
                <w:noProof/>
                <w:sz w:val="18"/>
              </w:rPr>
              <w:t>4.500</w:t>
            </w:r>
          </w:p>
        </w:tc>
        <w:tc>
          <w:tcPr>
            <w:tcW w:w="720" w:type="dxa"/>
            <w:tcBorders>
              <w:right w:val="dashSmallGap" w:sz="4" w:space="0" w:color="auto"/>
            </w:tcBorders>
          </w:tcPr>
          <w:p w14:paraId="1CF02873" w14:textId="77777777" w:rsidR="001F2A4B" w:rsidRPr="00150ABA" w:rsidRDefault="001F2A4B" w:rsidP="001F2A4B">
            <w:pPr>
              <w:ind w:right="-29"/>
              <w:jc w:val="center"/>
              <w:rPr>
                <w:noProof/>
                <w:sz w:val="18"/>
              </w:rPr>
            </w:pPr>
          </w:p>
        </w:tc>
        <w:tc>
          <w:tcPr>
            <w:tcW w:w="720" w:type="dxa"/>
            <w:tcBorders>
              <w:left w:val="dashSmallGap" w:sz="4" w:space="0" w:color="auto"/>
            </w:tcBorders>
          </w:tcPr>
          <w:p w14:paraId="444C95F9" w14:textId="77777777" w:rsidR="001F2A4B" w:rsidRPr="00150ABA" w:rsidRDefault="001F2A4B" w:rsidP="001F2A4B">
            <w:pPr>
              <w:ind w:right="-29"/>
              <w:jc w:val="center"/>
              <w:rPr>
                <w:noProof/>
                <w:sz w:val="18"/>
              </w:rPr>
            </w:pPr>
          </w:p>
        </w:tc>
        <w:tc>
          <w:tcPr>
            <w:tcW w:w="789" w:type="dxa"/>
            <w:tcBorders>
              <w:right w:val="dashSmallGap" w:sz="4" w:space="0" w:color="auto"/>
            </w:tcBorders>
          </w:tcPr>
          <w:p w14:paraId="49225543" w14:textId="77777777" w:rsidR="001F2A4B" w:rsidRPr="00150ABA" w:rsidRDefault="001F2A4B" w:rsidP="001F2A4B">
            <w:pPr>
              <w:ind w:right="-29"/>
              <w:jc w:val="center"/>
              <w:rPr>
                <w:noProof/>
                <w:sz w:val="18"/>
              </w:rPr>
            </w:pPr>
          </w:p>
        </w:tc>
        <w:tc>
          <w:tcPr>
            <w:tcW w:w="831" w:type="dxa"/>
            <w:tcBorders>
              <w:left w:val="dashSmallGap" w:sz="4" w:space="0" w:color="auto"/>
            </w:tcBorders>
          </w:tcPr>
          <w:p w14:paraId="452DC315" w14:textId="77777777" w:rsidR="001F2A4B" w:rsidRPr="00150ABA" w:rsidRDefault="001F2A4B" w:rsidP="001F2A4B">
            <w:pPr>
              <w:ind w:right="-29"/>
              <w:jc w:val="center"/>
              <w:rPr>
                <w:noProof/>
                <w:sz w:val="18"/>
              </w:rPr>
            </w:pPr>
          </w:p>
        </w:tc>
        <w:tc>
          <w:tcPr>
            <w:tcW w:w="720" w:type="dxa"/>
          </w:tcPr>
          <w:p w14:paraId="07A1CB02" w14:textId="77777777" w:rsidR="001F2A4B" w:rsidRPr="00150ABA" w:rsidRDefault="001F2A4B" w:rsidP="001F2A4B">
            <w:pPr>
              <w:ind w:right="-29"/>
              <w:jc w:val="center"/>
              <w:rPr>
                <w:noProof/>
                <w:sz w:val="18"/>
              </w:rPr>
            </w:pPr>
          </w:p>
        </w:tc>
        <w:tc>
          <w:tcPr>
            <w:tcW w:w="900" w:type="dxa"/>
          </w:tcPr>
          <w:p w14:paraId="64F5BF0D" w14:textId="77777777" w:rsidR="001F2A4B" w:rsidRPr="00150ABA" w:rsidRDefault="001F2A4B" w:rsidP="001F2A4B">
            <w:pPr>
              <w:ind w:right="-29"/>
              <w:jc w:val="center"/>
              <w:rPr>
                <w:noProof/>
                <w:sz w:val="18"/>
              </w:rPr>
            </w:pPr>
            <w:r w:rsidRPr="00150ABA">
              <w:rPr>
                <w:noProof/>
                <w:sz w:val="18"/>
              </w:rPr>
              <w:t>5.000</w:t>
            </w:r>
          </w:p>
        </w:tc>
      </w:tr>
      <w:tr w:rsidR="001F2A4B" w:rsidRPr="00150ABA" w14:paraId="348B830F" w14:textId="77777777" w:rsidTr="001F2A4B">
        <w:trPr>
          <w:trHeight w:hRule="exact" w:val="1840"/>
          <w:jc w:val="center"/>
        </w:trPr>
        <w:tc>
          <w:tcPr>
            <w:tcW w:w="1423" w:type="dxa"/>
            <w:vAlign w:val="center"/>
          </w:tcPr>
          <w:p w14:paraId="58303CEB" w14:textId="77777777" w:rsidR="001F2A4B" w:rsidRPr="00150ABA" w:rsidRDefault="001F2A4B" w:rsidP="001F2A4B">
            <w:pPr>
              <w:rPr>
                <w:rFonts w:ascii="Roboto" w:hAnsi="Roboto"/>
                <w:noProof/>
                <w:sz w:val="18"/>
                <w:szCs w:val="18"/>
              </w:rPr>
            </w:pPr>
            <w:r w:rsidRPr="00150ABA">
              <w:rPr>
                <w:rFonts w:ascii="Roboto" w:hAnsi="Roboto"/>
                <w:noProof/>
                <w:sz w:val="18"/>
                <w:szCs w:val="18"/>
              </w:rPr>
              <w:t>Infrastructure - security controls development, security capabilities analysis, integration and monitoring</w:t>
            </w:r>
          </w:p>
        </w:tc>
        <w:tc>
          <w:tcPr>
            <w:tcW w:w="720" w:type="dxa"/>
          </w:tcPr>
          <w:p w14:paraId="4D9DF736" w14:textId="77777777" w:rsidR="001F2A4B" w:rsidRPr="00150ABA" w:rsidRDefault="001F2A4B" w:rsidP="001F2A4B">
            <w:pPr>
              <w:ind w:right="-29"/>
              <w:jc w:val="center"/>
              <w:rPr>
                <w:noProof/>
                <w:sz w:val="18"/>
              </w:rPr>
            </w:pPr>
          </w:p>
        </w:tc>
        <w:tc>
          <w:tcPr>
            <w:tcW w:w="701" w:type="dxa"/>
          </w:tcPr>
          <w:p w14:paraId="4021A56A" w14:textId="77777777" w:rsidR="001F2A4B" w:rsidRPr="00150ABA" w:rsidRDefault="001F2A4B" w:rsidP="001F2A4B">
            <w:pPr>
              <w:ind w:right="-29"/>
              <w:jc w:val="center"/>
              <w:rPr>
                <w:noProof/>
                <w:sz w:val="18"/>
              </w:rPr>
            </w:pPr>
          </w:p>
        </w:tc>
        <w:tc>
          <w:tcPr>
            <w:tcW w:w="504" w:type="dxa"/>
            <w:tcBorders>
              <w:right w:val="dashSmallGap" w:sz="4" w:space="0" w:color="auto"/>
            </w:tcBorders>
          </w:tcPr>
          <w:p w14:paraId="65D3A255" w14:textId="77777777" w:rsidR="001F2A4B" w:rsidRPr="00150ABA" w:rsidRDefault="001F2A4B" w:rsidP="001F2A4B">
            <w:pPr>
              <w:ind w:right="-29"/>
              <w:jc w:val="center"/>
              <w:rPr>
                <w:noProof/>
                <w:sz w:val="18"/>
              </w:rPr>
            </w:pPr>
          </w:p>
        </w:tc>
        <w:tc>
          <w:tcPr>
            <w:tcW w:w="720" w:type="dxa"/>
            <w:tcBorders>
              <w:left w:val="dashSmallGap" w:sz="4" w:space="0" w:color="auto"/>
            </w:tcBorders>
          </w:tcPr>
          <w:p w14:paraId="03077405" w14:textId="77777777" w:rsidR="001F2A4B" w:rsidRPr="00150ABA" w:rsidRDefault="001F2A4B" w:rsidP="001F2A4B">
            <w:pPr>
              <w:ind w:right="-29"/>
              <w:jc w:val="center"/>
              <w:rPr>
                <w:noProof/>
                <w:sz w:val="18"/>
              </w:rPr>
            </w:pPr>
            <w:r w:rsidRPr="00150ABA">
              <w:rPr>
                <w:noProof/>
                <w:sz w:val="18"/>
              </w:rPr>
              <w:t>1.000</w:t>
            </w:r>
          </w:p>
        </w:tc>
        <w:tc>
          <w:tcPr>
            <w:tcW w:w="540" w:type="dxa"/>
            <w:tcBorders>
              <w:right w:val="dashSmallGap" w:sz="4" w:space="0" w:color="auto"/>
            </w:tcBorders>
          </w:tcPr>
          <w:p w14:paraId="4FFA8ED3" w14:textId="77777777" w:rsidR="001F2A4B" w:rsidRPr="00150ABA" w:rsidRDefault="001F2A4B" w:rsidP="001F2A4B">
            <w:pPr>
              <w:ind w:right="-29"/>
              <w:jc w:val="center"/>
              <w:rPr>
                <w:noProof/>
                <w:sz w:val="18"/>
              </w:rPr>
            </w:pPr>
          </w:p>
        </w:tc>
        <w:tc>
          <w:tcPr>
            <w:tcW w:w="720" w:type="dxa"/>
            <w:tcBorders>
              <w:left w:val="dashSmallGap" w:sz="4" w:space="0" w:color="auto"/>
            </w:tcBorders>
          </w:tcPr>
          <w:p w14:paraId="5A461888" w14:textId="77777777" w:rsidR="001F2A4B" w:rsidRPr="00150ABA" w:rsidRDefault="001F2A4B" w:rsidP="001F2A4B">
            <w:pPr>
              <w:ind w:right="-29"/>
              <w:jc w:val="center"/>
              <w:rPr>
                <w:noProof/>
                <w:sz w:val="18"/>
              </w:rPr>
            </w:pPr>
            <w:r w:rsidRPr="00150ABA">
              <w:rPr>
                <w:noProof/>
                <w:sz w:val="18"/>
              </w:rPr>
              <w:t>0.700</w:t>
            </w:r>
          </w:p>
        </w:tc>
        <w:tc>
          <w:tcPr>
            <w:tcW w:w="720" w:type="dxa"/>
            <w:tcBorders>
              <w:right w:val="dashSmallGap" w:sz="4" w:space="0" w:color="auto"/>
            </w:tcBorders>
          </w:tcPr>
          <w:p w14:paraId="4E280F1E" w14:textId="77777777" w:rsidR="001F2A4B" w:rsidRPr="00150ABA" w:rsidRDefault="001F2A4B" w:rsidP="001F2A4B">
            <w:pPr>
              <w:ind w:right="-29"/>
              <w:jc w:val="center"/>
              <w:rPr>
                <w:noProof/>
                <w:sz w:val="18"/>
              </w:rPr>
            </w:pPr>
          </w:p>
        </w:tc>
        <w:tc>
          <w:tcPr>
            <w:tcW w:w="720" w:type="dxa"/>
            <w:tcBorders>
              <w:left w:val="dashSmallGap" w:sz="4" w:space="0" w:color="auto"/>
            </w:tcBorders>
          </w:tcPr>
          <w:p w14:paraId="71D8D972" w14:textId="77777777" w:rsidR="001F2A4B" w:rsidRPr="00150ABA" w:rsidRDefault="001F2A4B" w:rsidP="001F2A4B">
            <w:pPr>
              <w:ind w:right="-29"/>
              <w:jc w:val="center"/>
              <w:rPr>
                <w:noProof/>
                <w:sz w:val="18"/>
              </w:rPr>
            </w:pPr>
          </w:p>
        </w:tc>
        <w:tc>
          <w:tcPr>
            <w:tcW w:w="789" w:type="dxa"/>
            <w:tcBorders>
              <w:right w:val="dashSmallGap" w:sz="4" w:space="0" w:color="auto"/>
            </w:tcBorders>
          </w:tcPr>
          <w:p w14:paraId="271AEBAB" w14:textId="77777777" w:rsidR="001F2A4B" w:rsidRPr="00150ABA" w:rsidRDefault="001F2A4B" w:rsidP="001F2A4B">
            <w:pPr>
              <w:ind w:right="-29"/>
              <w:jc w:val="center"/>
              <w:rPr>
                <w:noProof/>
                <w:sz w:val="18"/>
              </w:rPr>
            </w:pPr>
          </w:p>
        </w:tc>
        <w:tc>
          <w:tcPr>
            <w:tcW w:w="831" w:type="dxa"/>
            <w:tcBorders>
              <w:left w:val="dashSmallGap" w:sz="4" w:space="0" w:color="auto"/>
            </w:tcBorders>
          </w:tcPr>
          <w:p w14:paraId="4ECFBF56" w14:textId="77777777" w:rsidR="001F2A4B" w:rsidRPr="00150ABA" w:rsidRDefault="001F2A4B" w:rsidP="001F2A4B">
            <w:pPr>
              <w:ind w:right="-29"/>
              <w:jc w:val="center"/>
              <w:rPr>
                <w:noProof/>
                <w:sz w:val="18"/>
              </w:rPr>
            </w:pPr>
          </w:p>
        </w:tc>
        <w:tc>
          <w:tcPr>
            <w:tcW w:w="720" w:type="dxa"/>
          </w:tcPr>
          <w:p w14:paraId="12EC1346" w14:textId="77777777" w:rsidR="001F2A4B" w:rsidRPr="00150ABA" w:rsidRDefault="001F2A4B" w:rsidP="001F2A4B">
            <w:pPr>
              <w:ind w:right="-29"/>
              <w:jc w:val="center"/>
              <w:rPr>
                <w:noProof/>
                <w:sz w:val="18"/>
              </w:rPr>
            </w:pPr>
          </w:p>
        </w:tc>
        <w:tc>
          <w:tcPr>
            <w:tcW w:w="900" w:type="dxa"/>
          </w:tcPr>
          <w:p w14:paraId="05AC0D6B" w14:textId="77777777" w:rsidR="001F2A4B" w:rsidRPr="00150ABA" w:rsidRDefault="001F2A4B" w:rsidP="001F2A4B">
            <w:pPr>
              <w:ind w:right="-29"/>
              <w:jc w:val="center"/>
              <w:rPr>
                <w:noProof/>
                <w:sz w:val="18"/>
              </w:rPr>
            </w:pPr>
            <w:r w:rsidRPr="00150ABA">
              <w:rPr>
                <w:noProof/>
                <w:sz w:val="18"/>
              </w:rPr>
              <w:t>1.700</w:t>
            </w:r>
          </w:p>
        </w:tc>
      </w:tr>
      <w:tr w:rsidR="001F2A4B" w:rsidRPr="00150ABA" w14:paraId="0FC8A122" w14:textId="77777777" w:rsidTr="001F2A4B">
        <w:trPr>
          <w:trHeight w:hRule="exact" w:val="1433"/>
          <w:jc w:val="center"/>
        </w:trPr>
        <w:tc>
          <w:tcPr>
            <w:tcW w:w="1423" w:type="dxa"/>
            <w:vAlign w:val="center"/>
          </w:tcPr>
          <w:p w14:paraId="672FB156" w14:textId="77777777" w:rsidR="001F2A4B" w:rsidRPr="00150ABA" w:rsidRDefault="001F2A4B" w:rsidP="001F2A4B">
            <w:pPr>
              <w:rPr>
                <w:rFonts w:ascii="Roboto" w:hAnsi="Roboto"/>
                <w:noProof/>
                <w:sz w:val="18"/>
                <w:szCs w:val="18"/>
              </w:rPr>
            </w:pPr>
            <w:r w:rsidRPr="00150ABA">
              <w:rPr>
                <w:rFonts w:ascii="Roboto" w:hAnsi="Roboto"/>
                <w:noProof/>
                <w:sz w:val="18"/>
                <w:szCs w:val="18"/>
              </w:rPr>
              <w:t>Internal staff  required for development of  the JITs collaboration platform</w:t>
            </w:r>
          </w:p>
        </w:tc>
        <w:tc>
          <w:tcPr>
            <w:tcW w:w="720" w:type="dxa"/>
          </w:tcPr>
          <w:p w14:paraId="2BB316BF" w14:textId="77777777" w:rsidR="001F2A4B" w:rsidRPr="00150ABA" w:rsidRDefault="001F2A4B" w:rsidP="001F2A4B">
            <w:pPr>
              <w:ind w:right="-29"/>
              <w:jc w:val="center"/>
              <w:rPr>
                <w:noProof/>
                <w:sz w:val="18"/>
              </w:rPr>
            </w:pPr>
          </w:p>
        </w:tc>
        <w:tc>
          <w:tcPr>
            <w:tcW w:w="701" w:type="dxa"/>
          </w:tcPr>
          <w:p w14:paraId="107C6373" w14:textId="77777777" w:rsidR="001F2A4B" w:rsidRPr="00150ABA" w:rsidRDefault="001F2A4B" w:rsidP="001F2A4B">
            <w:pPr>
              <w:ind w:right="-29"/>
              <w:jc w:val="center"/>
              <w:rPr>
                <w:noProof/>
                <w:sz w:val="18"/>
              </w:rPr>
            </w:pPr>
          </w:p>
        </w:tc>
        <w:tc>
          <w:tcPr>
            <w:tcW w:w="504" w:type="dxa"/>
            <w:tcBorders>
              <w:right w:val="dashSmallGap" w:sz="4" w:space="0" w:color="auto"/>
            </w:tcBorders>
          </w:tcPr>
          <w:p w14:paraId="0EFFDFE3" w14:textId="77777777" w:rsidR="001F2A4B" w:rsidRPr="00150ABA" w:rsidRDefault="001F2A4B" w:rsidP="001F2A4B">
            <w:pPr>
              <w:ind w:right="-29"/>
              <w:jc w:val="center"/>
              <w:rPr>
                <w:noProof/>
                <w:sz w:val="18"/>
              </w:rPr>
            </w:pPr>
          </w:p>
        </w:tc>
        <w:tc>
          <w:tcPr>
            <w:tcW w:w="720" w:type="dxa"/>
            <w:tcBorders>
              <w:left w:val="dashSmallGap" w:sz="4" w:space="0" w:color="auto"/>
            </w:tcBorders>
          </w:tcPr>
          <w:p w14:paraId="093CC848" w14:textId="77777777" w:rsidR="001F2A4B" w:rsidRPr="00150ABA" w:rsidRDefault="001F2A4B" w:rsidP="001F2A4B">
            <w:pPr>
              <w:ind w:right="-29"/>
              <w:jc w:val="center"/>
              <w:rPr>
                <w:noProof/>
                <w:sz w:val="18"/>
              </w:rPr>
            </w:pPr>
            <w:r w:rsidRPr="00150ABA">
              <w:rPr>
                <w:noProof/>
                <w:sz w:val="18"/>
              </w:rPr>
              <w:t>0.608</w:t>
            </w:r>
          </w:p>
        </w:tc>
        <w:tc>
          <w:tcPr>
            <w:tcW w:w="540" w:type="dxa"/>
            <w:tcBorders>
              <w:right w:val="dashSmallGap" w:sz="4" w:space="0" w:color="auto"/>
            </w:tcBorders>
          </w:tcPr>
          <w:p w14:paraId="7BDC2A33" w14:textId="77777777" w:rsidR="001F2A4B" w:rsidRPr="00150ABA" w:rsidRDefault="001F2A4B" w:rsidP="001F2A4B">
            <w:pPr>
              <w:ind w:right="-29"/>
              <w:jc w:val="center"/>
              <w:rPr>
                <w:noProof/>
                <w:sz w:val="18"/>
              </w:rPr>
            </w:pPr>
          </w:p>
        </w:tc>
        <w:tc>
          <w:tcPr>
            <w:tcW w:w="720" w:type="dxa"/>
            <w:tcBorders>
              <w:left w:val="dashSmallGap" w:sz="4" w:space="0" w:color="auto"/>
            </w:tcBorders>
          </w:tcPr>
          <w:p w14:paraId="484BE1A2" w14:textId="77777777" w:rsidR="001F2A4B" w:rsidRPr="00150ABA" w:rsidRDefault="001F2A4B" w:rsidP="001F2A4B">
            <w:pPr>
              <w:ind w:right="-29"/>
              <w:jc w:val="center"/>
              <w:rPr>
                <w:noProof/>
                <w:sz w:val="18"/>
              </w:rPr>
            </w:pPr>
            <w:r w:rsidRPr="00150ABA">
              <w:rPr>
                <w:noProof/>
                <w:sz w:val="18"/>
              </w:rPr>
              <w:t>1.216</w:t>
            </w:r>
          </w:p>
        </w:tc>
        <w:tc>
          <w:tcPr>
            <w:tcW w:w="720" w:type="dxa"/>
            <w:tcBorders>
              <w:right w:val="dashSmallGap" w:sz="4" w:space="0" w:color="auto"/>
            </w:tcBorders>
          </w:tcPr>
          <w:p w14:paraId="221BEE7A" w14:textId="77777777" w:rsidR="001F2A4B" w:rsidRPr="00150ABA" w:rsidRDefault="001F2A4B" w:rsidP="001F2A4B">
            <w:pPr>
              <w:ind w:right="-29"/>
              <w:jc w:val="center"/>
              <w:rPr>
                <w:noProof/>
                <w:sz w:val="18"/>
              </w:rPr>
            </w:pPr>
          </w:p>
        </w:tc>
        <w:tc>
          <w:tcPr>
            <w:tcW w:w="720" w:type="dxa"/>
            <w:tcBorders>
              <w:left w:val="dashSmallGap" w:sz="4" w:space="0" w:color="auto"/>
            </w:tcBorders>
          </w:tcPr>
          <w:p w14:paraId="24988401" w14:textId="77777777" w:rsidR="001F2A4B" w:rsidRPr="00150ABA" w:rsidRDefault="001F2A4B" w:rsidP="001F2A4B">
            <w:pPr>
              <w:ind w:right="-29"/>
              <w:jc w:val="center"/>
              <w:rPr>
                <w:noProof/>
                <w:sz w:val="18"/>
              </w:rPr>
            </w:pPr>
          </w:p>
        </w:tc>
        <w:tc>
          <w:tcPr>
            <w:tcW w:w="789" w:type="dxa"/>
            <w:tcBorders>
              <w:right w:val="dashSmallGap" w:sz="4" w:space="0" w:color="auto"/>
            </w:tcBorders>
          </w:tcPr>
          <w:p w14:paraId="0A0CF15C" w14:textId="77777777" w:rsidR="001F2A4B" w:rsidRPr="00150ABA" w:rsidRDefault="001F2A4B" w:rsidP="001F2A4B">
            <w:pPr>
              <w:ind w:right="-29"/>
              <w:jc w:val="center"/>
              <w:rPr>
                <w:noProof/>
                <w:sz w:val="18"/>
              </w:rPr>
            </w:pPr>
          </w:p>
        </w:tc>
        <w:tc>
          <w:tcPr>
            <w:tcW w:w="831" w:type="dxa"/>
            <w:tcBorders>
              <w:left w:val="dashSmallGap" w:sz="4" w:space="0" w:color="auto"/>
            </w:tcBorders>
          </w:tcPr>
          <w:p w14:paraId="2D94057A" w14:textId="77777777" w:rsidR="001F2A4B" w:rsidRPr="00150ABA" w:rsidRDefault="001F2A4B" w:rsidP="001F2A4B">
            <w:pPr>
              <w:ind w:right="-29"/>
              <w:jc w:val="center"/>
              <w:rPr>
                <w:noProof/>
                <w:sz w:val="18"/>
              </w:rPr>
            </w:pPr>
          </w:p>
        </w:tc>
        <w:tc>
          <w:tcPr>
            <w:tcW w:w="720" w:type="dxa"/>
          </w:tcPr>
          <w:p w14:paraId="22A2F5DC" w14:textId="77777777" w:rsidR="001F2A4B" w:rsidRPr="00150ABA" w:rsidRDefault="001F2A4B" w:rsidP="001F2A4B">
            <w:pPr>
              <w:ind w:right="-29"/>
              <w:jc w:val="center"/>
              <w:rPr>
                <w:noProof/>
                <w:sz w:val="18"/>
              </w:rPr>
            </w:pPr>
          </w:p>
        </w:tc>
        <w:tc>
          <w:tcPr>
            <w:tcW w:w="900" w:type="dxa"/>
          </w:tcPr>
          <w:p w14:paraId="60BEB8E9" w14:textId="77777777" w:rsidR="001F2A4B" w:rsidRPr="00150ABA" w:rsidRDefault="001F2A4B" w:rsidP="001F2A4B">
            <w:pPr>
              <w:ind w:right="-29"/>
              <w:jc w:val="center"/>
              <w:rPr>
                <w:noProof/>
                <w:sz w:val="18"/>
              </w:rPr>
            </w:pPr>
            <w:r w:rsidRPr="00150ABA">
              <w:rPr>
                <w:noProof/>
                <w:sz w:val="18"/>
              </w:rPr>
              <w:t>1.824</w:t>
            </w:r>
          </w:p>
        </w:tc>
      </w:tr>
      <w:tr w:rsidR="001F2A4B" w:rsidRPr="00150ABA" w14:paraId="6A431DBC" w14:textId="77777777" w:rsidTr="001F2A4B">
        <w:trPr>
          <w:jc w:val="center"/>
        </w:trPr>
        <w:tc>
          <w:tcPr>
            <w:tcW w:w="2844" w:type="dxa"/>
            <w:gridSpan w:val="3"/>
            <w:tcBorders>
              <w:bottom w:val="single" w:sz="12" w:space="0" w:color="auto"/>
            </w:tcBorders>
            <w:vAlign w:val="center"/>
          </w:tcPr>
          <w:p w14:paraId="1EDA4AB4" w14:textId="77777777" w:rsidR="001F2A4B" w:rsidRPr="00150ABA" w:rsidRDefault="001F2A4B" w:rsidP="001F2A4B">
            <w:pPr>
              <w:ind w:right="-29"/>
              <w:jc w:val="center"/>
              <w:rPr>
                <w:noProof/>
                <w:sz w:val="18"/>
              </w:rPr>
            </w:pPr>
            <w:r w:rsidRPr="00150ABA">
              <w:rPr>
                <w:noProof/>
                <w:sz w:val="18"/>
              </w:rPr>
              <w:t>Subtotal for specific objective No 1</w:t>
            </w:r>
          </w:p>
        </w:tc>
        <w:tc>
          <w:tcPr>
            <w:tcW w:w="504" w:type="dxa"/>
            <w:tcBorders>
              <w:bottom w:val="single" w:sz="12" w:space="0" w:color="auto"/>
            </w:tcBorders>
          </w:tcPr>
          <w:p w14:paraId="37709B75" w14:textId="77777777" w:rsidR="001F2A4B" w:rsidRPr="00150ABA" w:rsidRDefault="001F2A4B" w:rsidP="001F2A4B">
            <w:pPr>
              <w:ind w:right="-29"/>
              <w:jc w:val="center"/>
              <w:rPr>
                <w:noProof/>
                <w:sz w:val="18"/>
              </w:rPr>
            </w:pPr>
          </w:p>
        </w:tc>
        <w:tc>
          <w:tcPr>
            <w:tcW w:w="720" w:type="dxa"/>
            <w:tcBorders>
              <w:bottom w:val="single" w:sz="12" w:space="0" w:color="auto"/>
            </w:tcBorders>
          </w:tcPr>
          <w:p w14:paraId="76089697" w14:textId="77777777" w:rsidR="001F2A4B" w:rsidRPr="00150ABA" w:rsidRDefault="001F2A4B" w:rsidP="001F2A4B">
            <w:pPr>
              <w:ind w:right="-29"/>
              <w:jc w:val="center"/>
              <w:rPr>
                <w:noProof/>
                <w:sz w:val="18"/>
              </w:rPr>
            </w:pPr>
            <w:r w:rsidRPr="00150ABA">
              <w:rPr>
                <w:noProof/>
                <w:sz w:val="18"/>
              </w:rPr>
              <w:t>3.608</w:t>
            </w:r>
          </w:p>
        </w:tc>
        <w:tc>
          <w:tcPr>
            <w:tcW w:w="540" w:type="dxa"/>
            <w:tcBorders>
              <w:bottom w:val="single" w:sz="12" w:space="0" w:color="auto"/>
            </w:tcBorders>
          </w:tcPr>
          <w:p w14:paraId="42861CCF" w14:textId="77777777" w:rsidR="001F2A4B" w:rsidRPr="00150ABA" w:rsidRDefault="001F2A4B" w:rsidP="001F2A4B">
            <w:pPr>
              <w:ind w:right="-29"/>
              <w:jc w:val="center"/>
              <w:rPr>
                <w:noProof/>
                <w:sz w:val="18"/>
              </w:rPr>
            </w:pPr>
          </w:p>
        </w:tc>
        <w:tc>
          <w:tcPr>
            <w:tcW w:w="720" w:type="dxa"/>
            <w:tcBorders>
              <w:bottom w:val="single" w:sz="12" w:space="0" w:color="auto"/>
            </w:tcBorders>
          </w:tcPr>
          <w:p w14:paraId="2E0C1814" w14:textId="77777777" w:rsidR="001F2A4B" w:rsidRPr="00150ABA" w:rsidRDefault="001F2A4B" w:rsidP="001F2A4B">
            <w:pPr>
              <w:ind w:right="-29"/>
              <w:jc w:val="center"/>
              <w:rPr>
                <w:noProof/>
                <w:sz w:val="18"/>
              </w:rPr>
            </w:pPr>
            <w:r w:rsidRPr="00150ABA">
              <w:rPr>
                <w:noProof/>
                <w:sz w:val="18"/>
              </w:rPr>
              <w:t>6.616</w:t>
            </w:r>
          </w:p>
        </w:tc>
        <w:tc>
          <w:tcPr>
            <w:tcW w:w="720" w:type="dxa"/>
            <w:tcBorders>
              <w:bottom w:val="single" w:sz="12" w:space="0" w:color="auto"/>
            </w:tcBorders>
          </w:tcPr>
          <w:p w14:paraId="210479CE" w14:textId="77777777" w:rsidR="001F2A4B" w:rsidRPr="00150ABA" w:rsidRDefault="001F2A4B" w:rsidP="001F2A4B">
            <w:pPr>
              <w:ind w:right="-29"/>
              <w:jc w:val="center"/>
              <w:rPr>
                <w:noProof/>
                <w:sz w:val="18"/>
              </w:rPr>
            </w:pPr>
          </w:p>
        </w:tc>
        <w:tc>
          <w:tcPr>
            <w:tcW w:w="720" w:type="dxa"/>
            <w:tcBorders>
              <w:bottom w:val="single" w:sz="12" w:space="0" w:color="auto"/>
            </w:tcBorders>
          </w:tcPr>
          <w:p w14:paraId="43C192B3" w14:textId="77777777" w:rsidR="001F2A4B" w:rsidRPr="00150ABA" w:rsidRDefault="001F2A4B" w:rsidP="001F2A4B">
            <w:pPr>
              <w:ind w:right="-29"/>
              <w:jc w:val="center"/>
              <w:rPr>
                <w:noProof/>
                <w:sz w:val="18"/>
              </w:rPr>
            </w:pPr>
          </w:p>
        </w:tc>
        <w:tc>
          <w:tcPr>
            <w:tcW w:w="789" w:type="dxa"/>
            <w:tcBorders>
              <w:bottom w:val="single" w:sz="12" w:space="0" w:color="auto"/>
            </w:tcBorders>
          </w:tcPr>
          <w:p w14:paraId="7425C613" w14:textId="77777777" w:rsidR="001F2A4B" w:rsidRPr="00150ABA" w:rsidRDefault="001F2A4B" w:rsidP="001F2A4B">
            <w:pPr>
              <w:ind w:right="-29"/>
              <w:jc w:val="center"/>
              <w:rPr>
                <w:noProof/>
                <w:sz w:val="18"/>
              </w:rPr>
            </w:pPr>
          </w:p>
        </w:tc>
        <w:tc>
          <w:tcPr>
            <w:tcW w:w="831" w:type="dxa"/>
            <w:tcBorders>
              <w:bottom w:val="single" w:sz="12" w:space="0" w:color="auto"/>
            </w:tcBorders>
          </w:tcPr>
          <w:p w14:paraId="682CBA11" w14:textId="77777777" w:rsidR="001F2A4B" w:rsidRPr="00150ABA" w:rsidRDefault="001F2A4B" w:rsidP="001F2A4B">
            <w:pPr>
              <w:ind w:right="-29"/>
              <w:jc w:val="center"/>
              <w:rPr>
                <w:noProof/>
                <w:sz w:val="18"/>
              </w:rPr>
            </w:pPr>
          </w:p>
        </w:tc>
        <w:tc>
          <w:tcPr>
            <w:tcW w:w="720" w:type="dxa"/>
            <w:tcBorders>
              <w:bottom w:val="single" w:sz="12" w:space="0" w:color="auto"/>
            </w:tcBorders>
          </w:tcPr>
          <w:p w14:paraId="16EAFF10" w14:textId="77777777" w:rsidR="001F2A4B" w:rsidRPr="00150ABA" w:rsidRDefault="001F2A4B" w:rsidP="001F2A4B">
            <w:pPr>
              <w:ind w:right="-29"/>
              <w:jc w:val="center"/>
              <w:rPr>
                <w:noProof/>
                <w:sz w:val="18"/>
              </w:rPr>
            </w:pPr>
          </w:p>
        </w:tc>
        <w:tc>
          <w:tcPr>
            <w:tcW w:w="900" w:type="dxa"/>
            <w:tcBorders>
              <w:bottom w:val="single" w:sz="12" w:space="0" w:color="auto"/>
            </w:tcBorders>
          </w:tcPr>
          <w:p w14:paraId="5047B6F8" w14:textId="77777777" w:rsidR="001F2A4B" w:rsidRPr="00150ABA" w:rsidRDefault="001F2A4B" w:rsidP="001F2A4B">
            <w:pPr>
              <w:ind w:right="-29"/>
              <w:jc w:val="center"/>
              <w:rPr>
                <w:noProof/>
                <w:sz w:val="18"/>
              </w:rPr>
            </w:pPr>
            <w:r w:rsidRPr="00150ABA">
              <w:rPr>
                <w:noProof/>
                <w:sz w:val="18"/>
              </w:rPr>
              <w:t>10.224</w:t>
            </w:r>
          </w:p>
        </w:tc>
      </w:tr>
      <w:tr w:rsidR="001F2A4B" w:rsidRPr="00150ABA" w14:paraId="0D70EAA5" w14:textId="77777777" w:rsidTr="001F2A4B">
        <w:trPr>
          <w:jc w:val="center"/>
        </w:trPr>
        <w:tc>
          <w:tcPr>
            <w:tcW w:w="2844" w:type="dxa"/>
            <w:gridSpan w:val="3"/>
            <w:vAlign w:val="center"/>
          </w:tcPr>
          <w:p w14:paraId="2BD8A6BD" w14:textId="77777777" w:rsidR="001F2A4B" w:rsidRPr="00150ABA" w:rsidRDefault="001F2A4B" w:rsidP="001F2A4B">
            <w:pPr>
              <w:spacing w:before="60" w:after="60"/>
              <w:ind w:right="-29"/>
              <w:jc w:val="center"/>
              <w:rPr>
                <w:noProof/>
                <w:sz w:val="18"/>
              </w:rPr>
            </w:pPr>
            <w:r w:rsidRPr="00150ABA">
              <w:rPr>
                <w:noProof/>
                <w:sz w:val="18"/>
              </w:rPr>
              <w:t>SPECIFIC OBJECTIVE No 2</w:t>
            </w:r>
          </w:p>
          <w:p w14:paraId="31817AA6" w14:textId="77777777" w:rsidR="001F2A4B" w:rsidRPr="00150ABA" w:rsidRDefault="001F2A4B" w:rsidP="001F2A4B">
            <w:pPr>
              <w:spacing w:before="60" w:after="60"/>
              <w:ind w:right="-29"/>
              <w:jc w:val="center"/>
              <w:rPr>
                <w:noProof/>
                <w:sz w:val="18"/>
              </w:rPr>
            </w:pPr>
            <w:r w:rsidRPr="00150ABA">
              <w:rPr>
                <w:noProof/>
                <w:sz w:val="18"/>
              </w:rPr>
              <w:t>To maintain and operate the JITs collaboration platform</w:t>
            </w:r>
          </w:p>
        </w:tc>
        <w:tc>
          <w:tcPr>
            <w:tcW w:w="504" w:type="dxa"/>
            <w:tcBorders>
              <w:top w:val="nil"/>
              <w:left w:val="nil"/>
              <w:bottom w:val="nil"/>
              <w:right w:val="nil"/>
            </w:tcBorders>
          </w:tcPr>
          <w:p w14:paraId="4F4B11EA" w14:textId="77777777" w:rsidR="001F2A4B" w:rsidRPr="00150ABA" w:rsidRDefault="001F2A4B" w:rsidP="001F2A4B">
            <w:pPr>
              <w:spacing w:before="60" w:after="60"/>
              <w:ind w:right="-29"/>
              <w:jc w:val="center"/>
              <w:rPr>
                <w:noProof/>
                <w:sz w:val="18"/>
              </w:rPr>
            </w:pPr>
          </w:p>
        </w:tc>
        <w:tc>
          <w:tcPr>
            <w:tcW w:w="720" w:type="dxa"/>
            <w:tcBorders>
              <w:top w:val="nil"/>
              <w:left w:val="nil"/>
              <w:bottom w:val="nil"/>
              <w:right w:val="nil"/>
            </w:tcBorders>
          </w:tcPr>
          <w:p w14:paraId="0DFB0F29" w14:textId="77777777" w:rsidR="001F2A4B" w:rsidRPr="00150ABA" w:rsidRDefault="001F2A4B" w:rsidP="001F2A4B">
            <w:pPr>
              <w:spacing w:before="60" w:after="60"/>
              <w:ind w:right="-29"/>
              <w:jc w:val="center"/>
              <w:rPr>
                <w:noProof/>
                <w:sz w:val="18"/>
              </w:rPr>
            </w:pPr>
          </w:p>
        </w:tc>
        <w:tc>
          <w:tcPr>
            <w:tcW w:w="540" w:type="dxa"/>
            <w:tcBorders>
              <w:top w:val="nil"/>
              <w:left w:val="nil"/>
              <w:bottom w:val="nil"/>
              <w:right w:val="nil"/>
            </w:tcBorders>
          </w:tcPr>
          <w:p w14:paraId="73814081" w14:textId="77777777" w:rsidR="001F2A4B" w:rsidRPr="00150ABA" w:rsidRDefault="001F2A4B" w:rsidP="001F2A4B">
            <w:pPr>
              <w:spacing w:before="60" w:after="60"/>
              <w:ind w:right="-29"/>
              <w:jc w:val="center"/>
              <w:rPr>
                <w:noProof/>
                <w:sz w:val="18"/>
              </w:rPr>
            </w:pPr>
          </w:p>
        </w:tc>
        <w:tc>
          <w:tcPr>
            <w:tcW w:w="720" w:type="dxa"/>
            <w:tcBorders>
              <w:top w:val="nil"/>
              <w:left w:val="nil"/>
              <w:bottom w:val="nil"/>
              <w:right w:val="nil"/>
            </w:tcBorders>
          </w:tcPr>
          <w:p w14:paraId="40947FF0" w14:textId="77777777" w:rsidR="001F2A4B" w:rsidRPr="00150ABA" w:rsidRDefault="001F2A4B" w:rsidP="001F2A4B">
            <w:pPr>
              <w:spacing w:before="60" w:after="60"/>
              <w:ind w:right="-29"/>
              <w:jc w:val="center"/>
              <w:rPr>
                <w:noProof/>
                <w:sz w:val="18"/>
              </w:rPr>
            </w:pPr>
          </w:p>
        </w:tc>
        <w:tc>
          <w:tcPr>
            <w:tcW w:w="720" w:type="dxa"/>
            <w:tcBorders>
              <w:top w:val="nil"/>
              <w:left w:val="nil"/>
              <w:bottom w:val="nil"/>
              <w:right w:val="nil"/>
            </w:tcBorders>
          </w:tcPr>
          <w:p w14:paraId="1BFCE365" w14:textId="77777777" w:rsidR="001F2A4B" w:rsidRPr="00150ABA" w:rsidRDefault="001F2A4B" w:rsidP="001F2A4B">
            <w:pPr>
              <w:spacing w:before="60" w:after="60"/>
              <w:ind w:right="-29"/>
              <w:jc w:val="center"/>
              <w:rPr>
                <w:noProof/>
                <w:sz w:val="18"/>
              </w:rPr>
            </w:pPr>
          </w:p>
        </w:tc>
        <w:tc>
          <w:tcPr>
            <w:tcW w:w="720" w:type="dxa"/>
            <w:tcBorders>
              <w:top w:val="nil"/>
              <w:left w:val="nil"/>
              <w:bottom w:val="nil"/>
              <w:right w:val="nil"/>
            </w:tcBorders>
          </w:tcPr>
          <w:p w14:paraId="4FAC5EED" w14:textId="77777777" w:rsidR="001F2A4B" w:rsidRPr="00150ABA" w:rsidRDefault="001F2A4B" w:rsidP="001F2A4B">
            <w:pPr>
              <w:spacing w:before="60" w:after="60"/>
              <w:ind w:right="-29"/>
              <w:jc w:val="center"/>
              <w:rPr>
                <w:noProof/>
                <w:sz w:val="18"/>
              </w:rPr>
            </w:pPr>
          </w:p>
        </w:tc>
        <w:tc>
          <w:tcPr>
            <w:tcW w:w="789" w:type="dxa"/>
            <w:tcBorders>
              <w:top w:val="nil"/>
              <w:left w:val="nil"/>
              <w:bottom w:val="nil"/>
              <w:right w:val="nil"/>
            </w:tcBorders>
          </w:tcPr>
          <w:p w14:paraId="22C27DA5" w14:textId="77777777" w:rsidR="001F2A4B" w:rsidRPr="00150ABA" w:rsidRDefault="001F2A4B" w:rsidP="001F2A4B">
            <w:pPr>
              <w:spacing w:before="60" w:after="60"/>
              <w:ind w:right="-29"/>
              <w:jc w:val="center"/>
              <w:rPr>
                <w:noProof/>
                <w:sz w:val="18"/>
              </w:rPr>
            </w:pPr>
          </w:p>
        </w:tc>
        <w:tc>
          <w:tcPr>
            <w:tcW w:w="831" w:type="dxa"/>
            <w:tcBorders>
              <w:top w:val="nil"/>
              <w:left w:val="nil"/>
              <w:bottom w:val="nil"/>
              <w:right w:val="nil"/>
            </w:tcBorders>
          </w:tcPr>
          <w:p w14:paraId="1A5AEABA" w14:textId="77777777" w:rsidR="001F2A4B" w:rsidRPr="00150ABA" w:rsidRDefault="001F2A4B" w:rsidP="001F2A4B">
            <w:pPr>
              <w:spacing w:before="60" w:after="60"/>
              <w:ind w:right="-29"/>
              <w:jc w:val="center"/>
              <w:rPr>
                <w:noProof/>
                <w:sz w:val="18"/>
              </w:rPr>
            </w:pPr>
          </w:p>
        </w:tc>
        <w:tc>
          <w:tcPr>
            <w:tcW w:w="720" w:type="dxa"/>
            <w:tcBorders>
              <w:top w:val="nil"/>
              <w:left w:val="nil"/>
              <w:bottom w:val="nil"/>
              <w:right w:val="nil"/>
            </w:tcBorders>
          </w:tcPr>
          <w:p w14:paraId="2CEB957F" w14:textId="77777777" w:rsidR="001F2A4B" w:rsidRPr="00150ABA" w:rsidRDefault="001F2A4B" w:rsidP="001F2A4B">
            <w:pPr>
              <w:spacing w:before="60" w:after="60"/>
              <w:ind w:right="-29"/>
              <w:jc w:val="center"/>
              <w:rPr>
                <w:noProof/>
                <w:sz w:val="18"/>
              </w:rPr>
            </w:pPr>
          </w:p>
        </w:tc>
        <w:tc>
          <w:tcPr>
            <w:tcW w:w="900" w:type="dxa"/>
            <w:tcBorders>
              <w:top w:val="nil"/>
              <w:left w:val="nil"/>
              <w:bottom w:val="nil"/>
              <w:right w:val="nil"/>
            </w:tcBorders>
          </w:tcPr>
          <w:p w14:paraId="64D2FE41" w14:textId="77777777" w:rsidR="001F2A4B" w:rsidRPr="00150ABA" w:rsidRDefault="001F2A4B" w:rsidP="001F2A4B">
            <w:pPr>
              <w:spacing w:before="60" w:after="60"/>
              <w:ind w:right="-29"/>
              <w:jc w:val="center"/>
              <w:rPr>
                <w:noProof/>
                <w:sz w:val="18"/>
              </w:rPr>
            </w:pPr>
          </w:p>
        </w:tc>
      </w:tr>
      <w:tr w:rsidR="001F2A4B" w:rsidRPr="00150ABA" w14:paraId="632DD4CF" w14:textId="77777777" w:rsidTr="001F2A4B">
        <w:trPr>
          <w:trHeight w:hRule="exact" w:val="691"/>
          <w:jc w:val="center"/>
        </w:trPr>
        <w:tc>
          <w:tcPr>
            <w:tcW w:w="1423" w:type="dxa"/>
          </w:tcPr>
          <w:p w14:paraId="3FE6660D" w14:textId="77777777" w:rsidR="001F2A4B" w:rsidRPr="00150ABA" w:rsidRDefault="001F2A4B" w:rsidP="001F2A4B">
            <w:pPr>
              <w:ind w:right="-29"/>
              <w:rPr>
                <w:noProof/>
                <w:sz w:val="18"/>
              </w:rPr>
            </w:pPr>
            <w:r w:rsidRPr="00150ABA">
              <w:rPr>
                <w:rFonts w:ascii="Roboto" w:hAnsi="Roboto"/>
                <w:noProof/>
                <w:sz w:val="18"/>
                <w:szCs w:val="18"/>
              </w:rPr>
              <w:t>Infrastructure - security controls</w:t>
            </w:r>
          </w:p>
        </w:tc>
        <w:tc>
          <w:tcPr>
            <w:tcW w:w="720" w:type="dxa"/>
          </w:tcPr>
          <w:p w14:paraId="04E5DDB6" w14:textId="77777777" w:rsidR="001F2A4B" w:rsidRPr="00150ABA" w:rsidRDefault="001F2A4B" w:rsidP="001F2A4B">
            <w:pPr>
              <w:ind w:right="-29"/>
              <w:jc w:val="center"/>
              <w:rPr>
                <w:noProof/>
                <w:sz w:val="18"/>
              </w:rPr>
            </w:pPr>
          </w:p>
        </w:tc>
        <w:tc>
          <w:tcPr>
            <w:tcW w:w="701" w:type="dxa"/>
          </w:tcPr>
          <w:p w14:paraId="0177528F" w14:textId="77777777" w:rsidR="001F2A4B" w:rsidRPr="00150ABA" w:rsidRDefault="001F2A4B" w:rsidP="001F2A4B">
            <w:pPr>
              <w:ind w:right="-29"/>
              <w:jc w:val="center"/>
              <w:rPr>
                <w:noProof/>
                <w:sz w:val="18"/>
              </w:rPr>
            </w:pPr>
          </w:p>
        </w:tc>
        <w:tc>
          <w:tcPr>
            <w:tcW w:w="504" w:type="dxa"/>
          </w:tcPr>
          <w:p w14:paraId="59A6D758" w14:textId="77777777" w:rsidR="001F2A4B" w:rsidRPr="00150ABA" w:rsidRDefault="001F2A4B" w:rsidP="001F2A4B">
            <w:pPr>
              <w:ind w:right="-29"/>
              <w:jc w:val="center"/>
              <w:rPr>
                <w:noProof/>
                <w:sz w:val="18"/>
              </w:rPr>
            </w:pPr>
          </w:p>
        </w:tc>
        <w:tc>
          <w:tcPr>
            <w:tcW w:w="720" w:type="dxa"/>
          </w:tcPr>
          <w:p w14:paraId="70A028ED" w14:textId="77777777" w:rsidR="001F2A4B" w:rsidRPr="00150ABA" w:rsidRDefault="001F2A4B" w:rsidP="001F2A4B">
            <w:pPr>
              <w:ind w:right="-29"/>
              <w:jc w:val="center"/>
              <w:rPr>
                <w:noProof/>
                <w:sz w:val="18"/>
              </w:rPr>
            </w:pPr>
          </w:p>
        </w:tc>
        <w:tc>
          <w:tcPr>
            <w:tcW w:w="540" w:type="dxa"/>
          </w:tcPr>
          <w:p w14:paraId="4B4F0F39" w14:textId="77777777" w:rsidR="001F2A4B" w:rsidRPr="00150ABA" w:rsidRDefault="001F2A4B" w:rsidP="001F2A4B">
            <w:pPr>
              <w:ind w:right="-29"/>
              <w:jc w:val="center"/>
              <w:rPr>
                <w:noProof/>
                <w:sz w:val="18"/>
              </w:rPr>
            </w:pPr>
          </w:p>
        </w:tc>
        <w:tc>
          <w:tcPr>
            <w:tcW w:w="720" w:type="dxa"/>
          </w:tcPr>
          <w:p w14:paraId="3307D2C0" w14:textId="77777777" w:rsidR="001F2A4B" w:rsidRPr="00150ABA" w:rsidRDefault="001F2A4B" w:rsidP="001F2A4B">
            <w:pPr>
              <w:ind w:right="-29"/>
              <w:jc w:val="center"/>
              <w:rPr>
                <w:noProof/>
                <w:sz w:val="18"/>
              </w:rPr>
            </w:pPr>
          </w:p>
        </w:tc>
        <w:tc>
          <w:tcPr>
            <w:tcW w:w="720" w:type="dxa"/>
          </w:tcPr>
          <w:p w14:paraId="4E2CEFCF" w14:textId="77777777" w:rsidR="001F2A4B" w:rsidRPr="00150ABA" w:rsidRDefault="001F2A4B" w:rsidP="001F2A4B">
            <w:pPr>
              <w:ind w:right="-29"/>
              <w:jc w:val="center"/>
              <w:rPr>
                <w:noProof/>
                <w:sz w:val="18"/>
              </w:rPr>
            </w:pPr>
          </w:p>
        </w:tc>
        <w:tc>
          <w:tcPr>
            <w:tcW w:w="720" w:type="dxa"/>
          </w:tcPr>
          <w:p w14:paraId="2CF8ACCB" w14:textId="77777777" w:rsidR="001F2A4B" w:rsidRPr="00150ABA" w:rsidRDefault="001F2A4B" w:rsidP="001F2A4B">
            <w:pPr>
              <w:ind w:right="-29"/>
              <w:jc w:val="center"/>
              <w:rPr>
                <w:noProof/>
                <w:sz w:val="18"/>
              </w:rPr>
            </w:pPr>
            <w:r w:rsidRPr="00150ABA">
              <w:rPr>
                <w:noProof/>
                <w:sz w:val="18"/>
              </w:rPr>
              <w:t>0.700</w:t>
            </w:r>
          </w:p>
        </w:tc>
        <w:tc>
          <w:tcPr>
            <w:tcW w:w="789" w:type="dxa"/>
          </w:tcPr>
          <w:p w14:paraId="5B09C45B" w14:textId="77777777" w:rsidR="001F2A4B" w:rsidRPr="00150ABA" w:rsidRDefault="001F2A4B" w:rsidP="001F2A4B">
            <w:pPr>
              <w:ind w:right="-29"/>
              <w:jc w:val="center"/>
              <w:rPr>
                <w:noProof/>
                <w:sz w:val="18"/>
              </w:rPr>
            </w:pPr>
          </w:p>
        </w:tc>
        <w:tc>
          <w:tcPr>
            <w:tcW w:w="831" w:type="dxa"/>
          </w:tcPr>
          <w:p w14:paraId="20BEC462" w14:textId="77777777" w:rsidR="001F2A4B" w:rsidRPr="00150ABA" w:rsidRDefault="001F2A4B" w:rsidP="001F2A4B">
            <w:pPr>
              <w:ind w:right="-29"/>
              <w:jc w:val="center"/>
              <w:rPr>
                <w:noProof/>
                <w:sz w:val="18"/>
              </w:rPr>
            </w:pPr>
            <w:r w:rsidRPr="00150ABA">
              <w:rPr>
                <w:noProof/>
                <w:sz w:val="18"/>
              </w:rPr>
              <w:t>0.700</w:t>
            </w:r>
          </w:p>
        </w:tc>
        <w:tc>
          <w:tcPr>
            <w:tcW w:w="720" w:type="dxa"/>
          </w:tcPr>
          <w:p w14:paraId="5180979A" w14:textId="77777777" w:rsidR="001F2A4B" w:rsidRPr="00150ABA" w:rsidRDefault="001F2A4B" w:rsidP="001F2A4B">
            <w:pPr>
              <w:ind w:right="-29"/>
              <w:jc w:val="center"/>
              <w:rPr>
                <w:noProof/>
                <w:sz w:val="18"/>
              </w:rPr>
            </w:pPr>
          </w:p>
        </w:tc>
        <w:tc>
          <w:tcPr>
            <w:tcW w:w="900" w:type="dxa"/>
          </w:tcPr>
          <w:p w14:paraId="4D44CB08" w14:textId="77777777" w:rsidR="001F2A4B" w:rsidRPr="00150ABA" w:rsidRDefault="001F2A4B" w:rsidP="001F2A4B">
            <w:pPr>
              <w:ind w:right="-29"/>
              <w:jc w:val="center"/>
              <w:rPr>
                <w:noProof/>
                <w:sz w:val="18"/>
              </w:rPr>
            </w:pPr>
            <w:r w:rsidRPr="00150ABA">
              <w:rPr>
                <w:noProof/>
                <w:sz w:val="18"/>
              </w:rPr>
              <w:t>1.400</w:t>
            </w:r>
          </w:p>
        </w:tc>
      </w:tr>
      <w:tr w:rsidR="001F2A4B" w:rsidRPr="00150ABA" w14:paraId="62F02033" w14:textId="77777777" w:rsidTr="001F2A4B">
        <w:trPr>
          <w:trHeight w:hRule="exact" w:val="700"/>
          <w:jc w:val="center"/>
        </w:trPr>
        <w:tc>
          <w:tcPr>
            <w:tcW w:w="1423" w:type="dxa"/>
          </w:tcPr>
          <w:p w14:paraId="704A0068" w14:textId="77777777" w:rsidR="001F2A4B" w:rsidRPr="00150ABA" w:rsidRDefault="001F2A4B" w:rsidP="001F2A4B">
            <w:pPr>
              <w:ind w:right="-29"/>
              <w:rPr>
                <w:rFonts w:ascii="Roboto" w:hAnsi="Roboto"/>
                <w:noProof/>
                <w:sz w:val="18"/>
                <w:szCs w:val="18"/>
              </w:rPr>
            </w:pPr>
            <w:r w:rsidRPr="00150ABA">
              <w:rPr>
                <w:rFonts w:ascii="Roboto" w:hAnsi="Roboto"/>
                <w:noProof/>
                <w:sz w:val="18"/>
                <w:szCs w:val="18"/>
              </w:rPr>
              <w:t>Security &amp; management</w:t>
            </w:r>
          </w:p>
        </w:tc>
        <w:tc>
          <w:tcPr>
            <w:tcW w:w="720" w:type="dxa"/>
          </w:tcPr>
          <w:p w14:paraId="61FE959B" w14:textId="77777777" w:rsidR="001F2A4B" w:rsidRPr="00150ABA" w:rsidRDefault="001F2A4B" w:rsidP="001F2A4B">
            <w:pPr>
              <w:ind w:right="-29"/>
              <w:jc w:val="center"/>
              <w:rPr>
                <w:noProof/>
                <w:sz w:val="18"/>
              </w:rPr>
            </w:pPr>
          </w:p>
        </w:tc>
        <w:tc>
          <w:tcPr>
            <w:tcW w:w="701" w:type="dxa"/>
          </w:tcPr>
          <w:p w14:paraId="7EBE5703" w14:textId="77777777" w:rsidR="001F2A4B" w:rsidRPr="00150ABA" w:rsidRDefault="001F2A4B" w:rsidP="001F2A4B">
            <w:pPr>
              <w:ind w:right="-29"/>
              <w:jc w:val="center"/>
              <w:rPr>
                <w:noProof/>
                <w:sz w:val="18"/>
              </w:rPr>
            </w:pPr>
          </w:p>
        </w:tc>
        <w:tc>
          <w:tcPr>
            <w:tcW w:w="504" w:type="dxa"/>
          </w:tcPr>
          <w:p w14:paraId="671D0A05" w14:textId="77777777" w:rsidR="001F2A4B" w:rsidRPr="00150ABA" w:rsidRDefault="001F2A4B" w:rsidP="001F2A4B">
            <w:pPr>
              <w:ind w:right="-29"/>
              <w:jc w:val="center"/>
              <w:rPr>
                <w:noProof/>
                <w:sz w:val="18"/>
              </w:rPr>
            </w:pPr>
          </w:p>
        </w:tc>
        <w:tc>
          <w:tcPr>
            <w:tcW w:w="720" w:type="dxa"/>
          </w:tcPr>
          <w:p w14:paraId="60164C70" w14:textId="77777777" w:rsidR="001F2A4B" w:rsidRPr="00150ABA" w:rsidRDefault="001F2A4B" w:rsidP="001F2A4B">
            <w:pPr>
              <w:ind w:right="-29"/>
              <w:jc w:val="center"/>
              <w:rPr>
                <w:noProof/>
                <w:sz w:val="18"/>
              </w:rPr>
            </w:pPr>
          </w:p>
        </w:tc>
        <w:tc>
          <w:tcPr>
            <w:tcW w:w="540" w:type="dxa"/>
          </w:tcPr>
          <w:p w14:paraId="527F50BC" w14:textId="77777777" w:rsidR="001F2A4B" w:rsidRPr="00150ABA" w:rsidRDefault="001F2A4B" w:rsidP="001F2A4B">
            <w:pPr>
              <w:ind w:right="-29"/>
              <w:jc w:val="center"/>
              <w:rPr>
                <w:noProof/>
                <w:sz w:val="18"/>
              </w:rPr>
            </w:pPr>
          </w:p>
        </w:tc>
        <w:tc>
          <w:tcPr>
            <w:tcW w:w="720" w:type="dxa"/>
          </w:tcPr>
          <w:p w14:paraId="79491349" w14:textId="77777777" w:rsidR="001F2A4B" w:rsidRPr="00150ABA" w:rsidRDefault="001F2A4B" w:rsidP="001F2A4B">
            <w:pPr>
              <w:ind w:right="-29"/>
              <w:jc w:val="center"/>
              <w:rPr>
                <w:noProof/>
                <w:sz w:val="18"/>
              </w:rPr>
            </w:pPr>
          </w:p>
        </w:tc>
        <w:tc>
          <w:tcPr>
            <w:tcW w:w="720" w:type="dxa"/>
          </w:tcPr>
          <w:p w14:paraId="0375D34E" w14:textId="77777777" w:rsidR="001F2A4B" w:rsidRPr="00150ABA" w:rsidRDefault="001F2A4B" w:rsidP="001F2A4B">
            <w:pPr>
              <w:ind w:right="-29"/>
              <w:jc w:val="center"/>
              <w:rPr>
                <w:noProof/>
                <w:sz w:val="18"/>
              </w:rPr>
            </w:pPr>
          </w:p>
        </w:tc>
        <w:tc>
          <w:tcPr>
            <w:tcW w:w="720" w:type="dxa"/>
          </w:tcPr>
          <w:p w14:paraId="5A380D82" w14:textId="77777777" w:rsidR="001F2A4B" w:rsidRPr="00150ABA" w:rsidRDefault="001F2A4B" w:rsidP="001F2A4B">
            <w:pPr>
              <w:ind w:right="-29"/>
              <w:jc w:val="center"/>
              <w:rPr>
                <w:noProof/>
                <w:sz w:val="18"/>
              </w:rPr>
            </w:pPr>
            <w:r w:rsidRPr="00150ABA">
              <w:rPr>
                <w:noProof/>
                <w:sz w:val="18"/>
              </w:rPr>
              <w:t>0.300</w:t>
            </w:r>
          </w:p>
        </w:tc>
        <w:tc>
          <w:tcPr>
            <w:tcW w:w="789" w:type="dxa"/>
          </w:tcPr>
          <w:p w14:paraId="336B1A94" w14:textId="77777777" w:rsidR="001F2A4B" w:rsidRPr="00150ABA" w:rsidRDefault="001F2A4B" w:rsidP="001F2A4B">
            <w:pPr>
              <w:ind w:right="-29"/>
              <w:jc w:val="center"/>
              <w:rPr>
                <w:noProof/>
                <w:sz w:val="18"/>
              </w:rPr>
            </w:pPr>
          </w:p>
        </w:tc>
        <w:tc>
          <w:tcPr>
            <w:tcW w:w="831" w:type="dxa"/>
          </w:tcPr>
          <w:p w14:paraId="2EE77E40" w14:textId="77777777" w:rsidR="001F2A4B" w:rsidRPr="00150ABA" w:rsidRDefault="001F2A4B" w:rsidP="001F2A4B">
            <w:pPr>
              <w:ind w:right="-29"/>
              <w:jc w:val="center"/>
              <w:rPr>
                <w:noProof/>
                <w:sz w:val="18"/>
              </w:rPr>
            </w:pPr>
            <w:r w:rsidRPr="00150ABA">
              <w:rPr>
                <w:noProof/>
                <w:sz w:val="18"/>
              </w:rPr>
              <w:t>0.300</w:t>
            </w:r>
          </w:p>
        </w:tc>
        <w:tc>
          <w:tcPr>
            <w:tcW w:w="720" w:type="dxa"/>
          </w:tcPr>
          <w:p w14:paraId="01E338F7" w14:textId="77777777" w:rsidR="001F2A4B" w:rsidRPr="00150ABA" w:rsidRDefault="001F2A4B" w:rsidP="001F2A4B">
            <w:pPr>
              <w:ind w:right="-29"/>
              <w:jc w:val="center"/>
              <w:rPr>
                <w:noProof/>
                <w:sz w:val="18"/>
              </w:rPr>
            </w:pPr>
          </w:p>
        </w:tc>
        <w:tc>
          <w:tcPr>
            <w:tcW w:w="900" w:type="dxa"/>
          </w:tcPr>
          <w:p w14:paraId="050D1BCC" w14:textId="77777777" w:rsidR="001F2A4B" w:rsidRPr="00150ABA" w:rsidRDefault="001F2A4B" w:rsidP="001F2A4B">
            <w:pPr>
              <w:ind w:right="-29"/>
              <w:jc w:val="center"/>
              <w:rPr>
                <w:noProof/>
                <w:sz w:val="18"/>
              </w:rPr>
            </w:pPr>
            <w:r w:rsidRPr="00150ABA">
              <w:rPr>
                <w:noProof/>
                <w:sz w:val="18"/>
              </w:rPr>
              <w:t>0.600</w:t>
            </w:r>
          </w:p>
        </w:tc>
      </w:tr>
      <w:tr w:rsidR="001F2A4B" w:rsidRPr="00150ABA" w14:paraId="3ABAA067" w14:textId="77777777" w:rsidTr="001F2A4B">
        <w:trPr>
          <w:trHeight w:hRule="exact" w:val="2269"/>
          <w:jc w:val="center"/>
        </w:trPr>
        <w:tc>
          <w:tcPr>
            <w:tcW w:w="1423" w:type="dxa"/>
          </w:tcPr>
          <w:p w14:paraId="3110331D" w14:textId="77777777" w:rsidR="001F2A4B" w:rsidRPr="00150ABA" w:rsidRDefault="001F2A4B" w:rsidP="001F2A4B">
            <w:pPr>
              <w:ind w:right="-29"/>
              <w:rPr>
                <w:rFonts w:ascii="Roboto" w:hAnsi="Roboto"/>
                <w:noProof/>
                <w:sz w:val="18"/>
                <w:szCs w:val="18"/>
              </w:rPr>
            </w:pPr>
            <w:r w:rsidRPr="00150ABA">
              <w:rPr>
                <w:rFonts w:ascii="Roboto" w:hAnsi="Roboto"/>
                <w:noProof/>
                <w:sz w:val="18"/>
                <w:szCs w:val="18"/>
              </w:rPr>
              <w:t>Corrective &amp; adaptive maintenance – including software, licencing &amp; hosting, security provisions &amp; technical evolutions</w:t>
            </w:r>
          </w:p>
        </w:tc>
        <w:tc>
          <w:tcPr>
            <w:tcW w:w="720" w:type="dxa"/>
          </w:tcPr>
          <w:p w14:paraId="5585ADFC" w14:textId="77777777" w:rsidR="001F2A4B" w:rsidRPr="00150ABA" w:rsidRDefault="001F2A4B" w:rsidP="001F2A4B">
            <w:pPr>
              <w:ind w:right="-29"/>
              <w:jc w:val="center"/>
              <w:rPr>
                <w:noProof/>
                <w:sz w:val="18"/>
              </w:rPr>
            </w:pPr>
          </w:p>
        </w:tc>
        <w:tc>
          <w:tcPr>
            <w:tcW w:w="701" w:type="dxa"/>
          </w:tcPr>
          <w:p w14:paraId="04707D35" w14:textId="77777777" w:rsidR="001F2A4B" w:rsidRPr="00150ABA" w:rsidRDefault="001F2A4B" w:rsidP="001F2A4B">
            <w:pPr>
              <w:ind w:right="-29"/>
              <w:jc w:val="center"/>
              <w:rPr>
                <w:noProof/>
                <w:sz w:val="18"/>
              </w:rPr>
            </w:pPr>
          </w:p>
        </w:tc>
        <w:tc>
          <w:tcPr>
            <w:tcW w:w="504" w:type="dxa"/>
          </w:tcPr>
          <w:p w14:paraId="6A8019DE" w14:textId="77777777" w:rsidR="001F2A4B" w:rsidRPr="00150ABA" w:rsidRDefault="001F2A4B" w:rsidP="001F2A4B">
            <w:pPr>
              <w:ind w:right="-29"/>
              <w:jc w:val="center"/>
              <w:rPr>
                <w:noProof/>
                <w:sz w:val="18"/>
              </w:rPr>
            </w:pPr>
          </w:p>
        </w:tc>
        <w:tc>
          <w:tcPr>
            <w:tcW w:w="720" w:type="dxa"/>
          </w:tcPr>
          <w:p w14:paraId="4F6D3BA7" w14:textId="77777777" w:rsidR="001F2A4B" w:rsidRPr="00150ABA" w:rsidRDefault="001F2A4B" w:rsidP="001F2A4B">
            <w:pPr>
              <w:ind w:right="-29"/>
              <w:jc w:val="center"/>
              <w:rPr>
                <w:noProof/>
                <w:sz w:val="18"/>
              </w:rPr>
            </w:pPr>
          </w:p>
        </w:tc>
        <w:tc>
          <w:tcPr>
            <w:tcW w:w="540" w:type="dxa"/>
          </w:tcPr>
          <w:p w14:paraId="2C9665FD" w14:textId="77777777" w:rsidR="001F2A4B" w:rsidRPr="00150ABA" w:rsidRDefault="001F2A4B" w:rsidP="001F2A4B">
            <w:pPr>
              <w:ind w:right="-29"/>
              <w:jc w:val="center"/>
              <w:rPr>
                <w:noProof/>
                <w:sz w:val="18"/>
              </w:rPr>
            </w:pPr>
          </w:p>
        </w:tc>
        <w:tc>
          <w:tcPr>
            <w:tcW w:w="720" w:type="dxa"/>
          </w:tcPr>
          <w:p w14:paraId="20D3591A" w14:textId="77777777" w:rsidR="001F2A4B" w:rsidRPr="00150ABA" w:rsidRDefault="001F2A4B" w:rsidP="001F2A4B">
            <w:pPr>
              <w:ind w:right="-29"/>
              <w:jc w:val="center"/>
              <w:rPr>
                <w:noProof/>
                <w:sz w:val="18"/>
              </w:rPr>
            </w:pPr>
          </w:p>
        </w:tc>
        <w:tc>
          <w:tcPr>
            <w:tcW w:w="720" w:type="dxa"/>
          </w:tcPr>
          <w:p w14:paraId="670E0B24" w14:textId="77777777" w:rsidR="001F2A4B" w:rsidRPr="00150ABA" w:rsidRDefault="001F2A4B" w:rsidP="001F2A4B">
            <w:pPr>
              <w:ind w:right="-29"/>
              <w:jc w:val="center"/>
              <w:rPr>
                <w:noProof/>
                <w:sz w:val="18"/>
              </w:rPr>
            </w:pPr>
          </w:p>
        </w:tc>
        <w:tc>
          <w:tcPr>
            <w:tcW w:w="720" w:type="dxa"/>
          </w:tcPr>
          <w:p w14:paraId="20CE55F9" w14:textId="77777777" w:rsidR="001F2A4B" w:rsidRPr="00150ABA" w:rsidRDefault="001F2A4B" w:rsidP="001F2A4B">
            <w:pPr>
              <w:ind w:right="-29"/>
              <w:jc w:val="center"/>
              <w:rPr>
                <w:noProof/>
                <w:sz w:val="18"/>
              </w:rPr>
            </w:pPr>
            <w:r w:rsidRPr="00150ABA">
              <w:rPr>
                <w:noProof/>
                <w:sz w:val="18"/>
              </w:rPr>
              <w:t>0.700</w:t>
            </w:r>
          </w:p>
        </w:tc>
        <w:tc>
          <w:tcPr>
            <w:tcW w:w="789" w:type="dxa"/>
          </w:tcPr>
          <w:p w14:paraId="26C4E888" w14:textId="77777777" w:rsidR="001F2A4B" w:rsidRPr="00150ABA" w:rsidRDefault="001F2A4B" w:rsidP="001F2A4B">
            <w:pPr>
              <w:ind w:right="-29"/>
              <w:jc w:val="center"/>
              <w:rPr>
                <w:noProof/>
                <w:sz w:val="18"/>
              </w:rPr>
            </w:pPr>
          </w:p>
        </w:tc>
        <w:tc>
          <w:tcPr>
            <w:tcW w:w="831" w:type="dxa"/>
          </w:tcPr>
          <w:p w14:paraId="6B197049" w14:textId="77777777" w:rsidR="001F2A4B" w:rsidRPr="00150ABA" w:rsidRDefault="001F2A4B" w:rsidP="001F2A4B">
            <w:pPr>
              <w:ind w:right="-29"/>
              <w:jc w:val="center"/>
              <w:rPr>
                <w:noProof/>
                <w:sz w:val="18"/>
              </w:rPr>
            </w:pPr>
            <w:r w:rsidRPr="00150ABA">
              <w:rPr>
                <w:noProof/>
                <w:sz w:val="18"/>
              </w:rPr>
              <w:t>0.700</w:t>
            </w:r>
          </w:p>
        </w:tc>
        <w:tc>
          <w:tcPr>
            <w:tcW w:w="720" w:type="dxa"/>
          </w:tcPr>
          <w:p w14:paraId="49F59A47" w14:textId="77777777" w:rsidR="001F2A4B" w:rsidRPr="00150ABA" w:rsidRDefault="001F2A4B" w:rsidP="001F2A4B">
            <w:pPr>
              <w:ind w:right="-29"/>
              <w:jc w:val="center"/>
              <w:rPr>
                <w:noProof/>
                <w:sz w:val="18"/>
              </w:rPr>
            </w:pPr>
          </w:p>
        </w:tc>
        <w:tc>
          <w:tcPr>
            <w:tcW w:w="900" w:type="dxa"/>
          </w:tcPr>
          <w:p w14:paraId="6E2C7613" w14:textId="77777777" w:rsidR="001F2A4B" w:rsidRPr="00150ABA" w:rsidRDefault="001F2A4B" w:rsidP="001F2A4B">
            <w:pPr>
              <w:ind w:right="-29"/>
              <w:jc w:val="center"/>
              <w:rPr>
                <w:noProof/>
                <w:sz w:val="18"/>
              </w:rPr>
            </w:pPr>
            <w:r w:rsidRPr="00150ABA">
              <w:rPr>
                <w:noProof/>
                <w:sz w:val="18"/>
              </w:rPr>
              <w:t>1.400</w:t>
            </w:r>
          </w:p>
        </w:tc>
      </w:tr>
      <w:tr w:rsidR="001F2A4B" w:rsidRPr="00150ABA" w14:paraId="0C18AF15" w14:textId="77777777" w:rsidTr="001F2A4B">
        <w:trPr>
          <w:trHeight w:hRule="exact" w:val="1422"/>
          <w:jc w:val="center"/>
        </w:trPr>
        <w:tc>
          <w:tcPr>
            <w:tcW w:w="1423" w:type="dxa"/>
          </w:tcPr>
          <w:p w14:paraId="24A85FAB" w14:textId="77777777" w:rsidR="001F2A4B" w:rsidRPr="00150ABA" w:rsidRDefault="001F2A4B" w:rsidP="001F2A4B">
            <w:pPr>
              <w:ind w:right="-29"/>
              <w:rPr>
                <w:rFonts w:ascii="Roboto" w:hAnsi="Roboto"/>
                <w:noProof/>
                <w:sz w:val="18"/>
                <w:szCs w:val="18"/>
              </w:rPr>
            </w:pPr>
            <w:r w:rsidRPr="00150ABA">
              <w:rPr>
                <w:rFonts w:ascii="Roboto" w:hAnsi="Roboto"/>
                <w:noProof/>
                <w:sz w:val="18"/>
                <w:szCs w:val="18"/>
              </w:rPr>
              <w:t>Internal staff  required for the maintenance of the JITs collaboration platform</w:t>
            </w:r>
          </w:p>
        </w:tc>
        <w:tc>
          <w:tcPr>
            <w:tcW w:w="720" w:type="dxa"/>
          </w:tcPr>
          <w:p w14:paraId="6A6AEB33" w14:textId="77777777" w:rsidR="001F2A4B" w:rsidRPr="00150ABA" w:rsidRDefault="001F2A4B" w:rsidP="001F2A4B">
            <w:pPr>
              <w:ind w:right="-29"/>
              <w:jc w:val="center"/>
              <w:rPr>
                <w:noProof/>
                <w:sz w:val="18"/>
              </w:rPr>
            </w:pPr>
          </w:p>
        </w:tc>
        <w:tc>
          <w:tcPr>
            <w:tcW w:w="701" w:type="dxa"/>
          </w:tcPr>
          <w:p w14:paraId="22CDF9B1" w14:textId="77777777" w:rsidR="001F2A4B" w:rsidRPr="00150ABA" w:rsidRDefault="001F2A4B" w:rsidP="001F2A4B">
            <w:pPr>
              <w:ind w:right="-29"/>
              <w:jc w:val="center"/>
              <w:rPr>
                <w:noProof/>
                <w:sz w:val="18"/>
              </w:rPr>
            </w:pPr>
          </w:p>
        </w:tc>
        <w:tc>
          <w:tcPr>
            <w:tcW w:w="504" w:type="dxa"/>
          </w:tcPr>
          <w:p w14:paraId="52F0BFEF" w14:textId="77777777" w:rsidR="001F2A4B" w:rsidRPr="00150ABA" w:rsidRDefault="001F2A4B" w:rsidP="001F2A4B">
            <w:pPr>
              <w:ind w:right="-29"/>
              <w:jc w:val="center"/>
              <w:rPr>
                <w:noProof/>
                <w:sz w:val="18"/>
              </w:rPr>
            </w:pPr>
          </w:p>
        </w:tc>
        <w:tc>
          <w:tcPr>
            <w:tcW w:w="720" w:type="dxa"/>
          </w:tcPr>
          <w:p w14:paraId="79001C59" w14:textId="77777777" w:rsidR="001F2A4B" w:rsidRPr="00150ABA" w:rsidRDefault="001F2A4B" w:rsidP="001F2A4B">
            <w:pPr>
              <w:ind w:right="-29"/>
              <w:jc w:val="center"/>
              <w:rPr>
                <w:noProof/>
                <w:sz w:val="18"/>
              </w:rPr>
            </w:pPr>
          </w:p>
        </w:tc>
        <w:tc>
          <w:tcPr>
            <w:tcW w:w="540" w:type="dxa"/>
          </w:tcPr>
          <w:p w14:paraId="144C6B16" w14:textId="77777777" w:rsidR="001F2A4B" w:rsidRPr="00150ABA" w:rsidRDefault="001F2A4B" w:rsidP="001F2A4B">
            <w:pPr>
              <w:ind w:right="-29"/>
              <w:jc w:val="center"/>
              <w:rPr>
                <w:noProof/>
                <w:sz w:val="18"/>
              </w:rPr>
            </w:pPr>
          </w:p>
        </w:tc>
        <w:tc>
          <w:tcPr>
            <w:tcW w:w="720" w:type="dxa"/>
          </w:tcPr>
          <w:p w14:paraId="52B4DC12" w14:textId="77777777" w:rsidR="001F2A4B" w:rsidRPr="00150ABA" w:rsidRDefault="001F2A4B" w:rsidP="001F2A4B">
            <w:pPr>
              <w:ind w:right="-29"/>
              <w:jc w:val="center"/>
              <w:rPr>
                <w:noProof/>
                <w:sz w:val="18"/>
              </w:rPr>
            </w:pPr>
          </w:p>
        </w:tc>
        <w:tc>
          <w:tcPr>
            <w:tcW w:w="720" w:type="dxa"/>
          </w:tcPr>
          <w:p w14:paraId="7F6B7767" w14:textId="77777777" w:rsidR="001F2A4B" w:rsidRPr="00150ABA" w:rsidRDefault="001F2A4B" w:rsidP="001F2A4B">
            <w:pPr>
              <w:ind w:right="-29"/>
              <w:jc w:val="center"/>
              <w:rPr>
                <w:noProof/>
                <w:sz w:val="18"/>
              </w:rPr>
            </w:pPr>
          </w:p>
        </w:tc>
        <w:tc>
          <w:tcPr>
            <w:tcW w:w="720" w:type="dxa"/>
          </w:tcPr>
          <w:p w14:paraId="58D09497" w14:textId="77777777" w:rsidR="001F2A4B" w:rsidRPr="00150ABA" w:rsidRDefault="001F2A4B" w:rsidP="001F2A4B">
            <w:pPr>
              <w:ind w:right="-29"/>
              <w:jc w:val="center"/>
              <w:rPr>
                <w:noProof/>
                <w:sz w:val="18"/>
              </w:rPr>
            </w:pPr>
            <w:r w:rsidRPr="00150ABA">
              <w:rPr>
                <w:noProof/>
                <w:sz w:val="18"/>
              </w:rPr>
              <w:t>1.380</w:t>
            </w:r>
          </w:p>
        </w:tc>
        <w:tc>
          <w:tcPr>
            <w:tcW w:w="789" w:type="dxa"/>
          </w:tcPr>
          <w:p w14:paraId="54E14D88" w14:textId="77777777" w:rsidR="001F2A4B" w:rsidRPr="00150ABA" w:rsidRDefault="001F2A4B" w:rsidP="001F2A4B">
            <w:pPr>
              <w:ind w:right="-29"/>
              <w:jc w:val="center"/>
              <w:rPr>
                <w:noProof/>
                <w:sz w:val="18"/>
              </w:rPr>
            </w:pPr>
          </w:p>
        </w:tc>
        <w:tc>
          <w:tcPr>
            <w:tcW w:w="831" w:type="dxa"/>
          </w:tcPr>
          <w:p w14:paraId="62682ABA" w14:textId="77777777" w:rsidR="001F2A4B" w:rsidRPr="00150ABA" w:rsidRDefault="001F2A4B" w:rsidP="001F2A4B">
            <w:pPr>
              <w:ind w:right="-29"/>
              <w:jc w:val="center"/>
              <w:rPr>
                <w:noProof/>
                <w:sz w:val="18"/>
              </w:rPr>
            </w:pPr>
            <w:r w:rsidRPr="00150ABA">
              <w:rPr>
                <w:noProof/>
                <w:sz w:val="18"/>
              </w:rPr>
              <w:t>1.380</w:t>
            </w:r>
          </w:p>
        </w:tc>
        <w:tc>
          <w:tcPr>
            <w:tcW w:w="720" w:type="dxa"/>
          </w:tcPr>
          <w:p w14:paraId="513C16FB" w14:textId="77777777" w:rsidR="001F2A4B" w:rsidRPr="00150ABA" w:rsidRDefault="001F2A4B" w:rsidP="001F2A4B">
            <w:pPr>
              <w:ind w:right="-29"/>
              <w:jc w:val="center"/>
              <w:rPr>
                <w:noProof/>
                <w:sz w:val="18"/>
              </w:rPr>
            </w:pPr>
          </w:p>
        </w:tc>
        <w:tc>
          <w:tcPr>
            <w:tcW w:w="900" w:type="dxa"/>
          </w:tcPr>
          <w:p w14:paraId="094A8D3A" w14:textId="77777777" w:rsidR="001F2A4B" w:rsidRPr="00150ABA" w:rsidRDefault="001F2A4B" w:rsidP="001F2A4B">
            <w:pPr>
              <w:ind w:right="-29"/>
              <w:jc w:val="center"/>
              <w:rPr>
                <w:noProof/>
                <w:sz w:val="18"/>
              </w:rPr>
            </w:pPr>
            <w:r w:rsidRPr="00150ABA">
              <w:rPr>
                <w:noProof/>
                <w:sz w:val="18"/>
              </w:rPr>
              <w:t>2.760</w:t>
            </w:r>
          </w:p>
        </w:tc>
      </w:tr>
      <w:tr w:rsidR="001F2A4B" w:rsidRPr="00150ABA" w14:paraId="5815B26F" w14:textId="77777777" w:rsidTr="001F2A4B">
        <w:trPr>
          <w:jc w:val="center"/>
        </w:trPr>
        <w:tc>
          <w:tcPr>
            <w:tcW w:w="2844" w:type="dxa"/>
            <w:gridSpan w:val="3"/>
            <w:tcBorders>
              <w:bottom w:val="single" w:sz="12" w:space="0" w:color="auto"/>
            </w:tcBorders>
            <w:vAlign w:val="center"/>
          </w:tcPr>
          <w:p w14:paraId="2A017745" w14:textId="77777777" w:rsidR="001F2A4B" w:rsidRPr="00150ABA" w:rsidRDefault="001F2A4B" w:rsidP="001F2A4B">
            <w:pPr>
              <w:jc w:val="center"/>
              <w:rPr>
                <w:noProof/>
                <w:sz w:val="18"/>
              </w:rPr>
            </w:pPr>
            <w:r w:rsidRPr="00150ABA">
              <w:rPr>
                <w:noProof/>
                <w:sz w:val="18"/>
              </w:rPr>
              <w:t>Subtotal for specific objective No 2</w:t>
            </w:r>
          </w:p>
        </w:tc>
        <w:tc>
          <w:tcPr>
            <w:tcW w:w="504" w:type="dxa"/>
            <w:tcBorders>
              <w:bottom w:val="single" w:sz="12" w:space="0" w:color="auto"/>
            </w:tcBorders>
          </w:tcPr>
          <w:p w14:paraId="15496637" w14:textId="77777777" w:rsidR="001F2A4B" w:rsidRPr="00150ABA" w:rsidRDefault="001F2A4B" w:rsidP="001F2A4B">
            <w:pPr>
              <w:ind w:right="-29"/>
              <w:jc w:val="center"/>
              <w:rPr>
                <w:noProof/>
                <w:sz w:val="18"/>
              </w:rPr>
            </w:pPr>
          </w:p>
        </w:tc>
        <w:tc>
          <w:tcPr>
            <w:tcW w:w="720" w:type="dxa"/>
            <w:tcBorders>
              <w:bottom w:val="single" w:sz="12" w:space="0" w:color="auto"/>
            </w:tcBorders>
          </w:tcPr>
          <w:p w14:paraId="3BE2FEC8" w14:textId="77777777" w:rsidR="001F2A4B" w:rsidRPr="00150ABA" w:rsidRDefault="001F2A4B" w:rsidP="001F2A4B">
            <w:pPr>
              <w:ind w:right="-29"/>
              <w:jc w:val="center"/>
              <w:rPr>
                <w:noProof/>
                <w:sz w:val="18"/>
              </w:rPr>
            </w:pPr>
          </w:p>
        </w:tc>
        <w:tc>
          <w:tcPr>
            <w:tcW w:w="540" w:type="dxa"/>
            <w:tcBorders>
              <w:bottom w:val="single" w:sz="12" w:space="0" w:color="auto"/>
            </w:tcBorders>
          </w:tcPr>
          <w:p w14:paraId="0E551E58" w14:textId="77777777" w:rsidR="001F2A4B" w:rsidRPr="00150ABA" w:rsidRDefault="001F2A4B" w:rsidP="001F2A4B">
            <w:pPr>
              <w:ind w:right="-29"/>
              <w:jc w:val="center"/>
              <w:rPr>
                <w:noProof/>
                <w:sz w:val="18"/>
              </w:rPr>
            </w:pPr>
          </w:p>
        </w:tc>
        <w:tc>
          <w:tcPr>
            <w:tcW w:w="720" w:type="dxa"/>
            <w:tcBorders>
              <w:bottom w:val="single" w:sz="12" w:space="0" w:color="auto"/>
            </w:tcBorders>
          </w:tcPr>
          <w:p w14:paraId="7279C7B8" w14:textId="77777777" w:rsidR="001F2A4B" w:rsidRPr="00150ABA" w:rsidRDefault="001F2A4B" w:rsidP="001F2A4B">
            <w:pPr>
              <w:ind w:right="-29"/>
              <w:jc w:val="center"/>
              <w:rPr>
                <w:noProof/>
                <w:sz w:val="18"/>
              </w:rPr>
            </w:pPr>
          </w:p>
        </w:tc>
        <w:tc>
          <w:tcPr>
            <w:tcW w:w="720" w:type="dxa"/>
            <w:tcBorders>
              <w:bottom w:val="single" w:sz="12" w:space="0" w:color="auto"/>
            </w:tcBorders>
          </w:tcPr>
          <w:p w14:paraId="44EFCF0F" w14:textId="77777777" w:rsidR="001F2A4B" w:rsidRPr="00150ABA" w:rsidRDefault="001F2A4B" w:rsidP="001F2A4B">
            <w:pPr>
              <w:ind w:right="-29"/>
              <w:jc w:val="center"/>
              <w:rPr>
                <w:noProof/>
                <w:sz w:val="18"/>
              </w:rPr>
            </w:pPr>
          </w:p>
        </w:tc>
        <w:tc>
          <w:tcPr>
            <w:tcW w:w="720" w:type="dxa"/>
            <w:tcBorders>
              <w:bottom w:val="single" w:sz="12" w:space="0" w:color="auto"/>
            </w:tcBorders>
          </w:tcPr>
          <w:p w14:paraId="3EE75DF9" w14:textId="77777777" w:rsidR="001F2A4B" w:rsidRPr="00150ABA" w:rsidRDefault="001F2A4B" w:rsidP="001F2A4B">
            <w:pPr>
              <w:ind w:right="-29"/>
              <w:jc w:val="center"/>
              <w:rPr>
                <w:noProof/>
                <w:sz w:val="18"/>
              </w:rPr>
            </w:pPr>
            <w:r w:rsidRPr="00150ABA">
              <w:rPr>
                <w:noProof/>
                <w:sz w:val="18"/>
              </w:rPr>
              <w:t>3.080</w:t>
            </w:r>
          </w:p>
        </w:tc>
        <w:tc>
          <w:tcPr>
            <w:tcW w:w="789" w:type="dxa"/>
            <w:tcBorders>
              <w:bottom w:val="single" w:sz="12" w:space="0" w:color="auto"/>
            </w:tcBorders>
          </w:tcPr>
          <w:p w14:paraId="4D0CE609" w14:textId="77777777" w:rsidR="001F2A4B" w:rsidRPr="00150ABA" w:rsidRDefault="001F2A4B" w:rsidP="001F2A4B">
            <w:pPr>
              <w:ind w:right="-29"/>
              <w:jc w:val="center"/>
              <w:rPr>
                <w:noProof/>
                <w:sz w:val="18"/>
              </w:rPr>
            </w:pPr>
          </w:p>
        </w:tc>
        <w:tc>
          <w:tcPr>
            <w:tcW w:w="831" w:type="dxa"/>
            <w:tcBorders>
              <w:bottom w:val="single" w:sz="12" w:space="0" w:color="auto"/>
            </w:tcBorders>
          </w:tcPr>
          <w:p w14:paraId="02E1B32D" w14:textId="77777777" w:rsidR="001F2A4B" w:rsidRPr="00150ABA" w:rsidRDefault="001F2A4B" w:rsidP="001F2A4B">
            <w:pPr>
              <w:ind w:right="-29"/>
              <w:jc w:val="center"/>
              <w:rPr>
                <w:noProof/>
                <w:sz w:val="18"/>
              </w:rPr>
            </w:pPr>
            <w:r w:rsidRPr="00150ABA">
              <w:rPr>
                <w:noProof/>
                <w:sz w:val="18"/>
              </w:rPr>
              <w:t>3.080</w:t>
            </w:r>
          </w:p>
        </w:tc>
        <w:tc>
          <w:tcPr>
            <w:tcW w:w="720" w:type="dxa"/>
            <w:tcBorders>
              <w:bottom w:val="single" w:sz="12" w:space="0" w:color="auto"/>
            </w:tcBorders>
          </w:tcPr>
          <w:p w14:paraId="27A378E6" w14:textId="77777777" w:rsidR="001F2A4B" w:rsidRPr="00150ABA" w:rsidRDefault="001F2A4B" w:rsidP="001F2A4B">
            <w:pPr>
              <w:ind w:right="-29"/>
              <w:jc w:val="center"/>
              <w:rPr>
                <w:noProof/>
                <w:sz w:val="18"/>
              </w:rPr>
            </w:pPr>
          </w:p>
        </w:tc>
        <w:tc>
          <w:tcPr>
            <w:tcW w:w="900" w:type="dxa"/>
            <w:tcBorders>
              <w:bottom w:val="single" w:sz="12" w:space="0" w:color="auto"/>
            </w:tcBorders>
          </w:tcPr>
          <w:p w14:paraId="4561E832" w14:textId="77777777" w:rsidR="001F2A4B" w:rsidRPr="00150ABA" w:rsidRDefault="001F2A4B" w:rsidP="001F2A4B">
            <w:pPr>
              <w:ind w:right="-29"/>
              <w:jc w:val="center"/>
              <w:rPr>
                <w:noProof/>
                <w:sz w:val="18"/>
              </w:rPr>
            </w:pPr>
            <w:r w:rsidRPr="00150ABA">
              <w:rPr>
                <w:noProof/>
                <w:sz w:val="18"/>
              </w:rPr>
              <w:t>6.160</w:t>
            </w:r>
          </w:p>
        </w:tc>
      </w:tr>
      <w:tr w:rsidR="001F2A4B" w:rsidRPr="00150ABA" w14:paraId="0133A2E3" w14:textId="77777777" w:rsidTr="001F2A4B">
        <w:trPr>
          <w:jc w:val="center"/>
        </w:trPr>
        <w:tc>
          <w:tcPr>
            <w:tcW w:w="2844" w:type="dxa"/>
            <w:gridSpan w:val="3"/>
            <w:tcBorders>
              <w:top w:val="single" w:sz="12" w:space="0" w:color="auto"/>
              <w:left w:val="single" w:sz="12" w:space="0" w:color="auto"/>
              <w:bottom w:val="single" w:sz="12" w:space="0" w:color="auto"/>
            </w:tcBorders>
            <w:vAlign w:val="center"/>
          </w:tcPr>
          <w:p w14:paraId="536B3838" w14:textId="77777777" w:rsidR="001F2A4B" w:rsidRPr="00150ABA" w:rsidRDefault="001F2A4B" w:rsidP="001F2A4B">
            <w:pPr>
              <w:ind w:right="-29"/>
              <w:jc w:val="center"/>
              <w:rPr>
                <w:noProof/>
                <w:sz w:val="18"/>
              </w:rPr>
            </w:pPr>
            <w:r w:rsidRPr="00150ABA">
              <w:rPr>
                <w:b/>
                <w:noProof/>
                <w:sz w:val="18"/>
              </w:rPr>
              <w:t>TOTAL COST</w:t>
            </w:r>
          </w:p>
        </w:tc>
        <w:tc>
          <w:tcPr>
            <w:tcW w:w="504" w:type="dxa"/>
            <w:tcBorders>
              <w:top w:val="single" w:sz="12" w:space="0" w:color="auto"/>
              <w:bottom w:val="single" w:sz="12" w:space="0" w:color="auto"/>
            </w:tcBorders>
          </w:tcPr>
          <w:p w14:paraId="5358ABC3" w14:textId="77777777" w:rsidR="001F2A4B" w:rsidRPr="00150ABA" w:rsidRDefault="001F2A4B" w:rsidP="001F2A4B">
            <w:pPr>
              <w:spacing w:before="180" w:after="180"/>
              <w:ind w:right="-29"/>
              <w:jc w:val="center"/>
              <w:rPr>
                <w:noProof/>
                <w:sz w:val="18"/>
              </w:rPr>
            </w:pPr>
          </w:p>
        </w:tc>
        <w:tc>
          <w:tcPr>
            <w:tcW w:w="720" w:type="dxa"/>
            <w:tcBorders>
              <w:top w:val="single" w:sz="12" w:space="0" w:color="auto"/>
              <w:bottom w:val="single" w:sz="12" w:space="0" w:color="auto"/>
            </w:tcBorders>
          </w:tcPr>
          <w:p w14:paraId="0BC23581" w14:textId="77777777" w:rsidR="001F2A4B" w:rsidRPr="00150ABA" w:rsidRDefault="001F2A4B" w:rsidP="001F2A4B">
            <w:pPr>
              <w:spacing w:before="180" w:after="180"/>
              <w:ind w:right="-29"/>
              <w:jc w:val="center"/>
              <w:rPr>
                <w:noProof/>
                <w:sz w:val="18"/>
              </w:rPr>
            </w:pPr>
            <w:r w:rsidRPr="00150ABA">
              <w:rPr>
                <w:noProof/>
                <w:sz w:val="18"/>
              </w:rPr>
              <w:t>3.608</w:t>
            </w:r>
          </w:p>
        </w:tc>
        <w:tc>
          <w:tcPr>
            <w:tcW w:w="540" w:type="dxa"/>
            <w:tcBorders>
              <w:top w:val="single" w:sz="12" w:space="0" w:color="auto"/>
              <w:bottom w:val="single" w:sz="12" w:space="0" w:color="auto"/>
            </w:tcBorders>
          </w:tcPr>
          <w:p w14:paraId="348B4B4A" w14:textId="77777777" w:rsidR="001F2A4B" w:rsidRPr="00150ABA" w:rsidRDefault="001F2A4B" w:rsidP="001F2A4B">
            <w:pPr>
              <w:spacing w:before="180" w:after="180"/>
              <w:ind w:right="-29"/>
              <w:jc w:val="center"/>
              <w:rPr>
                <w:noProof/>
                <w:sz w:val="18"/>
              </w:rPr>
            </w:pPr>
          </w:p>
        </w:tc>
        <w:tc>
          <w:tcPr>
            <w:tcW w:w="720" w:type="dxa"/>
            <w:tcBorders>
              <w:top w:val="single" w:sz="12" w:space="0" w:color="auto"/>
              <w:bottom w:val="single" w:sz="12" w:space="0" w:color="auto"/>
            </w:tcBorders>
          </w:tcPr>
          <w:p w14:paraId="5ED41CEA" w14:textId="77777777" w:rsidR="001F2A4B" w:rsidRPr="00150ABA" w:rsidRDefault="001F2A4B" w:rsidP="001F2A4B">
            <w:pPr>
              <w:spacing w:before="180" w:after="180"/>
              <w:ind w:right="-29"/>
              <w:jc w:val="center"/>
              <w:rPr>
                <w:noProof/>
                <w:sz w:val="18"/>
              </w:rPr>
            </w:pPr>
            <w:r w:rsidRPr="00150ABA">
              <w:rPr>
                <w:noProof/>
                <w:sz w:val="18"/>
              </w:rPr>
              <w:t>6.616</w:t>
            </w:r>
          </w:p>
        </w:tc>
        <w:tc>
          <w:tcPr>
            <w:tcW w:w="720" w:type="dxa"/>
            <w:tcBorders>
              <w:top w:val="single" w:sz="12" w:space="0" w:color="auto"/>
              <w:bottom w:val="single" w:sz="12" w:space="0" w:color="auto"/>
            </w:tcBorders>
          </w:tcPr>
          <w:p w14:paraId="0A661E58" w14:textId="77777777" w:rsidR="001F2A4B" w:rsidRPr="00150ABA" w:rsidRDefault="001F2A4B" w:rsidP="001F2A4B">
            <w:pPr>
              <w:spacing w:before="180" w:after="180"/>
              <w:ind w:right="-29"/>
              <w:jc w:val="center"/>
              <w:rPr>
                <w:noProof/>
                <w:sz w:val="18"/>
              </w:rPr>
            </w:pPr>
          </w:p>
        </w:tc>
        <w:tc>
          <w:tcPr>
            <w:tcW w:w="720" w:type="dxa"/>
            <w:tcBorders>
              <w:top w:val="single" w:sz="12" w:space="0" w:color="auto"/>
              <w:bottom w:val="single" w:sz="12" w:space="0" w:color="auto"/>
            </w:tcBorders>
          </w:tcPr>
          <w:p w14:paraId="0AA6C793" w14:textId="77777777" w:rsidR="001F2A4B" w:rsidRPr="00150ABA" w:rsidRDefault="001F2A4B" w:rsidP="001F2A4B">
            <w:pPr>
              <w:spacing w:before="180" w:after="180"/>
              <w:ind w:right="-29"/>
              <w:jc w:val="center"/>
              <w:rPr>
                <w:noProof/>
                <w:sz w:val="18"/>
              </w:rPr>
            </w:pPr>
            <w:r w:rsidRPr="00150ABA">
              <w:rPr>
                <w:noProof/>
                <w:sz w:val="18"/>
              </w:rPr>
              <w:t>3.080</w:t>
            </w:r>
          </w:p>
        </w:tc>
        <w:tc>
          <w:tcPr>
            <w:tcW w:w="789" w:type="dxa"/>
            <w:tcBorders>
              <w:top w:val="single" w:sz="12" w:space="0" w:color="auto"/>
              <w:bottom w:val="single" w:sz="12" w:space="0" w:color="auto"/>
            </w:tcBorders>
          </w:tcPr>
          <w:p w14:paraId="3B430F52" w14:textId="77777777" w:rsidR="001F2A4B" w:rsidRPr="00150ABA" w:rsidRDefault="001F2A4B" w:rsidP="001F2A4B">
            <w:pPr>
              <w:spacing w:before="180" w:after="180"/>
              <w:ind w:right="-29"/>
              <w:jc w:val="center"/>
              <w:rPr>
                <w:noProof/>
                <w:sz w:val="18"/>
              </w:rPr>
            </w:pPr>
          </w:p>
        </w:tc>
        <w:tc>
          <w:tcPr>
            <w:tcW w:w="831" w:type="dxa"/>
            <w:tcBorders>
              <w:top w:val="single" w:sz="12" w:space="0" w:color="auto"/>
              <w:bottom w:val="single" w:sz="12" w:space="0" w:color="auto"/>
            </w:tcBorders>
          </w:tcPr>
          <w:p w14:paraId="16AF8A1E" w14:textId="77777777" w:rsidR="001F2A4B" w:rsidRPr="00150ABA" w:rsidRDefault="001F2A4B" w:rsidP="001F2A4B">
            <w:pPr>
              <w:spacing w:before="180" w:after="180"/>
              <w:ind w:right="-29"/>
              <w:jc w:val="center"/>
              <w:rPr>
                <w:noProof/>
                <w:sz w:val="18"/>
              </w:rPr>
            </w:pPr>
            <w:r w:rsidRPr="00150ABA">
              <w:rPr>
                <w:noProof/>
                <w:sz w:val="18"/>
              </w:rPr>
              <w:t>3.080</w:t>
            </w:r>
          </w:p>
        </w:tc>
        <w:tc>
          <w:tcPr>
            <w:tcW w:w="720" w:type="dxa"/>
            <w:tcBorders>
              <w:top w:val="single" w:sz="12" w:space="0" w:color="auto"/>
              <w:bottom w:val="single" w:sz="12" w:space="0" w:color="auto"/>
            </w:tcBorders>
          </w:tcPr>
          <w:p w14:paraId="675265C1" w14:textId="77777777" w:rsidR="001F2A4B" w:rsidRPr="00150ABA" w:rsidRDefault="001F2A4B" w:rsidP="001F2A4B">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14:paraId="5F169A8B" w14:textId="77777777" w:rsidR="001F2A4B" w:rsidRPr="00150ABA" w:rsidRDefault="001F2A4B" w:rsidP="001F2A4B">
            <w:pPr>
              <w:spacing w:before="180" w:after="180"/>
              <w:ind w:right="-29"/>
              <w:jc w:val="center"/>
              <w:rPr>
                <w:noProof/>
                <w:sz w:val="18"/>
              </w:rPr>
            </w:pPr>
            <w:r w:rsidRPr="00150ABA">
              <w:rPr>
                <w:noProof/>
                <w:sz w:val="18"/>
              </w:rPr>
              <w:t>16.384</w:t>
            </w:r>
          </w:p>
        </w:tc>
      </w:tr>
    </w:tbl>
    <w:p w14:paraId="34FC9085" w14:textId="77777777" w:rsidR="001F2A4B" w:rsidRPr="00150ABA" w:rsidRDefault="001F2A4B" w:rsidP="001F2A4B">
      <w:pPr>
        <w:tabs>
          <w:tab w:val="left" w:pos="1733"/>
        </w:tabs>
        <w:rPr>
          <w:noProof/>
          <w:sz w:val="18"/>
        </w:rPr>
      </w:pPr>
    </w:p>
    <w:p w14:paraId="5840FEAE" w14:textId="3BBAAC34" w:rsidR="001F2A4B" w:rsidRPr="00150ABA" w:rsidRDefault="00D76D82" w:rsidP="00D76D82">
      <w:pPr>
        <w:pStyle w:val="ManualHeading3"/>
        <w:rPr>
          <w:bCs/>
          <w:noProof/>
          <w:szCs w:val="24"/>
        </w:rPr>
      </w:pPr>
      <w:bookmarkStart w:id="31" w:name="_Toc85196973"/>
      <w:r w:rsidRPr="00D76D82">
        <w:t>3.2.4.</w:t>
      </w:r>
      <w:r w:rsidRPr="00D76D82">
        <w:tab/>
      </w:r>
      <w:r w:rsidR="001F2A4B" w:rsidRPr="00150ABA">
        <w:rPr>
          <w:noProof/>
        </w:rPr>
        <w:t>Estimated impact on Eurojust's human resources</w:t>
      </w:r>
      <w:bookmarkEnd w:id="31"/>
      <w:r w:rsidR="001F2A4B" w:rsidRPr="00150ABA">
        <w:rPr>
          <w:noProof/>
        </w:rPr>
        <w:t xml:space="preserve"> </w:t>
      </w:r>
    </w:p>
    <w:p w14:paraId="50773FAD" w14:textId="344E525E" w:rsidR="001F2A4B" w:rsidRPr="00150ABA" w:rsidRDefault="00D76D82" w:rsidP="00D76D82">
      <w:pPr>
        <w:pStyle w:val="ManualHeading4"/>
        <w:rPr>
          <w:bCs/>
          <w:noProof/>
          <w:szCs w:val="24"/>
        </w:rPr>
      </w:pPr>
      <w:r w:rsidRPr="00D76D82">
        <w:t>3.2.4.1.</w:t>
      </w:r>
      <w:r w:rsidRPr="00D76D82">
        <w:tab/>
      </w:r>
      <w:r w:rsidR="001F2A4B" w:rsidRPr="00150ABA">
        <w:rPr>
          <w:noProof/>
        </w:rPr>
        <w:t xml:space="preserve">Summary </w:t>
      </w:r>
    </w:p>
    <w:p w14:paraId="09D2A592" w14:textId="77777777" w:rsidR="001F2A4B" w:rsidRPr="00150ABA" w:rsidRDefault="001F2A4B" w:rsidP="008326C2">
      <w:pPr>
        <w:pStyle w:val="ListDash1"/>
        <w:numPr>
          <w:ilvl w:val="0"/>
          <w:numId w:val="16"/>
        </w:numPr>
        <w:rPr>
          <w:noProof/>
        </w:rPr>
      </w:pPr>
      <w:r w:rsidRPr="00150ABA">
        <w:rPr>
          <w:noProof/>
        </w:rPr>
        <w:sym w:font="Wingdings" w:char="F0A8"/>
      </w:r>
      <w:r w:rsidRPr="00150ABA">
        <w:rPr>
          <w:noProof/>
        </w:rPr>
        <w:tab/>
        <w:t xml:space="preserve">The proposal/initiative does not require the use of appropriations of an administrative nature </w:t>
      </w:r>
    </w:p>
    <w:p w14:paraId="71267DB8" w14:textId="1FC5098C" w:rsidR="001F2A4B" w:rsidRPr="00150ABA" w:rsidRDefault="001F2A4B" w:rsidP="008326C2">
      <w:pPr>
        <w:pStyle w:val="ListDash1"/>
        <w:numPr>
          <w:ilvl w:val="0"/>
          <w:numId w:val="16"/>
        </w:numPr>
        <w:rPr>
          <w:noProof/>
        </w:rPr>
      </w:pPr>
      <w:r w:rsidRPr="00150ABA">
        <w:rPr>
          <w:noProof/>
        </w:rPr>
        <w:sym w:font="Wingdings" w:char="F0FE"/>
      </w:r>
      <w:r w:rsidRPr="00150ABA">
        <w:rPr>
          <w:noProof/>
        </w:rPr>
        <w:tab/>
        <w:t>The proposal/initiative requires the use of appropriations of an administrative nature, as explained below</w:t>
      </w:r>
      <w:r w:rsidR="007C6231" w:rsidRPr="00150ABA">
        <w:rPr>
          <w:rStyle w:val="FootnoteReference"/>
          <w:noProof/>
        </w:rPr>
        <w:footnoteReference w:id="40"/>
      </w:r>
      <w:r w:rsidRPr="00150ABA">
        <w:rPr>
          <w:noProof/>
        </w:rPr>
        <w:t>:</w:t>
      </w:r>
    </w:p>
    <w:p w14:paraId="6CB1F813" w14:textId="77777777" w:rsidR="001F2A4B" w:rsidRPr="00150ABA" w:rsidRDefault="001F2A4B" w:rsidP="00534A42">
      <w:pPr>
        <w:jc w:val="right"/>
        <w:rPr>
          <w:noProof/>
          <w:sz w:val="20"/>
        </w:rPr>
      </w:pPr>
      <w:r w:rsidRPr="00150ABA">
        <w:rPr>
          <w:noProof/>
          <w:sz w:val="20"/>
        </w:rPr>
        <w:t>EUR million (to three decimal places)</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F2A4B" w:rsidRPr="00150ABA" w14:paraId="2EEF94FB" w14:textId="77777777" w:rsidTr="001F2A4B">
        <w:trPr>
          <w:trHeight w:val="585"/>
          <w:jc w:val="center"/>
        </w:trPr>
        <w:tc>
          <w:tcPr>
            <w:tcW w:w="1980" w:type="dxa"/>
          </w:tcPr>
          <w:p w14:paraId="0286D10A" w14:textId="77777777" w:rsidR="001F2A4B" w:rsidRPr="00150ABA" w:rsidRDefault="001F2A4B" w:rsidP="001F2A4B">
            <w:pPr>
              <w:spacing w:before="60" w:after="60"/>
              <w:rPr>
                <w:b/>
                <w:noProof/>
                <w:sz w:val="20"/>
              </w:rPr>
            </w:pPr>
            <w:r w:rsidRPr="00150ABA">
              <w:rPr>
                <w:b/>
                <w:noProof/>
                <w:sz w:val="20"/>
              </w:rPr>
              <w:t>Eurojust</w:t>
            </w:r>
          </w:p>
        </w:tc>
        <w:tc>
          <w:tcPr>
            <w:tcW w:w="1080" w:type="dxa"/>
            <w:vAlign w:val="center"/>
          </w:tcPr>
          <w:p w14:paraId="090E21E9" w14:textId="77777777" w:rsidR="001F2A4B" w:rsidRPr="00150ABA" w:rsidRDefault="001F2A4B" w:rsidP="001F2A4B">
            <w:pPr>
              <w:spacing w:before="60" w:after="60"/>
              <w:jc w:val="center"/>
              <w:rPr>
                <w:noProof/>
                <w:sz w:val="20"/>
              </w:rPr>
            </w:pPr>
            <w:r w:rsidRPr="00150ABA">
              <w:rPr>
                <w:noProof/>
                <w:sz w:val="20"/>
              </w:rPr>
              <w:t>Year</w:t>
            </w:r>
            <w:r w:rsidRPr="00150ABA">
              <w:rPr>
                <w:noProof/>
                <w:sz w:val="22"/>
              </w:rPr>
              <w:br/>
            </w:r>
            <w:r w:rsidRPr="00150ABA">
              <w:rPr>
                <w:b/>
                <w:noProof/>
                <w:sz w:val="20"/>
              </w:rPr>
              <w:t>2024</w:t>
            </w:r>
          </w:p>
        </w:tc>
        <w:tc>
          <w:tcPr>
            <w:tcW w:w="1080" w:type="dxa"/>
            <w:vAlign w:val="center"/>
          </w:tcPr>
          <w:p w14:paraId="7E37A0BD" w14:textId="77777777" w:rsidR="001F2A4B" w:rsidRPr="00150ABA" w:rsidRDefault="001F2A4B" w:rsidP="001F2A4B">
            <w:pPr>
              <w:spacing w:before="60" w:after="60"/>
              <w:jc w:val="center"/>
              <w:rPr>
                <w:noProof/>
                <w:sz w:val="20"/>
              </w:rPr>
            </w:pPr>
            <w:r w:rsidRPr="00150ABA">
              <w:rPr>
                <w:noProof/>
                <w:sz w:val="20"/>
              </w:rPr>
              <w:t>Year</w:t>
            </w:r>
            <w:r w:rsidRPr="00150ABA">
              <w:rPr>
                <w:noProof/>
                <w:sz w:val="22"/>
              </w:rPr>
              <w:br/>
            </w:r>
            <w:r w:rsidRPr="00150ABA">
              <w:rPr>
                <w:b/>
                <w:noProof/>
                <w:sz w:val="20"/>
              </w:rPr>
              <w:t>2025</w:t>
            </w:r>
          </w:p>
        </w:tc>
        <w:tc>
          <w:tcPr>
            <w:tcW w:w="1080" w:type="dxa"/>
            <w:vAlign w:val="center"/>
          </w:tcPr>
          <w:p w14:paraId="371E733B" w14:textId="77777777" w:rsidR="001F2A4B" w:rsidRPr="00150ABA" w:rsidRDefault="001F2A4B" w:rsidP="001F2A4B">
            <w:pPr>
              <w:spacing w:before="60" w:after="60"/>
              <w:jc w:val="center"/>
              <w:rPr>
                <w:noProof/>
                <w:sz w:val="20"/>
              </w:rPr>
            </w:pPr>
            <w:r w:rsidRPr="00150ABA">
              <w:rPr>
                <w:noProof/>
                <w:sz w:val="20"/>
              </w:rPr>
              <w:t>Year</w:t>
            </w:r>
            <w:r w:rsidRPr="00150ABA">
              <w:rPr>
                <w:noProof/>
                <w:sz w:val="22"/>
              </w:rPr>
              <w:br/>
            </w:r>
            <w:r w:rsidRPr="00150ABA">
              <w:rPr>
                <w:b/>
                <w:noProof/>
                <w:sz w:val="20"/>
              </w:rPr>
              <w:t>2026</w:t>
            </w:r>
          </w:p>
        </w:tc>
        <w:tc>
          <w:tcPr>
            <w:tcW w:w="1080" w:type="dxa"/>
            <w:vAlign w:val="center"/>
          </w:tcPr>
          <w:p w14:paraId="26375D73" w14:textId="77777777" w:rsidR="001F2A4B" w:rsidRPr="00150ABA" w:rsidRDefault="001F2A4B" w:rsidP="001F2A4B">
            <w:pPr>
              <w:spacing w:before="60" w:after="60"/>
              <w:jc w:val="center"/>
              <w:rPr>
                <w:noProof/>
                <w:sz w:val="20"/>
              </w:rPr>
            </w:pPr>
            <w:r w:rsidRPr="00150ABA">
              <w:rPr>
                <w:noProof/>
                <w:sz w:val="20"/>
              </w:rPr>
              <w:t>Year</w:t>
            </w:r>
            <w:r w:rsidRPr="00150ABA">
              <w:rPr>
                <w:noProof/>
                <w:sz w:val="22"/>
              </w:rPr>
              <w:br/>
            </w:r>
            <w:r w:rsidRPr="00150ABA">
              <w:rPr>
                <w:b/>
                <w:noProof/>
                <w:sz w:val="20"/>
              </w:rPr>
              <w:t>2027</w:t>
            </w:r>
          </w:p>
        </w:tc>
        <w:tc>
          <w:tcPr>
            <w:tcW w:w="1080" w:type="dxa"/>
            <w:vAlign w:val="center"/>
          </w:tcPr>
          <w:p w14:paraId="3508D567" w14:textId="77777777" w:rsidR="001F2A4B" w:rsidRPr="00150ABA" w:rsidRDefault="001F2A4B" w:rsidP="001F2A4B">
            <w:pPr>
              <w:spacing w:before="60" w:after="60"/>
              <w:jc w:val="center"/>
              <w:rPr>
                <w:b/>
                <w:noProof/>
                <w:sz w:val="20"/>
              </w:rPr>
            </w:pPr>
            <w:r w:rsidRPr="00150ABA">
              <w:rPr>
                <w:b/>
                <w:noProof/>
                <w:sz w:val="18"/>
              </w:rPr>
              <w:t>TOTAL 2024-2027</w:t>
            </w:r>
          </w:p>
        </w:tc>
      </w:tr>
    </w:tbl>
    <w:p w14:paraId="38331C61" w14:textId="77777777" w:rsidR="001F2A4B" w:rsidRPr="00150ABA" w:rsidRDefault="001F2A4B" w:rsidP="001F2A4B">
      <w:pPr>
        <w:rPr>
          <w:noProof/>
          <w:sz w:val="20"/>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F2A4B" w:rsidRPr="00150ABA" w14:paraId="5252794B" w14:textId="77777777" w:rsidTr="001F2A4B">
        <w:trPr>
          <w:trHeight w:val="585"/>
          <w:jc w:val="center"/>
        </w:trPr>
        <w:tc>
          <w:tcPr>
            <w:tcW w:w="1980" w:type="dxa"/>
            <w:shd w:val="clear" w:color="auto" w:fill="D9D9D9" w:themeFill="background1" w:themeFillShade="D9"/>
            <w:vAlign w:val="center"/>
          </w:tcPr>
          <w:p w14:paraId="1BD47BC0" w14:textId="77777777" w:rsidR="001F2A4B" w:rsidRPr="00150ABA" w:rsidRDefault="001F2A4B" w:rsidP="001F2A4B">
            <w:pPr>
              <w:spacing w:before="60" w:after="60"/>
              <w:jc w:val="center"/>
              <w:rPr>
                <w:noProof/>
              </w:rPr>
            </w:pPr>
            <w:r w:rsidRPr="00150ABA">
              <w:rPr>
                <w:noProof/>
                <w:sz w:val="18"/>
              </w:rPr>
              <w:t>Temporary agents (AD Grades)</w:t>
            </w:r>
          </w:p>
        </w:tc>
        <w:tc>
          <w:tcPr>
            <w:tcW w:w="1080" w:type="dxa"/>
            <w:vAlign w:val="center"/>
          </w:tcPr>
          <w:p w14:paraId="419C254E" w14:textId="77777777" w:rsidR="001F2A4B" w:rsidRPr="00150ABA" w:rsidRDefault="001F2A4B" w:rsidP="001F2A4B">
            <w:pPr>
              <w:spacing w:before="60" w:after="60"/>
              <w:jc w:val="right"/>
              <w:rPr>
                <w:noProof/>
                <w:sz w:val="20"/>
              </w:rPr>
            </w:pPr>
          </w:p>
        </w:tc>
        <w:tc>
          <w:tcPr>
            <w:tcW w:w="1080" w:type="dxa"/>
            <w:vAlign w:val="center"/>
          </w:tcPr>
          <w:p w14:paraId="1E4FEFCA" w14:textId="707E80BF" w:rsidR="001F2A4B" w:rsidRPr="00150ABA" w:rsidRDefault="001F2A4B" w:rsidP="0019688C">
            <w:pPr>
              <w:spacing w:before="60" w:after="60"/>
              <w:jc w:val="right"/>
              <w:rPr>
                <w:noProof/>
                <w:sz w:val="20"/>
              </w:rPr>
            </w:pPr>
            <w:r w:rsidRPr="00150ABA">
              <w:rPr>
                <w:noProof/>
                <w:sz w:val="20"/>
              </w:rPr>
              <w:t>0.</w:t>
            </w:r>
            <w:r w:rsidR="0019688C" w:rsidRPr="00150ABA">
              <w:rPr>
                <w:noProof/>
                <w:sz w:val="20"/>
              </w:rPr>
              <w:t>086</w:t>
            </w:r>
          </w:p>
        </w:tc>
        <w:tc>
          <w:tcPr>
            <w:tcW w:w="1080" w:type="dxa"/>
            <w:vAlign w:val="center"/>
          </w:tcPr>
          <w:p w14:paraId="7BAED2AC" w14:textId="3EBEEE86" w:rsidR="001F2A4B" w:rsidRPr="00150ABA" w:rsidRDefault="001F2A4B" w:rsidP="006012BC">
            <w:pPr>
              <w:spacing w:before="60" w:after="60"/>
              <w:jc w:val="right"/>
              <w:rPr>
                <w:noProof/>
                <w:sz w:val="20"/>
              </w:rPr>
            </w:pPr>
            <w:r w:rsidRPr="00150ABA">
              <w:rPr>
                <w:noProof/>
                <w:sz w:val="20"/>
              </w:rPr>
              <w:t>0.</w:t>
            </w:r>
            <w:r w:rsidR="006012BC" w:rsidRPr="00150ABA">
              <w:rPr>
                <w:noProof/>
                <w:sz w:val="20"/>
              </w:rPr>
              <w:t>346</w:t>
            </w:r>
          </w:p>
        </w:tc>
        <w:tc>
          <w:tcPr>
            <w:tcW w:w="1080" w:type="dxa"/>
            <w:vAlign w:val="center"/>
          </w:tcPr>
          <w:p w14:paraId="7CD51CD2" w14:textId="498D3567" w:rsidR="001F2A4B" w:rsidRPr="00150ABA" w:rsidRDefault="001F2A4B" w:rsidP="006012BC">
            <w:pPr>
              <w:spacing w:before="60" w:after="60"/>
              <w:jc w:val="right"/>
              <w:rPr>
                <w:noProof/>
                <w:sz w:val="20"/>
              </w:rPr>
            </w:pPr>
            <w:r w:rsidRPr="00150ABA">
              <w:rPr>
                <w:noProof/>
                <w:sz w:val="20"/>
              </w:rPr>
              <w:t>0.</w:t>
            </w:r>
            <w:r w:rsidR="006012BC" w:rsidRPr="00150ABA">
              <w:rPr>
                <w:noProof/>
                <w:sz w:val="20"/>
              </w:rPr>
              <w:t>519</w:t>
            </w:r>
          </w:p>
        </w:tc>
        <w:tc>
          <w:tcPr>
            <w:tcW w:w="1080" w:type="dxa"/>
            <w:vAlign w:val="center"/>
          </w:tcPr>
          <w:p w14:paraId="16BFACBD" w14:textId="3CD37EDE" w:rsidR="001F2A4B" w:rsidRPr="00150ABA" w:rsidRDefault="006012BC" w:rsidP="006012BC">
            <w:pPr>
              <w:spacing w:before="60" w:after="60"/>
              <w:jc w:val="right"/>
              <w:rPr>
                <w:b/>
                <w:noProof/>
                <w:sz w:val="20"/>
              </w:rPr>
            </w:pPr>
            <w:r w:rsidRPr="00150ABA">
              <w:rPr>
                <w:b/>
                <w:noProof/>
                <w:sz w:val="20"/>
              </w:rPr>
              <w:t>0.951</w:t>
            </w:r>
          </w:p>
        </w:tc>
      </w:tr>
      <w:tr w:rsidR="001F2A4B" w:rsidRPr="00150ABA" w14:paraId="2423F25A" w14:textId="77777777" w:rsidTr="001F2A4B">
        <w:trPr>
          <w:trHeight w:val="585"/>
          <w:jc w:val="center"/>
        </w:trPr>
        <w:tc>
          <w:tcPr>
            <w:tcW w:w="1980" w:type="dxa"/>
            <w:shd w:val="clear" w:color="auto" w:fill="BFBFBF" w:themeFill="background1" w:themeFillShade="BF"/>
            <w:vAlign w:val="center"/>
          </w:tcPr>
          <w:p w14:paraId="410419A6" w14:textId="77777777" w:rsidR="001F2A4B" w:rsidRPr="00150ABA" w:rsidRDefault="001F2A4B" w:rsidP="001F2A4B">
            <w:pPr>
              <w:spacing w:before="60" w:after="60"/>
              <w:ind w:left="72"/>
              <w:rPr>
                <w:noProof/>
              </w:rPr>
            </w:pPr>
            <w:r w:rsidRPr="00150ABA">
              <w:rPr>
                <w:noProof/>
                <w:sz w:val="20"/>
              </w:rPr>
              <w:t>Temporary agents (AST grades)</w:t>
            </w:r>
          </w:p>
        </w:tc>
        <w:tc>
          <w:tcPr>
            <w:tcW w:w="1080" w:type="dxa"/>
            <w:vAlign w:val="center"/>
          </w:tcPr>
          <w:p w14:paraId="5558C241" w14:textId="77777777" w:rsidR="001F2A4B" w:rsidRPr="00150ABA" w:rsidRDefault="001F2A4B" w:rsidP="001F2A4B">
            <w:pPr>
              <w:spacing w:before="60" w:after="60"/>
              <w:jc w:val="right"/>
              <w:rPr>
                <w:noProof/>
                <w:sz w:val="20"/>
              </w:rPr>
            </w:pPr>
          </w:p>
        </w:tc>
        <w:tc>
          <w:tcPr>
            <w:tcW w:w="1080" w:type="dxa"/>
            <w:vAlign w:val="center"/>
          </w:tcPr>
          <w:p w14:paraId="4921265B" w14:textId="77777777" w:rsidR="001F2A4B" w:rsidRPr="00150ABA" w:rsidRDefault="001F2A4B" w:rsidP="001F2A4B">
            <w:pPr>
              <w:spacing w:before="60" w:after="60"/>
              <w:jc w:val="right"/>
              <w:rPr>
                <w:noProof/>
                <w:sz w:val="20"/>
              </w:rPr>
            </w:pPr>
          </w:p>
        </w:tc>
        <w:tc>
          <w:tcPr>
            <w:tcW w:w="1080" w:type="dxa"/>
            <w:vAlign w:val="center"/>
          </w:tcPr>
          <w:p w14:paraId="17C95CBC" w14:textId="77777777" w:rsidR="001F2A4B" w:rsidRPr="00150ABA" w:rsidRDefault="001F2A4B" w:rsidP="001F2A4B">
            <w:pPr>
              <w:spacing w:before="60" w:after="60"/>
              <w:jc w:val="right"/>
              <w:rPr>
                <w:noProof/>
                <w:sz w:val="20"/>
              </w:rPr>
            </w:pPr>
          </w:p>
        </w:tc>
        <w:tc>
          <w:tcPr>
            <w:tcW w:w="1080" w:type="dxa"/>
            <w:vAlign w:val="center"/>
          </w:tcPr>
          <w:p w14:paraId="22F74C73" w14:textId="77777777" w:rsidR="001F2A4B" w:rsidRPr="00150ABA" w:rsidRDefault="001F2A4B" w:rsidP="001F2A4B">
            <w:pPr>
              <w:spacing w:before="60" w:after="60"/>
              <w:jc w:val="right"/>
              <w:rPr>
                <w:noProof/>
                <w:sz w:val="20"/>
              </w:rPr>
            </w:pPr>
          </w:p>
        </w:tc>
        <w:tc>
          <w:tcPr>
            <w:tcW w:w="1080" w:type="dxa"/>
            <w:vAlign w:val="center"/>
          </w:tcPr>
          <w:p w14:paraId="043C9B71" w14:textId="77777777" w:rsidR="001F2A4B" w:rsidRPr="00150ABA" w:rsidRDefault="001F2A4B" w:rsidP="001F2A4B">
            <w:pPr>
              <w:spacing w:before="60" w:after="60"/>
              <w:jc w:val="right"/>
              <w:rPr>
                <w:b/>
                <w:noProof/>
                <w:sz w:val="20"/>
              </w:rPr>
            </w:pPr>
          </w:p>
        </w:tc>
      </w:tr>
      <w:tr w:rsidR="001F2A4B" w:rsidRPr="00150ABA" w14:paraId="049AF482" w14:textId="77777777" w:rsidTr="001F2A4B">
        <w:trPr>
          <w:trHeight w:val="585"/>
          <w:jc w:val="center"/>
        </w:trPr>
        <w:tc>
          <w:tcPr>
            <w:tcW w:w="1980" w:type="dxa"/>
            <w:shd w:val="clear" w:color="auto" w:fill="BFBFBF" w:themeFill="background1" w:themeFillShade="BF"/>
            <w:vAlign w:val="center"/>
          </w:tcPr>
          <w:p w14:paraId="1215384C" w14:textId="77777777" w:rsidR="001F2A4B" w:rsidRPr="00150ABA" w:rsidRDefault="001F2A4B" w:rsidP="001F2A4B">
            <w:pPr>
              <w:spacing w:before="60" w:after="60"/>
              <w:ind w:left="72"/>
              <w:rPr>
                <w:noProof/>
              </w:rPr>
            </w:pPr>
            <w:r w:rsidRPr="00150ABA">
              <w:rPr>
                <w:noProof/>
                <w:sz w:val="20"/>
              </w:rPr>
              <w:t>Contract staff</w:t>
            </w:r>
          </w:p>
        </w:tc>
        <w:tc>
          <w:tcPr>
            <w:tcW w:w="1080" w:type="dxa"/>
            <w:shd w:val="clear" w:color="auto" w:fill="FFFFFF" w:themeFill="background1"/>
            <w:vAlign w:val="center"/>
          </w:tcPr>
          <w:p w14:paraId="531D67AB"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2A1EDD78"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7D230FF8"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452892F5"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409A9034" w14:textId="77777777" w:rsidR="001F2A4B" w:rsidRPr="00150ABA" w:rsidRDefault="001F2A4B" w:rsidP="001F2A4B">
            <w:pPr>
              <w:spacing w:before="60" w:after="60"/>
              <w:jc w:val="right"/>
              <w:rPr>
                <w:b/>
                <w:noProof/>
                <w:sz w:val="20"/>
              </w:rPr>
            </w:pPr>
          </w:p>
        </w:tc>
      </w:tr>
      <w:tr w:rsidR="001F2A4B" w:rsidRPr="00150ABA" w14:paraId="7B7CEEF9" w14:textId="77777777" w:rsidTr="001F2A4B">
        <w:trPr>
          <w:trHeight w:val="585"/>
          <w:jc w:val="center"/>
        </w:trPr>
        <w:tc>
          <w:tcPr>
            <w:tcW w:w="1980" w:type="dxa"/>
            <w:shd w:val="clear" w:color="auto" w:fill="CCCCCC"/>
            <w:vAlign w:val="center"/>
          </w:tcPr>
          <w:p w14:paraId="47A2DBFE" w14:textId="77777777" w:rsidR="001F2A4B" w:rsidRPr="00150ABA" w:rsidRDefault="001F2A4B" w:rsidP="001F2A4B">
            <w:pPr>
              <w:spacing w:before="60" w:after="60"/>
              <w:jc w:val="center"/>
              <w:rPr>
                <w:noProof/>
              </w:rPr>
            </w:pPr>
            <w:r w:rsidRPr="00150ABA">
              <w:rPr>
                <w:noProof/>
                <w:sz w:val="18"/>
              </w:rPr>
              <w:t>Seconded National Experts</w:t>
            </w:r>
          </w:p>
        </w:tc>
        <w:tc>
          <w:tcPr>
            <w:tcW w:w="1080" w:type="dxa"/>
            <w:shd w:val="clear" w:color="auto" w:fill="FFFFFF" w:themeFill="background1"/>
            <w:vAlign w:val="center"/>
          </w:tcPr>
          <w:p w14:paraId="4DDE8507"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6CA22AA4"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244AD243"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65711168"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3DB59E0B" w14:textId="77777777" w:rsidR="001F2A4B" w:rsidRPr="00150ABA" w:rsidRDefault="001F2A4B" w:rsidP="001F2A4B">
            <w:pPr>
              <w:spacing w:before="60" w:after="60"/>
              <w:jc w:val="right"/>
              <w:rPr>
                <w:b/>
                <w:noProof/>
                <w:sz w:val="20"/>
              </w:rPr>
            </w:pPr>
          </w:p>
        </w:tc>
      </w:tr>
    </w:tbl>
    <w:p w14:paraId="02E8C4A4" w14:textId="77777777" w:rsidR="001F2A4B" w:rsidRPr="00150ABA" w:rsidRDefault="001F2A4B" w:rsidP="001F2A4B">
      <w:pPr>
        <w:rPr>
          <w:noProof/>
          <w:sz w:val="20"/>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1F2A4B" w:rsidRPr="00150ABA" w14:paraId="5A17695E" w14:textId="77777777" w:rsidTr="001F2A4B">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36CC768F" w14:textId="77777777" w:rsidR="001F2A4B" w:rsidRPr="00150ABA" w:rsidRDefault="001F2A4B" w:rsidP="001F2A4B">
            <w:pPr>
              <w:spacing w:before="60" w:after="60"/>
              <w:jc w:val="center"/>
              <w:rPr>
                <w:noProof/>
                <w:sz w:val="20"/>
              </w:rPr>
            </w:pPr>
            <w:r w:rsidRPr="00150ABA">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5CED2185" w14:textId="77777777" w:rsidR="001F2A4B" w:rsidRPr="00150ABA" w:rsidRDefault="001F2A4B" w:rsidP="001F2A4B">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102BC66F" w14:textId="5BFA469F" w:rsidR="001F2A4B" w:rsidRPr="00150ABA" w:rsidRDefault="001F2A4B" w:rsidP="0019688C">
            <w:pPr>
              <w:spacing w:before="60" w:after="60"/>
              <w:jc w:val="right"/>
              <w:rPr>
                <w:b/>
                <w:noProof/>
                <w:sz w:val="20"/>
              </w:rPr>
            </w:pPr>
            <w:r w:rsidRPr="00150ABA">
              <w:rPr>
                <w:b/>
                <w:noProof/>
                <w:sz w:val="20"/>
              </w:rPr>
              <w:t>0.</w:t>
            </w:r>
            <w:r w:rsidR="0019688C" w:rsidRPr="00150ABA">
              <w:rPr>
                <w:b/>
                <w:noProof/>
                <w:sz w:val="20"/>
              </w:rPr>
              <w:t>086</w:t>
            </w:r>
          </w:p>
        </w:tc>
        <w:tc>
          <w:tcPr>
            <w:tcW w:w="1080" w:type="dxa"/>
            <w:tcBorders>
              <w:top w:val="single" w:sz="12" w:space="0" w:color="auto"/>
              <w:left w:val="single" w:sz="2" w:space="0" w:color="auto"/>
              <w:bottom w:val="single" w:sz="12" w:space="0" w:color="auto"/>
              <w:right w:val="single" w:sz="2" w:space="0" w:color="auto"/>
            </w:tcBorders>
            <w:vAlign w:val="center"/>
          </w:tcPr>
          <w:p w14:paraId="7A683F00" w14:textId="5BAD2585" w:rsidR="001F2A4B" w:rsidRPr="00150ABA" w:rsidRDefault="006012BC" w:rsidP="0019688C">
            <w:pPr>
              <w:spacing w:before="60" w:after="60"/>
              <w:jc w:val="right"/>
              <w:rPr>
                <w:b/>
                <w:noProof/>
                <w:sz w:val="20"/>
              </w:rPr>
            </w:pPr>
            <w:r w:rsidRPr="00150ABA">
              <w:rPr>
                <w:b/>
                <w:noProof/>
                <w:sz w:val="20"/>
              </w:rPr>
              <w:t>0.346</w:t>
            </w:r>
          </w:p>
        </w:tc>
        <w:tc>
          <w:tcPr>
            <w:tcW w:w="1080" w:type="dxa"/>
            <w:tcBorders>
              <w:top w:val="single" w:sz="12" w:space="0" w:color="auto"/>
              <w:left w:val="single" w:sz="2" w:space="0" w:color="auto"/>
              <w:bottom w:val="single" w:sz="12" w:space="0" w:color="auto"/>
              <w:right w:val="single" w:sz="2" w:space="0" w:color="auto"/>
            </w:tcBorders>
            <w:vAlign w:val="center"/>
          </w:tcPr>
          <w:p w14:paraId="0C45E96D" w14:textId="497D0A67" w:rsidR="001F2A4B" w:rsidRPr="00150ABA" w:rsidRDefault="006012BC" w:rsidP="001F2A4B">
            <w:pPr>
              <w:spacing w:before="60" w:after="60"/>
              <w:jc w:val="right"/>
              <w:rPr>
                <w:b/>
                <w:noProof/>
                <w:sz w:val="20"/>
              </w:rPr>
            </w:pPr>
            <w:r w:rsidRPr="00150ABA">
              <w:rPr>
                <w:b/>
                <w:noProof/>
                <w:sz w:val="20"/>
              </w:rPr>
              <w:t>0.519</w:t>
            </w:r>
          </w:p>
        </w:tc>
        <w:tc>
          <w:tcPr>
            <w:tcW w:w="1080" w:type="dxa"/>
            <w:tcBorders>
              <w:top w:val="single" w:sz="12" w:space="0" w:color="auto"/>
              <w:left w:val="single" w:sz="2" w:space="0" w:color="auto"/>
              <w:bottom w:val="single" w:sz="12" w:space="0" w:color="auto"/>
              <w:right w:val="single" w:sz="12" w:space="0" w:color="auto"/>
            </w:tcBorders>
            <w:vAlign w:val="center"/>
          </w:tcPr>
          <w:p w14:paraId="7118A8FA" w14:textId="55BAD9A7" w:rsidR="001F2A4B" w:rsidRPr="00150ABA" w:rsidRDefault="006012BC" w:rsidP="001F2A4B">
            <w:pPr>
              <w:spacing w:before="60" w:after="60"/>
              <w:jc w:val="right"/>
              <w:rPr>
                <w:b/>
                <w:noProof/>
                <w:sz w:val="20"/>
              </w:rPr>
            </w:pPr>
            <w:r w:rsidRPr="00150ABA">
              <w:rPr>
                <w:b/>
                <w:noProof/>
                <w:sz w:val="20"/>
              </w:rPr>
              <w:t>0.951</w:t>
            </w:r>
          </w:p>
        </w:tc>
      </w:tr>
    </w:tbl>
    <w:p w14:paraId="4F322060" w14:textId="77777777" w:rsidR="001F2A4B" w:rsidRPr="00150ABA" w:rsidRDefault="001F2A4B" w:rsidP="001F2A4B">
      <w:pPr>
        <w:rPr>
          <w:noProof/>
          <w:u w:val="single"/>
        </w:rPr>
      </w:pPr>
    </w:p>
    <w:p w14:paraId="5110EBEC" w14:textId="74983D46" w:rsidR="001F2A4B" w:rsidRPr="00534A42" w:rsidRDefault="001F2A4B" w:rsidP="001F2A4B">
      <w:pPr>
        <w:rPr>
          <w:noProof/>
          <w:szCs w:val="24"/>
        </w:rPr>
      </w:pPr>
      <w:r w:rsidRPr="00534A42">
        <w:rPr>
          <w:noProof/>
          <w:szCs w:val="24"/>
        </w:rPr>
        <w:t>Staff requirements</w:t>
      </w:r>
      <w:r w:rsidR="007C6231" w:rsidRPr="00534A42">
        <w:rPr>
          <w:rStyle w:val="FootnoteReference"/>
          <w:noProof/>
          <w:szCs w:val="24"/>
        </w:rPr>
        <w:footnoteReference w:id="41"/>
      </w:r>
      <w:r w:rsidR="007C6231" w:rsidRPr="00534A42">
        <w:rPr>
          <w:noProof/>
          <w:szCs w:val="24"/>
        </w:rPr>
        <w:t xml:space="preserve"> </w:t>
      </w:r>
      <w:r w:rsidRPr="00534A42">
        <w:rPr>
          <w:noProof/>
          <w:szCs w:val="24"/>
        </w:rPr>
        <w:t>(FTE):</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F2A4B" w:rsidRPr="00150ABA" w14:paraId="645FC0AD" w14:textId="77777777" w:rsidTr="001F2A4B">
        <w:trPr>
          <w:trHeight w:val="585"/>
          <w:jc w:val="center"/>
        </w:trPr>
        <w:tc>
          <w:tcPr>
            <w:tcW w:w="1980" w:type="dxa"/>
          </w:tcPr>
          <w:p w14:paraId="1137AFE7" w14:textId="77777777" w:rsidR="001F2A4B" w:rsidRPr="00150ABA" w:rsidRDefault="001F2A4B" w:rsidP="001F2A4B">
            <w:pPr>
              <w:spacing w:before="60" w:after="60"/>
              <w:rPr>
                <w:noProof/>
                <w:sz w:val="20"/>
              </w:rPr>
            </w:pPr>
            <w:r w:rsidRPr="00150ABA">
              <w:rPr>
                <w:b/>
                <w:noProof/>
                <w:sz w:val="20"/>
              </w:rPr>
              <w:t>Eurojust</w:t>
            </w:r>
          </w:p>
        </w:tc>
        <w:tc>
          <w:tcPr>
            <w:tcW w:w="1080" w:type="dxa"/>
            <w:vAlign w:val="center"/>
          </w:tcPr>
          <w:p w14:paraId="2063EB5D" w14:textId="77777777" w:rsidR="001F2A4B" w:rsidRPr="00150ABA" w:rsidRDefault="001F2A4B" w:rsidP="001F2A4B">
            <w:pPr>
              <w:spacing w:before="60" w:after="60"/>
              <w:jc w:val="center"/>
              <w:rPr>
                <w:noProof/>
                <w:sz w:val="20"/>
              </w:rPr>
            </w:pPr>
            <w:r w:rsidRPr="00150ABA">
              <w:rPr>
                <w:noProof/>
                <w:sz w:val="20"/>
              </w:rPr>
              <w:t>Year</w:t>
            </w:r>
            <w:r w:rsidRPr="00150ABA">
              <w:rPr>
                <w:noProof/>
                <w:sz w:val="22"/>
              </w:rPr>
              <w:br/>
            </w:r>
            <w:r w:rsidRPr="00150ABA">
              <w:rPr>
                <w:b/>
                <w:noProof/>
                <w:sz w:val="20"/>
              </w:rPr>
              <w:t>2024</w:t>
            </w:r>
          </w:p>
        </w:tc>
        <w:tc>
          <w:tcPr>
            <w:tcW w:w="1080" w:type="dxa"/>
            <w:vAlign w:val="center"/>
          </w:tcPr>
          <w:p w14:paraId="34491C56" w14:textId="77777777" w:rsidR="001F2A4B" w:rsidRPr="00150ABA" w:rsidRDefault="001F2A4B" w:rsidP="001F2A4B">
            <w:pPr>
              <w:spacing w:before="60" w:after="60"/>
              <w:jc w:val="center"/>
              <w:rPr>
                <w:noProof/>
                <w:sz w:val="20"/>
              </w:rPr>
            </w:pPr>
            <w:r w:rsidRPr="00150ABA">
              <w:rPr>
                <w:noProof/>
                <w:sz w:val="20"/>
              </w:rPr>
              <w:t>Year</w:t>
            </w:r>
            <w:r w:rsidRPr="00150ABA">
              <w:rPr>
                <w:noProof/>
                <w:sz w:val="22"/>
              </w:rPr>
              <w:br/>
            </w:r>
            <w:r w:rsidRPr="00150ABA">
              <w:rPr>
                <w:b/>
                <w:noProof/>
                <w:sz w:val="20"/>
              </w:rPr>
              <w:t>2025</w:t>
            </w:r>
          </w:p>
        </w:tc>
        <w:tc>
          <w:tcPr>
            <w:tcW w:w="1080" w:type="dxa"/>
            <w:vAlign w:val="center"/>
          </w:tcPr>
          <w:p w14:paraId="73D0E901" w14:textId="77777777" w:rsidR="001F2A4B" w:rsidRPr="00150ABA" w:rsidRDefault="001F2A4B" w:rsidP="001F2A4B">
            <w:pPr>
              <w:spacing w:before="60" w:after="60"/>
              <w:jc w:val="center"/>
              <w:rPr>
                <w:noProof/>
                <w:sz w:val="20"/>
              </w:rPr>
            </w:pPr>
            <w:r w:rsidRPr="00150ABA">
              <w:rPr>
                <w:noProof/>
                <w:sz w:val="20"/>
              </w:rPr>
              <w:t>Year</w:t>
            </w:r>
            <w:r w:rsidRPr="00150ABA">
              <w:rPr>
                <w:noProof/>
                <w:sz w:val="22"/>
              </w:rPr>
              <w:br/>
            </w:r>
            <w:r w:rsidRPr="00150ABA">
              <w:rPr>
                <w:b/>
                <w:noProof/>
                <w:sz w:val="20"/>
              </w:rPr>
              <w:t>2026</w:t>
            </w:r>
          </w:p>
        </w:tc>
        <w:tc>
          <w:tcPr>
            <w:tcW w:w="1080" w:type="dxa"/>
            <w:vAlign w:val="center"/>
          </w:tcPr>
          <w:p w14:paraId="3087BC6E" w14:textId="77777777" w:rsidR="001F2A4B" w:rsidRPr="00150ABA" w:rsidRDefault="001F2A4B" w:rsidP="001F2A4B">
            <w:pPr>
              <w:spacing w:before="60" w:after="60"/>
              <w:jc w:val="center"/>
              <w:rPr>
                <w:noProof/>
                <w:sz w:val="20"/>
              </w:rPr>
            </w:pPr>
            <w:r w:rsidRPr="00150ABA">
              <w:rPr>
                <w:noProof/>
                <w:sz w:val="20"/>
              </w:rPr>
              <w:t>Year</w:t>
            </w:r>
            <w:r w:rsidRPr="00150ABA">
              <w:rPr>
                <w:noProof/>
                <w:sz w:val="22"/>
              </w:rPr>
              <w:br/>
            </w:r>
            <w:r w:rsidRPr="00150ABA">
              <w:rPr>
                <w:b/>
                <w:noProof/>
                <w:sz w:val="20"/>
              </w:rPr>
              <w:t>2027</w:t>
            </w:r>
          </w:p>
        </w:tc>
        <w:tc>
          <w:tcPr>
            <w:tcW w:w="1080" w:type="dxa"/>
            <w:vAlign w:val="center"/>
          </w:tcPr>
          <w:p w14:paraId="6254A58B" w14:textId="77777777" w:rsidR="001F2A4B" w:rsidRPr="00150ABA" w:rsidRDefault="001F2A4B" w:rsidP="001F2A4B">
            <w:pPr>
              <w:spacing w:before="60" w:after="60"/>
              <w:jc w:val="center"/>
              <w:rPr>
                <w:b/>
                <w:noProof/>
                <w:sz w:val="20"/>
              </w:rPr>
            </w:pPr>
            <w:r w:rsidRPr="00150ABA">
              <w:rPr>
                <w:b/>
                <w:noProof/>
                <w:sz w:val="18"/>
              </w:rPr>
              <w:t>TOTAL 2024-2027</w:t>
            </w:r>
          </w:p>
        </w:tc>
      </w:tr>
    </w:tbl>
    <w:p w14:paraId="486F9E5D" w14:textId="77777777" w:rsidR="001F2A4B" w:rsidRPr="00150ABA" w:rsidRDefault="001F2A4B" w:rsidP="001F2A4B">
      <w:pPr>
        <w:rPr>
          <w:noProof/>
          <w:sz w:val="20"/>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F2A4B" w:rsidRPr="00150ABA" w14:paraId="6BA3B4C8" w14:textId="77777777" w:rsidTr="001F2A4B">
        <w:trPr>
          <w:trHeight w:val="585"/>
          <w:jc w:val="center"/>
        </w:trPr>
        <w:tc>
          <w:tcPr>
            <w:tcW w:w="1980" w:type="dxa"/>
            <w:shd w:val="clear" w:color="auto" w:fill="D9D9D9" w:themeFill="background1" w:themeFillShade="D9"/>
            <w:vAlign w:val="center"/>
          </w:tcPr>
          <w:p w14:paraId="7D1B36BD" w14:textId="77777777" w:rsidR="001F2A4B" w:rsidRPr="00150ABA" w:rsidRDefault="001F2A4B" w:rsidP="001F2A4B">
            <w:pPr>
              <w:spacing w:before="60" w:after="60"/>
              <w:jc w:val="center"/>
              <w:rPr>
                <w:noProof/>
              </w:rPr>
            </w:pPr>
            <w:r w:rsidRPr="00150ABA">
              <w:rPr>
                <w:noProof/>
                <w:sz w:val="18"/>
              </w:rPr>
              <w:t>Temporary agents (AD Grades)</w:t>
            </w:r>
          </w:p>
        </w:tc>
        <w:tc>
          <w:tcPr>
            <w:tcW w:w="1080" w:type="dxa"/>
            <w:vAlign w:val="center"/>
          </w:tcPr>
          <w:p w14:paraId="180FF283" w14:textId="77777777" w:rsidR="001F2A4B" w:rsidRPr="00150ABA" w:rsidRDefault="001F2A4B" w:rsidP="001F2A4B">
            <w:pPr>
              <w:spacing w:before="60" w:after="60"/>
              <w:jc w:val="right"/>
              <w:rPr>
                <w:noProof/>
                <w:sz w:val="20"/>
              </w:rPr>
            </w:pPr>
          </w:p>
        </w:tc>
        <w:tc>
          <w:tcPr>
            <w:tcW w:w="1080" w:type="dxa"/>
            <w:vAlign w:val="center"/>
          </w:tcPr>
          <w:p w14:paraId="36D75D30" w14:textId="77777777" w:rsidR="001F2A4B" w:rsidRPr="00150ABA" w:rsidRDefault="001F2A4B" w:rsidP="001F2A4B">
            <w:pPr>
              <w:spacing w:before="60" w:after="60"/>
              <w:jc w:val="right"/>
              <w:rPr>
                <w:noProof/>
                <w:sz w:val="20"/>
              </w:rPr>
            </w:pPr>
            <w:r w:rsidRPr="00150ABA">
              <w:rPr>
                <w:noProof/>
                <w:sz w:val="20"/>
              </w:rPr>
              <w:t>1</w:t>
            </w:r>
          </w:p>
        </w:tc>
        <w:tc>
          <w:tcPr>
            <w:tcW w:w="1080" w:type="dxa"/>
            <w:vAlign w:val="center"/>
          </w:tcPr>
          <w:p w14:paraId="7F1ECCDB" w14:textId="77777777" w:rsidR="001F2A4B" w:rsidRPr="00150ABA" w:rsidRDefault="001F2A4B" w:rsidP="001F2A4B">
            <w:pPr>
              <w:spacing w:before="60" w:after="60"/>
              <w:jc w:val="right"/>
              <w:rPr>
                <w:noProof/>
                <w:sz w:val="20"/>
              </w:rPr>
            </w:pPr>
            <w:r w:rsidRPr="00150ABA">
              <w:rPr>
                <w:noProof/>
                <w:sz w:val="20"/>
              </w:rPr>
              <w:t>3</w:t>
            </w:r>
          </w:p>
        </w:tc>
        <w:tc>
          <w:tcPr>
            <w:tcW w:w="1080" w:type="dxa"/>
            <w:vAlign w:val="center"/>
          </w:tcPr>
          <w:p w14:paraId="5BA5E644" w14:textId="77777777" w:rsidR="001F2A4B" w:rsidRPr="00150ABA" w:rsidRDefault="001F2A4B" w:rsidP="001F2A4B">
            <w:pPr>
              <w:spacing w:before="60" w:after="60"/>
              <w:jc w:val="right"/>
              <w:rPr>
                <w:noProof/>
                <w:sz w:val="20"/>
              </w:rPr>
            </w:pPr>
            <w:r w:rsidRPr="00150ABA">
              <w:rPr>
                <w:noProof/>
                <w:sz w:val="20"/>
              </w:rPr>
              <w:t>3</w:t>
            </w:r>
          </w:p>
        </w:tc>
        <w:tc>
          <w:tcPr>
            <w:tcW w:w="1080" w:type="dxa"/>
            <w:vAlign w:val="center"/>
          </w:tcPr>
          <w:p w14:paraId="067FB086" w14:textId="17FB14C9" w:rsidR="001F2A4B" w:rsidRPr="00150ABA" w:rsidRDefault="00E274F4" w:rsidP="001F2A4B">
            <w:pPr>
              <w:spacing w:before="60" w:after="60"/>
              <w:jc w:val="right"/>
              <w:rPr>
                <w:b/>
                <w:noProof/>
                <w:sz w:val="20"/>
              </w:rPr>
            </w:pPr>
            <w:r w:rsidRPr="00150ABA">
              <w:rPr>
                <w:b/>
                <w:noProof/>
                <w:sz w:val="20"/>
              </w:rPr>
              <w:t>3</w:t>
            </w:r>
          </w:p>
        </w:tc>
      </w:tr>
      <w:tr w:rsidR="001F2A4B" w:rsidRPr="00150ABA" w14:paraId="1E276E39" w14:textId="77777777" w:rsidTr="001F2A4B">
        <w:trPr>
          <w:trHeight w:val="585"/>
          <w:jc w:val="center"/>
        </w:trPr>
        <w:tc>
          <w:tcPr>
            <w:tcW w:w="1980" w:type="dxa"/>
            <w:shd w:val="clear" w:color="auto" w:fill="BFBFBF" w:themeFill="background1" w:themeFillShade="BF"/>
            <w:vAlign w:val="center"/>
          </w:tcPr>
          <w:p w14:paraId="025B4E07" w14:textId="77777777" w:rsidR="001F2A4B" w:rsidRPr="00150ABA" w:rsidRDefault="001F2A4B" w:rsidP="001F2A4B">
            <w:pPr>
              <w:spacing w:before="60" w:after="60"/>
              <w:ind w:left="72"/>
              <w:rPr>
                <w:noProof/>
              </w:rPr>
            </w:pPr>
            <w:r w:rsidRPr="00150ABA">
              <w:rPr>
                <w:noProof/>
                <w:sz w:val="20"/>
              </w:rPr>
              <w:t>Temporary agents (AST grades)</w:t>
            </w:r>
          </w:p>
        </w:tc>
        <w:tc>
          <w:tcPr>
            <w:tcW w:w="1080" w:type="dxa"/>
            <w:vAlign w:val="center"/>
          </w:tcPr>
          <w:p w14:paraId="03CD0F47" w14:textId="77777777" w:rsidR="001F2A4B" w:rsidRPr="00150ABA" w:rsidRDefault="001F2A4B" w:rsidP="001F2A4B">
            <w:pPr>
              <w:spacing w:before="60" w:after="60"/>
              <w:jc w:val="right"/>
              <w:rPr>
                <w:noProof/>
                <w:sz w:val="20"/>
              </w:rPr>
            </w:pPr>
          </w:p>
        </w:tc>
        <w:tc>
          <w:tcPr>
            <w:tcW w:w="1080" w:type="dxa"/>
            <w:vAlign w:val="center"/>
          </w:tcPr>
          <w:p w14:paraId="6CCFDB21" w14:textId="77777777" w:rsidR="001F2A4B" w:rsidRPr="00150ABA" w:rsidRDefault="001F2A4B" w:rsidP="001F2A4B">
            <w:pPr>
              <w:spacing w:before="60" w:after="60"/>
              <w:jc w:val="right"/>
              <w:rPr>
                <w:noProof/>
                <w:sz w:val="20"/>
              </w:rPr>
            </w:pPr>
          </w:p>
        </w:tc>
        <w:tc>
          <w:tcPr>
            <w:tcW w:w="1080" w:type="dxa"/>
            <w:vAlign w:val="center"/>
          </w:tcPr>
          <w:p w14:paraId="7D1664A1" w14:textId="77777777" w:rsidR="001F2A4B" w:rsidRPr="00150ABA" w:rsidRDefault="001F2A4B" w:rsidP="001F2A4B">
            <w:pPr>
              <w:spacing w:before="60" w:after="60"/>
              <w:jc w:val="right"/>
              <w:rPr>
                <w:noProof/>
                <w:sz w:val="20"/>
              </w:rPr>
            </w:pPr>
          </w:p>
        </w:tc>
        <w:tc>
          <w:tcPr>
            <w:tcW w:w="1080" w:type="dxa"/>
            <w:vAlign w:val="center"/>
          </w:tcPr>
          <w:p w14:paraId="5F1F7BE2" w14:textId="77777777" w:rsidR="001F2A4B" w:rsidRPr="00150ABA" w:rsidRDefault="001F2A4B" w:rsidP="001F2A4B">
            <w:pPr>
              <w:spacing w:before="60" w:after="60"/>
              <w:jc w:val="right"/>
              <w:rPr>
                <w:noProof/>
                <w:sz w:val="20"/>
              </w:rPr>
            </w:pPr>
          </w:p>
        </w:tc>
        <w:tc>
          <w:tcPr>
            <w:tcW w:w="1080" w:type="dxa"/>
            <w:vAlign w:val="center"/>
          </w:tcPr>
          <w:p w14:paraId="55E06FA2" w14:textId="77777777" w:rsidR="001F2A4B" w:rsidRPr="00150ABA" w:rsidRDefault="001F2A4B" w:rsidP="001F2A4B">
            <w:pPr>
              <w:spacing w:before="60" w:after="60"/>
              <w:jc w:val="right"/>
              <w:rPr>
                <w:b/>
                <w:noProof/>
                <w:sz w:val="20"/>
              </w:rPr>
            </w:pPr>
          </w:p>
        </w:tc>
      </w:tr>
      <w:tr w:rsidR="001F2A4B" w:rsidRPr="00150ABA" w14:paraId="3B7AB4A2" w14:textId="77777777" w:rsidTr="001F2A4B">
        <w:trPr>
          <w:trHeight w:val="585"/>
          <w:jc w:val="center"/>
        </w:trPr>
        <w:tc>
          <w:tcPr>
            <w:tcW w:w="1980" w:type="dxa"/>
            <w:shd w:val="clear" w:color="auto" w:fill="BFBFBF" w:themeFill="background1" w:themeFillShade="BF"/>
            <w:vAlign w:val="center"/>
          </w:tcPr>
          <w:p w14:paraId="69BC4869" w14:textId="77777777" w:rsidR="001F2A4B" w:rsidRPr="00150ABA" w:rsidRDefault="001F2A4B" w:rsidP="001F2A4B">
            <w:pPr>
              <w:spacing w:before="60" w:after="60"/>
              <w:ind w:left="72"/>
              <w:rPr>
                <w:noProof/>
              </w:rPr>
            </w:pPr>
            <w:r w:rsidRPr="00150ABA">
              <w:rPr>
                <w:noProof/>
                <w:sz w:val="20"/>
              </w:rPr>
              <w:t>Contract staff</w:t>
            </w:r>
          </w:p>
        </w:tc>
        <w:tc>
          <w:tcPr>
            <w:tcW w:w="1080" w:type="dxa"/>
            <w:shd w:val="clear" w:color="auto" w:fill="FFFFFF" w:themeFill="background1"/>
            <w:vAlign w:val="center"/>
          </w:tcPr>
          <w:p w14:paraId="7732DDD3"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7574E741"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20D88F58"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2EFFD7A5"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2800A305" w14:textId="77777777" w:rsidR="001F2A4B" w:rsidRPr="00150ABA" w:rsidRDefault="001F2A4B" w:rsidP="001F2A4B">
            <w:pPr>
              <w:spacing w:before="60" w:after="60"/>
              <w:jc w:val="right"/>
              <w:rPr>
                <w:b/>
                <w:noProof/>
                <w:sz w:val="20"/>
              </w:rPr>
            </w:pPr>
          </w:p>
        </w:tc>
      </w:tr>
      <w:tr w:rsidR="001F2A4B" w:rsidRPr="00150ABA" w14:paraId="17AE2D19" w14:textId="77777777" w:rsidTr="001F2A4B">
        <w:trPr>
          <w:trHeight w:val="585"/>
          <w:jc w:val="center"/>
        </w:trPr>
        <w:tc>
          <w:tcPr>
            <w:tcW w:w="1980" w:type="dxa"/>
            <w:shd w:val="clear" w:color="auto" w:fill="CCCCCC"/>
            <w:vAlign w:val="center"/>
          </w:tcPr>
          <w:p w14:paraId="6D707F12" w14:textId="77777777" w:rsidR="001F2A4B" w:rsidRPr="00150ABA" w:rsidRDefault="001F2A4B" w:rsidP="001F2A4B">
            <w:pPr>
              <w:spacing w:before="60" w:after="60"/>
              <w:jc w:val="center"/>
              <w:rPr>
                <w:noProof/>
              </w:rPr>
            </w:pPr>
            <w:r w:rsidRPr="00150ABA">
              <w:rPr>
                <w:noProof/>
                <w:sz w:val="18"/>
              </w:rPr>
              <w:t>Seconded National Experts</w:t>
            </w:r>
          </w:p>
        </w:tc>
        <w:tc>
          <w:tcPr>
            <w:tcW w:w="1080" w:type="dxa"/>
            <w:vAlign w:val="center"/>
          </w:tcPr>
          <w:p w14:paraId="0FC7B5AD" w14:textId="77777777" w:rsidR="001F2A4B" w:rsidRPr="00150ABA" w:rsidRDefault="001F2A4B" w:rsidP="001F2A4B">
            <w:pPr>
              <w:spacing w:before="60" w:after="60"/>
              <w:jc w:val="right"/>
              <w:rPr>
                <w:noProof/>
                <w:sz w:val="20"/>
              </w:rPr>
            </w:pPr>
          </w:p>
        </w:tc>
        <w:tc>
          <w:tcPr>
            <w:tcW w:w="1080" w:type="dxa"/>
            <w:vAlign w:val="center"/>
          </w:tcPr>
          <w:p w14:paraId="7B91631E" w14:textId="77777777" w:rsidR="001F2A4B" w:rsidRPr="00150ABA" w:rsidRDefault="001F2A4B" w:rsidP="001F2A4B">
            <w:pPr>
              <w:spacing w:before="60" w:after="60"/>
              <w:jc w:val="right"/>
              <w:rPr>
                <w:noProof/>
                <w:sz w:val="20"/>
              </w:rPr>
            </w:pPr>
          </w:p>
        </w:tc>
        <w:tc>
          <w:tcPr>
            <w:tcW w:w="1080" w:type="dxa"/>
            <w:vAlign w:val="center"/>
          </w:tcPr>
          <w:p w14:paraId="13947BB9" w14:textId="77777777" w:rsidR="001F2A4B" w:rsidRPr="00150ABA" w:rsidRDefault="001F2A4B" w:rsidP="001F2A4B">
            <w:pPr>
              <w:spacing w:before="60" w:after="60"/>
              <w:jc w:val="right"/>
              <w:rPr>
                <w:noProof/>
                <w:sz w:val="20"/>
              </w:rPr>
            </w:pPr>
          </w:p>
        </w:tc>
        <w:tc>
          <w:tcPr>
            <w:tcW w:w="1080" w:type="dxa"/>
            <w:vAlign w:val="center"/>
          </w:tcPr>
          <w:p w14:paraId="425B2B91" w14:textId="77777777" w:rsidR="001F2A4B" w:rsidRPr="00150ABA" w:rsidRDefault="001F2A4B" w:rsidP="001F2A4B">
            <w:pPr>
              <w:spacing w:before="60" w:after="60"/>
              <w:jc w:val="right"/>
              <w:rPr>
                <w:noProof/>
                <w:sz w:val="20"/>
              </w:rPr>
            </w:pPr>
          </w:p>
        </w:tc>
        <w:tc>
          <w:tcPr>
            <w:tcW w:w="1080" w:type="dxa"/>
            <w:vAlign w:val="center"/>
          </w:tcPr>
          <w:p w14:paraId="3EA33ED4" w14:textId="77777777" w:rsidR="001F2A4B" w:rsidRPr="00150ABA" w:rsidRDefault="001F2A4B" w:rsidP="001F2A4B">
            <w:pPr>
              <w:spacing w:before="60" w:after="60"/>
              <w:jc w:val="right"/>
              <w:rPr>
                <w:b/>
                <w:noProof/>
                <w:sz w:val="20"/>
              </w:rPr>
            </w:pPr>
          </w:p>
        </w:tc>
      </w:tr>
    </w:tbl>
    <w:p w14:paraId="1004E902" w14:textId="77777777" w:rsidR="001F2A4B" w:rsidRPr="00150ABA" w:rsidRDefault="001F2A4B" w:rsidP="001F2A4B">
      <w:pPr>
        <w:rPr>
          <w:noProof/>
          <w:sz w:val="20"/>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1F2A4B" w:rsidRPr="00150ABA" w14:paraId="0EB957CA" w14:textId="77777777" w:rsidTr="001F2A4B">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276BABCC" w14:textId="77777777" w:rsidR="001F2A4B" w:rsidRPr="00150ABA" w:rsidRDefault="001F2A4B" w:rsidP="001F2A4B">
            <w:pPr>
              <w:spacing w:before="60" w:after="60"/>
              <w:jc w:val="center"/>
              <w:rPr>
                <w:noProof/>
                <w:sz w:val="20"/>
              </w:rPr>
            </w:pPr>
            <w:r w:rsidRPr="00150ABA">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68AA822E" w14:textId="77777777" w:rsidR="001F2A4B" w:rsidRPr="00150ABA" w:rsidRDefault="001F2A4B" w:rsidP="001F2A4B">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70510D14" w14:textId="77777777" w:rsidR="001F2A4B" w:rsidRPr="00150ABA" w:rsidRDefault="001F2A4B" w:rsidP="001F2A4B">
            <w:pPr>
              <w:spacing w:before="60" w:after="60"/>
              <w:jc w:val="right"/>
              <w:rPr>
                <w:b/>
                <w:noProof/>
                <w:sz w:val="20"/>
              </w:rPr>
            </w:pPr>
            <w:r w:rsidRPr="00150ABA">
              <w:rPr>
                <w:b/>
                <w:noProof/>
                <w:sz w:val="20"/>
              </w:rPr>
              <w:t>1</w:t>
            </w:r>
          </w:p>
        </w:tc>
        <w:tc>
          <w:tcPr>
            <w:tcW w:w="1080" w:type="dxa"/>
            <w:tcBorders>
              <w:top w:val="single" w:sz="12" w:space="0" w:color="auto"/>
              <w:left w:val="single" w:sz="2" w:space="0" w:color="auto"/>
              <w:bottom w:val="single" w:sz="12" w:space="0" w:color="auto"/>
              <w:right w:val="single" w:sz="2" w:space="0" w:color="auto"/>
            </w:tcBorders>
            <w:vAlign w:val="center"/>
          </w:tcPr>
          <w:p w14:paraId="706FA775" w14:textId="77777777" w:rsidR="001F2A4B" w:rsidRPr="00150ABA" w:rsidRDefault="001F2A4B" w:rsidP="001F2A4B">
            <w:pPr>
              <w:spacing w:before="60" w:after="60"/>
              <w:jc w:val="right"/>
              <w:rPr>
                <w:b/>
                <w:noProof/>
                <w:sz w:val="20"/>
              </w:rPr>
            </w:pPr>
            <w:r w:rsidRPr="00150ABA">
              <w:rPr>
                <w:b/>
                <w:noProof/>
                <w:sz w:val="20"/>
              </w:rPr>
              <w:t>3</w:t>
            </w:r>
          </w:p>
        </w:tc>
        <w:tc>
          <w:tcPr>
            <w:tcW w:w="1080" w:type="dxa"/>
            <w:tcBorders>
              <w:top w:val="single" w:sz="12" w:space="0" w:color="auto"/>
              <w:left w:val="single" w:sz="2" w:space="0" w:color="auto"/>
              <w:bottom w:val="single" w:sz="12" w:space="0" w:color="auto"/>
              <w:right w:val="single" w:sz="2" w:space="0" w:color="auto"/>
            </w:tcBorders>
            <w:vAlign w:val="center"/>
          </w:tcPr>
          <w:p w14:paraId="067822A0" w14:textId="77777777" w:rsidR="001F2A4B" w:rsidRPr="00150ABA" w:rsidRDefault="001F2A4B" w:rsidP="001F2A4B">
            <w:pPr>
              <w:spacing w:before="60" w:after="60"/>
              <w:jc w:val="right"/>
              <w:rPr>
                <w:b/>
                <w:noProof/>
                <w:sz w:val="20"/>
              </w:rPr>
            </w:pPr>
            <w:r w:rsidRPr="00150ABA">
              <w:rPr>
                <w:b/>
                <w:noProof/>
                <w:sz w:val="20"/>
              </w:rPr>
              <w:t>3</w:t>
            </w:r>
          </w:p>
        </w:tc>
        <w:tc>
          <w:tcPr>
            <w:tcW w:w="1080" w:type="dxa"/>
            <w:tcBorders>
              <w:top w:val="single" w:sz="12" w:space="0" w:color="auto"/>
              <w:left w:val="single" w:sz="2" w:space="0" w:color="auto"/>
              <w:bottom w:val="single" w:sz="12" w:space="0" w:color="auto"/>
              <w:right w:val="single" w:sz="12" w:space="0" w:color="auto"/>
            </w:tcBorders>
            <w:vAlign w:val="center"/>
          </w:tcPr>
          <w:p w14:paraId="49D515FD" w14:textId="6126D247" w:rsidR="001F2A4B" w:rsidRPr="00150ABA" w:rsidRDefault="00E274F4" w:rsidP="001F2A4B">
            <w:pPr>
              <w:spacing w:before="60" w:after="60"/>
              <w:jc w:val="right"/>
              <w:rPr>
                <w:b/>
                <w:noProof/>
                <w:sz w:val="20"/>
              </w:rPr>
            </w:pPr>
            <w:r w:rsidRPr="00150ABA">
              <w:rPr>
                <w:b/>
                <w:noProof/>
                <w:sz w:val="20"/>
              </w:rPr>
              <w:t>3</w:t>
            </w:r>
          </w:p>
        </w:tc>
      </w:tr>
    </w:tbl>
    <w:p w14:paraId="7769A1CB" w14:textId="77777777" w:rsidR="001F2A4B" w:rsidRPr="00150ABA" w:rsidRDefault="001F2A4B" w:rsidP="001F2A4B">
      <w:pPr>
        <w:rPr>
          <w:noProof/>
          <w:u w:val="single"/>
        </w:rPr>
      </w:pPr>
    </w:p>
    <w:p w14:paraId="2A70D88A" w14:textId="77777777" w:rsidR="001F2A4B" w:rsidRPr="00150ABA" w:rsidRDefault="001F2A4B" w:rsidP="001F2A4B">
      <w:pPr>
        <w:rPr>
          <w:noProof/>
          <w:szCs w:val="24"/>
          <w:u w:val="single"/>
        </w:rPr>
      </w:pPr>
      <w:r w:rsidRPr="00150ABA">
        <w:rPr>
          <w:noProof/>
          <w:szCs w:val="24"/>
        </w:rPr>
        <w:t xml:space="preserve">Recruitement dates are planned at beginning of the year. No assumptions have been made for a potential increase of the salary indexation or the correction coefficient applicable to the Netherlands. </w:t>
      </w:r>
    </w:p>
    <w:p w14:paraId="46300046" w14:textId="77777777" w:rsidR="001F2A4B" w:rsidRPr="00150ABA" w:rsidRDefault="001F2A4B" w:rsidP="001F2A4B">
      <w:pPr>
        <w:rPr>
          <w:noProof/>
        </w:rPr>
      </w:pPr>
      <w:r w:rsidRPr="00150ABA">
        <w:rPr>
          <w:noProof/>
        </w:rPr>
        <w:t>Staff required for the SPECIFIC OBJECTIVE No 1 - to develop the necessary technical adaptations of the relevant Eurojust IT systems:</w:t>
      </w:r>
    </w:p>
    <w:tbl>
      <w:tblPr>
        <w:tblW w:w="4643" w:type="pct"/>
        <w:jc w:val="center"/>
        <w:tblLook w:val="04A0" w:firstRow="1" w:lastRow="0" w:firstColumn="1" w:lastColumn="0" w:noHBand="0" w:noVBand="1"/>
      </w:tblPr>
      <w:tblGrid>
        <w:gridCol w:w="5161"/>
        <w:gridCol w:w="1445"/>
        <w:gridCol w:w="2018"/>
      </w:tblGrid>
      <w:tr w:rsidR="001F2A4B" w:rsidRPr="00150ABA" w14:paraId="2BA4D576" w14:textId="77777777" w:rsidTr="001F2A4B">
        <w:trPr>
          <w:trHeight w:val="552"/>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3A87449D" w14:textId="77777777" w:rsidR="001F2A4B" w:rsidRPr="00150ABA" w:rsidRDefault="001F2A4B" w:rsidP="001F2A4B">
            <w:pPr>
              <w:rPr>
                <w:rFonts w:ascii="Roboto" w:hAnsi="Roboto"/>
                <w:b/>
                <w:bCs/>
                <w:noProof/>
                <w:sz w:val="18"/>
                <w:szCs w:val="18"/>
              </w:rPr>
            </w:pPr>
            <w:r w:rsidRPr="00150ABA">
              <w:rPr>
                <w:rFonts w:ascii="Roboto" w:hAnsi="Roboto"/>
                <w:b/>
                <w:bCs/>
                <w:noProof/>
                <w:sz w:val="18"/>
                <w:szCs w:val="18"/>
              </w:rPr>
              <w:t>Profile</w:t>
            </w:r>
          </w:p>
        </w:tc>
        <w:tc>
          <w:tcPr>
            <w:tcW w:w="83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26003F0"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No.</w:t>
            </w:r>
          </w:p>
        </w:tc>
        <w:tc>
          <w:tcPr>
            <w:tcW w:w="1170" w:type="pct"/>
            <w:tcBorders>
              <w:top w:val="single" w:sz="4" w:space="0" w:color="auto"/>
              <w:left w:val="nil"/>
              <w:bottom w:val="single" w:sz="4" w:space="0" w:color="auto"/>
              <w:right w:val="single" w:sz="4" w:space="0" w:color="auto"/>
            </w:tcBorders>
            <w:shd w:val="clear" w:color="auto" w:fill="auto"/>
            <w:vAlign w:val="center"/>
            <w:hideMark/>
          </w:tcPr>
          <w:p w14:paraId="68840446"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Type</w:t>
            </w:r>
          </w:p>
        </w:tc>
      </w:tr>
      <w:tr w:rsidR="001F2A4B" w:rsidRPr="00150ABA" w14:paraId="183C4F16"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6D9DD626" w14:textId="77777777" w:rsidR="001F2A4B" w:rsidRPr="00150ABA" w:rsidRDefault="001F2A4B" w:rsidP="001F2A4B">
            <w:pPr>
              <w:rPr>
                <w:rFonts w:ascii="Roboto" w:hAnsi="Roboto"/>
                <w:noProof/>
                <w:sz w:val="18"/>
                <w:szCs w:val="18"/>
              </w:rPr>
            </w:pPr>
            <w:r w:rsidRPr="00150ABA">
              <w:rPr>
                <w:rFonts w:ascii="Roboto" w:hAnsi="Roboto"/>
                <w:noProof/>
                <w:sz w:val="18"/>
                <w:szCs w:val="18"/>
              </w:rPr>
              <w:t>IT Officer - Architecture</w:t>
            </w:r>
          </w:p>
        </w:tc>
        <w:tc>
          <w:tcPr>
            <w:tcW w:w="838" w:type="pct"/>
            <w:tcBorders>
              <w:top w:val="nil"/>
              <w:left w:val="nil"/>
              <w:bottom w:val="single" w:sz="4" w:space="0" w:color="auto"/>
              <w:right w:val="single" w:sz="4" w:space="0" w:color="auto"/>
            </w:tcBorders>
            <w:shd w:val="clear" w:color="auto" w:fill="auto"/>
            <w:vAlign w:val="center"/>
            <w:hideMark/>
          </w:tcPr>
          <w:p w14:paraId="5B2D582E"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1</w:t>
            </w:r>
          </w:p>
        </w:tc>
        <w:tc>
          <w:tcPr>
            <w:tcW w:w="1170" w:type="pct"/>
            <w:tcBorders>
              <w:top w:val="nil"/>
              <w:left w:val="nil"/>
              <w:bottom w:val="single" w:sz="4" w:space="0" w:color="auto"/>
              <w:right w:val="single" w:sz="4" w:space="0" w:color="auto"/>
            </w:tcBorders>
            <w:shd w:val="clear" w:color="auto" w:fill="auto"/>
            <w:vAlign w:val="center"/>
            <w:hideMark/>
          </w:tcPr>
          <w:p w14:paraId="759CB799"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2BEE2A3B" w14:textId="77777777" w:rsidTr="001F2A4B">
        <w:trPr>
          <w:trHeight w:val="288"/>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tcPr>
          <w:p w14:paraId="5CB2C50C" w14:textId="77777777" w:rsidR="001F2A4B" w:rsidRPr="00150ABA" w:rsidRDefault="001F2A4B" w:rsidP="001F2A4B">
            <w:pPr>
              <w:rPr>
                <w:rFonts w:ascii="Roboto" w:hAnsi="Roboto"/>
                <w:b/>
                <w:noProof/>
                <w:sz w:val="18"/>
                <w:szCs w:val="18"/>
              </w:rPr>
            </w:pPr>
            <w:r w:rsidRPr="00150ABA">
              <w:rPr>
                <w:rFonts w:ascii="Roboto" w:hAnsi="Roboto"/>
                <w:b/>
                <w:noProof/>
                <w:sz w:val="18"/>
                <w:szCs w:val="18"/>
              </w:rPr>
              <w:t>TOTAL</w:t>
            </w:r>
          </w:p>
        </w:tc>
        <w:tc>
          <w:tcPr>
            <w:tcW w:w="838" w:type="pct"/>
            <w:tcBorders>
              <w:top w:val="single" w:sz="4" w:space="0" w:color="auto"/>
              <w:left w:val="nil"/>
              <w:bottom w:val="single" w:sz="4" w:space="0" w:color="auto"/>
              <w:right w:val="single" w:sz="4" w:space="0" w:color="auto"/>
            </w:tcBorders>
            <w:shd w:val="clear" w:color="auto" w:fill="auto"/>
            <w:vAlign w:val="center"/>
          </w:tcPr>
          <w:p w14:paraId="513E5731" w14:textId="77777777" w:rsidR="001F2A4B" w:rsidRPr="00150ABA" w:rsidRDefault="001F2A4B" w:rsidP="001F2A4B">
            <w:pPr>
              <w:jc w:val="center"/>
              <w:rPr>
                <w:rFonts w:ascii="Roboto" w:hAnsi="Roboto"/>
                <w:b/>
                <w:noProof/>
                <w:sz w:val="18"/>
                <w:szCs w:val="18"/>
              </w:rPr>
            </w:pPr>
            <w:r w:rsidRPr="00150ABA">
              <w:rPr>
                <w:rFonts w:ascii="Roboto" w:hAnsi="Roboto"/>
                <w:b/>
                <w:noProof/>
                <w:sz w:val="18"/>
                <w:szCs w:val="18"/>
              </w:rPr>
              <w:t>1</w:t>
            </w:r>
          </w:p>
        </w:tc>
        <w:tc>
          <w:tcPr>
            <w:tcW w:w="1170" w:type="pct"/>
            <w:tcBorders>
              <w:top w:val="single" w:sz="4" w:space="0" w:color="auto"/>
              <w:left w:val="nil"/>
              <w:bottom w:val="single" w:sz="4" w:space="0" w:color="auto"/>
              <w:right w:val="single" w:sz="4" w:space="0" w:color="auto"/>
            </w:tcBorders>
            <w:shd w:val="clear" w:color="auto" w:fill="auto"/>
          </w:tcPr>
          <w:p w14:paraId="5FA3D9FA"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w:t>
            </w:r>
          </w:p>
        </w:tc>
      </w:tr>
    </w:tbl>
    <w:p w14:paraId="6AD6EE2D" w14:textId="77777777" w:rsidR="001F2A4B" w:rsidRPr="00150ABA" w:rsidRDefault="001F2A4B" w:rsidP="001F2A4B">
      <w:pPr>
        <w:rPr>
          <w:noProof/>
        </w:rPr>
      </w:pPr>
    </w:p>
    <w:p w14:paraId="527C1EE5" w14:textId="77777777" w:rsidR="001F2A4B" w:rsidRPr="00150ABA" w:rsidRDefault="001F2A4B" w:rsidP="001F2A4B">
      <w:pPr>
        <w:rPr>
          <w:noProof/>
        </w:rPr>
      </w:pPr>
      <w:r w:rsidRPr="00150ABA">
        <w:rPr>
          <w:noProof/>
        </w:rPr>
        <w:t>Staff required for the SPECIFIC OBJECTIVE No 2 - to provide administrative support to the JITs collaboraton platform users:</w:t>
      </w:r>
    </w:p>
    <w:tbl>
      <w:tblPr>
        <w:tblW w:w="4643" w:type="pct"/>
        <w:jc w:val="center"/>
        <w:tblLook w:val="04A0" w:firstRow="1" w:lastRow="0" w:firstColumn="1" w:lastColumn="0" w:noHBand="0" w:noVBand="1"/>
      </w:tblPr>
      <w:tblGrid>
        <w:gridCol w:w="5161"/>
        <w:gridCol w:w="1445"/>
        <w:gridCol w:w="2018"/>
      </w:tblGrid>
      <w:tr w:rsidR="001F2A4B" w:rsidRPr="00150ABA" w14:paraId="0C0B2F52" w14:textId="77777777" w:rsidTr="001F2A4B">
        <w:trPr>
          <w:trHeight w:val="552"/>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7EBA1C6B" w14:textId="77777777" w:rsidR="001F2A4B" w:rsidRPr="00150ABA" w:rsidRDefault="001F2A4B" w:rsidP="001F2A4B">
            <w:pPr>
              <w:rPr>
                <w:rFonts w:ascii="Roboto" w:hAnsi="Roboto"/>
                <w:b/>
                <w:bCs/>
                <w:noProof/>
                <w:sz w:val="18"/>
                <w:szCs w:val="18"/>
              </w:rPr>
            </w:pPr>
            <w:r w:rsidRPr="00150ABA">
              <w:rPr>
                <w:rFonts w:ascii="Roboto" w:hAnsi="Roboto"/>
                <w:b/>
                <w:bCs/>
                <w:noProof/>
                <w:sz w:val="18"/>
                <w:szCs w:val="18"/>
              </w:rPr>
              <w:t>Profile</w:t>
            </w:r>
          </w:p>
        </w:tc>
        <w:tc>
          <w:tcPr>
            <w:tcW w:w="83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E11DEC"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No.</w:t>
            </w:r>
          </w:p>
        </w:tc>
        <w:tc>
          <w:tcPr>
            <w:tcW w:w="1170" w:type="pct"/>
            <w:tcBorders>
              <w:top w:val="single" w:sz="4" w:space="0" w:color="auto"/>
              <w:left w:val="nil"/>
              <w:bottom w:val="single" w:sz="4" w:space="0" w:color="auto"/>
              <w:right w:val="single" w:sz="4" w:space="0" w:color="auto"/>
            </w:tcBorders>
            <w:shd w:val="clear" w:color="auto" w:fill="auto"/>
            <w:vAlign w:val="center"/>
            <w:hideMark/>
          </w:tcPr>
          <w:p w14:paraId="0B45B3B0"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Type</w:t>
            </w:r>
          </w:p>
        </w:tc>
      </w:tr>
      <w:tr w:rsidR="001F2A4B" w:rsidRPr="00150ABA" w14:paraId="18903D44"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2423221A" w14:textId="77777777" w:rsidR="001F2A4B" w:rsidRPr="00150ABA" w:rsidRDefault="001F2A4B" w:rsidP="001F2A4B">
            <w:pPr>
              <w:rPr>
                <w:rFonts w:ascii="Roboto" w:hAnsi="Roboto"/>
                <w:noProof/>
                <w:sz w:val="18"/>
                <w:szCs w:val="18"/>
              </w:rPr>
            </w:pPr>
            <w:r w:rsidRPr="00150ABA">
              <w:rPr>
                <w:rFonts w:ascii="Roboto" w:hAnsi="Roboto"/>
                <w:noProof/>
                <w:sz w:val="18"/>
                <w:szCs w:val="18"/>
              </w:rPr>
              <w:t>Administrative support</w:t>
            </w:r>
          </w:p>
        </w:tc>
        <w:tc>
          <w:tcPr>
            <w:tcW w:w="838" w:type="pct"/>
            <w:tcBorders>
              <w:top w:val="nil"/>
              <w:left w:val="nil"/>
              <w:bottom w:val="single" w:sz="4" w:space="0" w:color="auto"/>
              <w:right w:val="single" w:sz="4" w:space="0" w:color="auto"/>
            </w:tcBorders>
            <w:shd w:val="clear" w:color="auto" w:fill="auto"/>
            <w:vAlign w:val="center"/>
            <w:hideMark/>
          </w:tcPr>
          <w:p w14:paraId="72DFF398"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2</w:t>
            </w:r>
          </w:p>
        </w:tc>
        <w:tc>
          <w:tcPr>
            <w:tcW w:w="1170" w:type="pct"/>
            <w:tcBorders>
              <w:top w:val="nil"/>
              <w:left w:val="nil"/>
              <w:bottom w:val="single" w:sz="4" w:space="0" w:color="auto"/>
              <w:right w:val="single" w:sz="4" w:space="0" w:color="auto"/>
            </w:tcBorders>
            <w:shd w:val="clear" w:color="auto" w:fill="auto"/>
            <w:vAlign w:val="center"/>
            <w:hideMark/>
          </w:tcPr>
          <w:p w14:paraId="1490F83F"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780BF9EB" w14:textId="77777777" w:rsidTr="001F2A4B">
        <w:trPr>
          <w:trHeight w:val="288"/>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tcPr>
          <w:p w14:paraId="708B0BE7" w14:textId="77777777" w:rsidR="001F2A4B" w:rsidRPr="00150ABA" w:rsidRDefault="001F2A4B" w:rsidP="001F2A4B">
            <w:pPr>
              <w:rPr>
                <w:rFonts w:ascii="Roboto" w:hAnsi="Roboto"/>
                <w:b/>
                <w:noProof/>
                <w:sz w:val="18"/>
                <w:szCs w:val="18"/>
              </w:rPr>
            </w:pPr>
            <w:r w:rsidRPr="00150ABA">
              <w:rPr>
                <w:rFonts w:ascii="Roboto" w:hAnsi="Roboto"/>
                <w:b/>
                <w:noProof/>
                <w:sz w:val="18"/>
                <w:szCs w:val="18"/>
              </w:rPr>
              <w:t>TOTAL</w:t>
            </w:r>
          </w:p>
        </w:tc>
        <w:tc>
          <w:tcPr>
            <w:tcW w:w="838" w:type="pct"/>
            <w:tcBorders>
              <w:top w:val="single" w:sz="4" w:space="0" w:color="auto"/>
              <w:left w:val="nil"/>
              <w:bottom w:val="single" w:sz="4" w:space="0" w:color="auto"/>
              <w:right w:val="single" w:sz="4" w:space="0" w:color="auto"/>
            </w:tcBorders>
            <w:shd w:val="clear" w:color="auto" w:fill="auto"/>
            <w:vAlign w:val="center"/>
          </w:tcPr>
          <w:p w14:paraId="21549195" w14:textId="77777777" w:rsidR="001F2A4B" w:rsidRPr="00150ABA" w:rsidRDefault="001F2A4B" w:rsidP="001F2A4B">
            <w:pPr>
              <w:jc w:val="center"/>
              <w:rPr>
                <w:rFonts w:ascii="Roboto" w:hAnsi="Roboto"/>
                <w:b/>
                <w:noProof/>
                <w:sz w:val="18"/>
                <w:szCs w:val="18"/>
              </w:rPr>
            </w:pPr>
            <w:r w:rsidRPr="00150ABA">
              <w:rPr>
                <w:rFonts w:ascii="Roboto" w:hAnsi="Roboto"/>
                <w:b/>
                <w:noProof/>
                <w:sz w:val="18"/>
                <w:szCs w:val="18"/>
              </w:rPr>
              <w:t>2</w:t>
            </w:r>
          </w:p>
        </w:tc>
        <w:tc>
          <w:tcPr>
            <w:tcW w:w="1170" w:type="pct"/>
            <w:tcBorders>
              <w:top w:val="single" w:sz="4" w:space="0" w:color="auto"/>
              <w:left w:val="nil"/>
              <w:bottom w:val="single" w:sz="4" w:space="0" w:color="auto"/>
              <w:right w:val="single" w:sz="4" w:space="0" w:color="auto"/>
            </w:tcBorders>
            <w:shd w:val="clear" w:color="auto" w:fill="auto"/>
          </w:tcPr>
          <w:p w14:paraId="4461D3ED"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w:t>
            </w:r>
          </w:p>
        </w:tc>
      </w:tr>
    </w:tbl>
    <w:p w14:paraId="7E7FAFDE" w14:textId="77777777" w:rsidR="001F2A4B" w:rsidRPr="00150ABA" w:rsidRDefault="001F2A4B" w:rsidP="001F2A4B">
      <w:pPr>
        <w:rPr>
          <w:noProof/>
        </w:rPr>
      </w:pPr>
    </w:p>
    <w:p w14:paraId="038ACF76" w14:textId="77777777" w:rsidR="001F2A4B" w:rsidRPr="00150ABA" w:rsidRDefault="001F2A4B" w:rsidP="001F2A4B">
      <w:pPr>
        <w:rPr>
          <w:noProof/>
        </w:rPr>
      </w:pPr>
      <w:r w:rsidRPr="00150ABA">
        <w:rPr>
          <w:noProof/>
        </w:rPr>
        <w:t>Description of the profiles:</w:t>
      </w:r>
    </w:p>
    <w:tbl>
      <w:tblPr>
        <w:tblW w:w="4701" w:type="pct"/>
        <w:jc w:val="center"/>
        <w:tblLook w:val="04A0" w:firstRow="1" w:lastRow="0" w:firstColumn="1" w:lastColumn="0" w:noHBand="0" w:noVBand="1"/>
      </w:tblPr>
      <w:tblGrid>
        <w:gridCol w:w="8732"/>
      </w:tblGrid>
      <w:tr w:rsidR="001F2A4B" w:rsidRPr="00150ABA" w14:paraId="2E0E8528" w14:textId="77777777" w:rsidTr="001F2A4B">
        <w:trPr>
          <w:trHeight w:val="288"/>
          <w:jc w:val="center"/>
        </w:trPr>
        <w:tc>
          <w:tcPr>
            <w:tcW w:w="5000"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7F45A66C" w14:textId="77777777" w:rsidR="001F2A4B" w:rsidRPr="00150ABA" w:rsidRDefault="001F2A4B" w:rsidP="001F2A4B">
            <w:pPr>
              <w:rPr>
                <w:rFonts w:ascii="Roboto" w:hAnsi="Roboto"/>
                <w:noProof/>
                <w:sz w:val="18"/>
                <w:szCs w:val="18"/>
              </w:rPr>
            </w:pPr>
            <w:r w:rsidRPr="00150ABA">
              <w:rPr>
                <w:rFonts w:ascii="Roboto" w:hAnsi="Roboto"/>
                <w:noProof/>
                <w:sz w:val="18"/>
                <w:szCs w:val="18"/>
              </w:rPr>
              <w:t>IT Officer – Architecture - to work with the contractors on the design documents and validate (at solution and application level). Also, to be involved in any business/use cases/architectural assessments and Implementing &amp; Delegated Acts.</w:t>
            </w:r>
          </w:p>
        </w:tc>
      </w:tr>
      <w:tr w:rsidR="001F2A4B" w:rsidRPr="00150ABA" w14:paraId="56BB144A" w14:textId="77777777" w:rsidTr="001F2A4B">
        <w:trPr>
          <w:trHeight w:val="288"/>
          <w:jc w:val="center"/>
        </w:trPr>
        <w:tc>
          <w:tcPr>
            <w:tcW w:w="5000" w:type="pct"/>
            <w:tcBorders>
              <w:top w:val="nil"/>
              <w:left w:val="single" w:sz="4" w:space="0" w:color="auto"/>
              <w:bottom w:val="single" w:sz="4" w:space="0" w:color="auto"/>
              <w:right w:val="single" w:sz="8" w:space="0" w:color="auto"/>
            </w:tcBorders>
            <w:shd w:val="clear" w:color="auto" w:fill="auto"/>
            <w:vAlign w:val="center"/>
            <w:hideMark/>
          </w:tcPr>
          <w:p w14:paraId="7E17162F" w14:textId="6F9018B8" w:rsidR="001F2A4B" w:rsidRPr="00150ABA" w:rsidRDefault="001F2A4B" w:rsidP="006012BC">
            <w:pPr>
              <w:rPr>
                <w:rFonts w:ascii="Roboto" w:hAnsi="Roboto"/>
                <w:noProof/>
                <w:sz w:val="18"/>
                <w:szCs w:val="18"/>
              </w:rPr>
            </w:pPr>
            <w:r w:rsidRPr="00150ABA">
              <w:rPr>
                <w:rFonts w:ascii="Roboto" w:hAnsi="Roboto"/>
                <w:noProof/>
                <w:sz w:val="18"/>
                <w:szCs w:val="18"/>
              </w:rPr>
              <w:t>Administrative support – managing individual JIT collaboration space</w:t>
            </w:r>
            <w:r w:rsidR="006012BC" w:rsidRPr="00150ABA">
              <w:rPr>
                <w:rFonts w:ascii="Roboto" w:hAnsi="Roboto"/>
                <w:noProof/>
                <w:sz w:val="18"/>
                <w:szCs w:val="18"/>
              </w:rPr>
              <w:t>s</w:t>
            </w:r>
            <w:r w:rsidRPr="00150ABA">
              <w:rPr>
                <w:rFonts w:ascii="Roboto" w:hAnsi="Roboto"/>
                <w:noProof/>
                <w:sz w:val="18"/>
                <w:szCs w:val="18"/>
              </w:rPr>
              <w:t xml:space="preserve"> on behalf of the JIT </w:t>
            </w:r>
            <w:r w:rsidR="006012BC" w:rsidRPr="00150ABA">
              <w:rPr>
                <w:rFonts w:ascii="Roboto" w:hAnsi="Roboto"/>
                <w:noProof/>
                <w:sz w:val="18"/>
                <w:szCs w:val="18"/>
              </w:rPr>
              <w:t>members</w:t>
            </w:r>
            <w:r w:rsidRPr="00150ABA">
              <w:rPr>
                <w:rFonts w:ascii="Roboto" w:hAnsi="Roboto"/>
                <w:noProof/>
                <w:sz w:val="18"/>
                <w:szCs w:val="18"/>
              </w:rPr>
              <w:t>, creating accounts, enabling access to persons authorised by national authorities, training and tutorials for users, uploading tools and materials for platform, support users.</w:t>
            </w:r>
          </w:p>
        </w:tc>
      </w:tr>
    </w:tbl>
    <w:p w14:paraId="6206479A" w14:textId="17124E30" w:rsidR="001F2A4B" w:rsidRPr="00150ABA" w:rsidRDefault="00D76D82" w:rsidP="00D76D82">
      <w:pPr>
        <w:pStyle w:val="ManualHeading3"/>
        <w:rPr>
          <w:bCs/>
          <w:noProof/>
          <w:szCs w:val="24"/>
        </w:rPr>
      </w:pPr>
      <w:bookmarkStart w:id="32" w:name="_Toc85196974"/>
      <w:r w:rsidRPr="00D76D82">
        <w:t>3.2.5.</w:t>
      </w:r>
      <w:r w:rsidRPr="00D76D82">
        <w:tab/>
      </w:r>
      <w:r w:rsidR="001F2A4B" w:rsidRPr="00150ABA">
        <w:rPr>
          <w:noProof/>
        </w:rPr>
        <w:t>Estimated impact on eu-LISA's human resources</w:t>
      </w:r>
      <w:bookmarkEnd w:id="32"/>
      <w:r w:rsidR="001F2A4B" w:rsidRPr="00150ABA">
        <w:rPr>
          <w:noProof/>
        </w:rPr>
        <w:t xml:space="preserve"> </w:t>
      </w:r>
    </w:p>
    <w:p w14:paraId="25F5CE4A" w14:textId="27237A29" w:rsidR="001F2A4B" w:rsidRPr="00150ABA" w:rsidRDefault="00D76D82" w:rsidP="00D76D82">
      <w:pPr>
        <w:pStyle w:val="ManualHeading4"/>
        <w:rPr>
          <w:bCs/>
          <w:noProof/>
          <w:szCs w:val="24"/>
        </w:rPr>
      </w:pPr>
      <w:r w:rsidRPr="00D76D82">
        <w:t>3.2.5.1.</w:t>
      </w:r>
      <w:r w:rsidRPr="00D76D82">
        <w:tab/>
      </w:r>
      <w:r w:rsidR="001F2A4B" w:rsidRPr="00150ABA">
        <w:rPr>
          <w:noProof/>
        </w:rPr>
        <w:t xml:space="preserve">Summary </w:t>
      </w:r>
    </w:p>
    <w:p w14:paraId="61F7C393" w14:textId="77777777" w:rsidR="001F2A4B" w:rsidRPr="00150ABA" w:rsidRDefault="001F2A4B" w:rsidP="008326C2">
      <w:pPr>
        <w:pStyle w:val="ListDash1"/>
        <w:numPr>
          <w:ilvl w:val="0"/>
          <w:numId w:val="16"/>
        </w:numPr>
        <w:rPr>
          <w:noProof/>
        </w:rPr>
      </w:pPr>
      <w:r w:rsidRPr="00150ABA">
        <w:rPr>
          <w:noProof/>
        </w:rPr>
        <w:sym w:font="Wingdings" w:char="F0A8"/>
      </w:r>
      <w:r w:rsidRPr="00150ABA">
        <w:rPr>
          <w:noProof/>
        </w:rPr>
        <w:tab/>
        <w:t xml:space="preserve">The proposal/initiative does not require the use of appropriations of an administrative nature </w:t>
      </w:r>
    </w:p>
    <w:p w14:paraId="7916BE4F" w14:textId="3D536BD0" w:rsidR="001F2A4B" w:rsidRPr="00150ABA" w:rsidRDefault="001F2A4B" w:rsidP="008326C2">
      <w:pPr>
        <w:pStyle w:val="ListDash1"/>
        <w:numPr>
          <w:ilvl w:val="0"/>
          <w:numId w:val="16"/>
        </w:numPr>
        <w:rPr>
          <w:noProof/>
        </w:rPr>
      </w:pPr>
      <w:r w:rsidRPr="00150ABA">
        <w:rPr>
          <w:noProof/>
        </w:rPr>
        <w:sym w:font="Wingdings" w:char="F0FE"/>
      </w:r>
      <w:r w:rsidRPr="00150ABA">
        <w:rPr>
          <w:noProof/>
        </w:rPr>
        <w:tab/>
        <w:t>The proposal/initiative requires the use of appropriations of an administrative nature, as explained below</w:t>
      </w:r>
      <w:r w:rsidR="007C6231" w:rsidRPr="00150ABA">
        <w:rPr>
          <w:rStyle w:val="FootnoteReference"/>
          <w:noProof/>
        </w:rPr>
        <w:footnoteReference w:id="42"/>
      </w:r>
      <w:r w:rsidRPr="00150ABA">
        <w:rPr>
          <w:noProof/>
        </w:rPr>
        <w:t>:</w:t>
      </w:r>
    </w:p>
    <w:p w14:paraId="788FC9B7" w14:textId="77777777" w:rsidR="001F2A4B" w:rsidRPr="00150ABA" w:rsidRDefault="001F2A4B" w:rsidP="00534A42">
      <w:pPr>
        <w:jc w:val="right"/>
        <w:rPr>
          <w:noProof/>
          <w:sz w:val="20"/>
        </w:rPr>
      </w:pPr>
      <w:r w:rsidRPr="00150ABA">
        <w:rPr>
          <w:noProof/>
          <w:sz w:val="20"/>
        </w:rPr>
        <w:t>EUR million (to three decimal places)</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F2A4B" w:rsidRPr="00150ABA" w14:paraId="4936AC1A" w14:textId="77777777" w:rsidTr="001F2A4B">
        <w:trPr>
          <w:trHeight w:val="585"/>
          <w:jc w:val="center"/>
        </w:trPr>
        <w:tc>
          <w:tcPr>
            <w:tcW w:w="1980" w:type="dxa"/>
          </w:tcPr>
          <w:p w14:paraId="3F3A7CC6" w14:textId="77777777" w:rsidR="001F2A4B" w:rsidRPr="00150ABA" w:rsidRDefault="001F2A4B" w:rsidP="001F2A4B">
            <w:pPr>
              <w:spacing w:before="60" w:after="60"/>
              <w:rPr>
                <w:b/>
                <w:noProof/>
                <w:sz w:val="20"/>
              </w:rPr>
            </w:pPr>
            <w:r w:rsidRPr="00150ABA">
              <w:rPr>
                <w:b/>
                <w:noProof/>
                <w:sz w:val="20"/>
              </w:rPr>
              <w:t>eu-LISA</w:t>
            </w:r>
          </w:p>
        </w:tc>
        <w:tc>
          <w:tcPr>
            <w:tcW w:w="1080" w:type="dxa"/>
            <w:vAlign w:val="center"/>
          </w:tcPr>
          <w:p w14:paraId="41D1852E" w14:textId="77777777" w:rsidR="001F2A4B" w:rsidRPr="00150ABA" w:rsidRDefault="001F2A4B" w:rsidP="001F2A4B">
            <w:pPr>
              <w:spacing w:before="60" w:after="60"/>
              <w:jc w:val="center"/>
              <w:rPr>
                <w:noProof/>
                <w:sz w:val="20"/>
              </w:rPr>
            </w:pPr>
            <w:r w:rsidRPr="00150ABA">
              <w:rPr>
                <w:noProof/>
                <w:sz w:val="20"/>
              </w:rPr>
              <w:t>Year</w:t>
            </w:r>
            <w:r w:rsidRPr="00150ABA">
              <w:rPr>
                <w:noProof/>
                <w:sz w:val="22"/>
              </w:rPr>
              <w:br/>
            </w:r>
            <w:r w:rsidRPr="00150ABA">
              <w:rPr>
                <w:b/>
                <w:noProof/>
                <w:sz w:val="20"/>
              </w:rPr>
              <w:t>2024</w:t>
            </w:r>
          </w:p>
        </w:tc>
        <w:tc>
          <w:tcPr>
            <w:tcW w:w="1080" w:type="dxa"/>
            <w:vAlign w:val="center"/>
          </w:tcPr>
          <w:p w14:paraId="1DEF19F8" w14:textId="77777777" w:rsidR="001F2A4B" w:rsidRPr="00150ABA" w:rsidRDefault="001F2A4B" w:rsidP="001F2A4B">
            <w:pPr>
              <w:spacing w:before="60" w:after="60"/>
              <w:jc w:val="center"/>
              <w:rPr>
                <w:noProof/>
                <w:sz w:val="20"/>
              </w:rPr>
            </w:pPr>
            <w:r w:rsidRPr="00150ABA">
              <w:rPr>
                <w:noProof/>
                <w:sz w:val="20"/>
              </w:rPr>
              <w:t>Year</w:t>
            </w:r>
            <w:r w:rsidRPr="00150ABA">
              <w:rPr>
                <w:noProof/>
                <w:sz w:val="22"/>
              </w:rPr>
              <w:br/>
            </w:r>
            <w:r w:rsidRPr="00150ABA">
              <w:rPr>
                <w:b/>
                <w:noProof/>
                <w:sz w:val="20"/>
              </w:rPr>
              <w:t>2025</w:t>
            </w:r>
          </w:p>
        </w:tc>
        <w:tc>
          <w:tcPr>
            <w:tcW w:w="1080" w:type="dxa"/>
            <w:vAlign w:val="center"/>
          </w:tcPr>
          <w:p w14:paraId="78C3F3EA" w14:textId="77777777" w:rsidR="001F2A4B" w:rsidRPr="00150ABA" w:rsidRDefault="001F2A4B" w:rsidP="001F2A4B">
            <w:pPr>
              <w:spacing w:before="60" w:after="60"/>
              <w:jc w:val="center"/>
              <w:rPr>
                <w:noProof/>
                <w:sz w:val="20"/>
              </w:rPr>
            </w:pPr>
            <w:r w:rsidRPr="00150ABA">
              <w:rPr>
                <w:noProof/>
                <w:sz w:val="20"/>
              </w:rPr>
              <w:t>Year</w:t>
            </w:r>
            <w:r w:rsidRPr="00150ABA">
              <w:rPr>
                <w:noProof/>
                <w:sz w:val="22"/>
              </w:rPr>
              <w:br/>
            </w:r>
            <w:r w:rsidRPr="00150ABA">
              <w:rPr>
                <w:b/>
                <w:noProof/>
                <w:sz w:val="20"/>
              </w:rPr>
              <w:t>2026</w:t>
            </w:r>
          </w:p>
        </w:tc>
        <w:tc>
          <w:tcPr>
            <w:tcW w:w="1080" w:type="dxa"/>
            <w:vAlign w:val="center"/>
          </w:tcPr>
          <w:p w14:paraId="10715A63" w14:textId="77777777" w:rsidR="001F2A4B" w:rsidRPr="00150ABA" w:rsidRDefault="001F2A4B" w:rsidP="001F2A4B">
            <w:pPr>
              <w:spacing w:before="60" w:after="60"/>
              <w:jc w:val="center"/>
              <w:rPr>
                <w:noProof/>
                <w:sz w:val="20"/>
              </w:rPr>
            </w:pPr>
            <w:r w:rsidRPr="00150ABA">
              <w:rPr>
                <w:noProof/>
                <w:sz w:val="20"/>
              </w:rPr>
              <w:t>Year</w:t>
            </w:r>
            <w:r w:rsidRPr="00150ABA">
              <w:rPr>
                <w:noProof/>
                <w:sz w:val="22"/>
              </w:rPr>
              <w:br/>
            </w:r>
            <w:r w:rsidRPr="00150ABA">
              <w:rPr>
                <w:b/>
                <w:noProof/>
                <w:sz w:val="20"/>
              </w:rPr>
              <w:t>2027</w:t>
            </w:r>
          </w:p>
        </w:tc>
        <w:tc>
          <w:tcPr>
            <w:tcW w:w="1080" w:type="dxa"/>
            <w:vAlign w:val="center"/>
          </w:tcPr>
          <w:p w14:paraId="67A53D89" w14:textId="77777777" w:rsidR="001F2A4B" w:rsidRPr="00150ABA" w:rsidRDefault="001F2A4B" w:rsidP="001F2A4B">
            <w:pPr>
              <w:spacing w:before="60" w:after="60"/>
              <w:jc w:val="center"/>
              <w:rPr>
                <w:b/>
                <w:noProof/>
                <w:sz w:val="20"/>
              </w:rPr>
            </w:pPr>
            <w:r w:rsidRPr="00150ABA">
              <w:rPr>
                <w:b/>
                <w:noProof/>
                <w:sz w:val="18"/>
              </w:rPr>
              <w:t>TOTAL 2024-2027</w:t>
            </w:r>
          </w:p>
        </w:tc>
      </w:tr>
    </w:tbl>
    <w:p w14:paraId="51753A89" w14:textId="77777777" w:rsidR="001F2A4B" w:rsidRPr="00150ABA" w:rsidRDefault="001F2A4B" w:rsidP="001F2A4B">
      <w:pPr>
        <w:rPr>
          <w:noProof/>
          <w:sz w:val="20"/>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F2A4B" w:rsidRPr="00150ABA" w14:paraId="1CBCD02A" w14:textId="77777777" w:rsidTr="001F2A4B">
        <w:trPr>
          <w:trHeight w:val="585"/>
          <w:jc w:val="center"/>
        </w:trPr>
        <w:tc>
          <w:tcPr>
            <w:tcW w:w="1980" w:type="dxa"/>
            <w:shd w:val="clear" w:color="auto" w:fill="D9D9D9" w:themeFill="background1" w:themeFillShade="D9"/>
            <w:vAlign w:val="center"/>
          </w:tcPr>
          <w:p w14:paraId="1953727D" w14:textId="77777777" w:rsidR="001F2A4B" w:rsidRPr="00150ABA" w:rsidRDefault="001F2A4B" w:rsidP="001F2A4B">
            <w:pPr>
              <w:spacing w:before="60" w:after="60"/>
              <w:jc w:val="center"/>
              <w:rPr>
                <w:noProof/>
              </w:rPr>
            </w:pPr>
            <w:r w:rsidRPr="00150ABA">
              <w:rPr>
                <w:noProof/>
                <w:sz w:val="18"/>
              </w:rPr>
              <w:t>Temporary agents (AD Grades)</w:t>
            </w:r>
          </w:p>
        </w:tc>
        <w:tc>
          <w:tcPr>
            <w:tcW w:w="1080" w:type="dxa"/>
            <w:vAlign w:val="center"/>
          </w:tcPr>
          <w:p w14:paraId="315BDB49" w14:textId="77777777" w:rsidR="001F2A4B" w:rsidRPr="00150ABA" w:rsidRDefault="001F2A4B" w:rsidP="001F2A4B">
            <w:pPr>
              <w:spacing w:before="60" w:after="60"/>
              <w:jc w:val="right"/>
              <w:rPr>
                <w:noProof/>
                <w:sz w:val="20"/>
              </w:rPr>
            </w:pPr>
            <w:r w:rsidRPr="00150ABA">
              <w:rPr>
                <w:noProof/>
                <w:sz w:val="20"/>
              </w:rPr>
              <w:t>0.608</w:t>
            </w:r>
          </w:p>
        </w:tc>
        <w:tc>
          <w:tcPr>
            <w:tcW w:w="1080" w:type="dxa"/>
            <w:vAlign w:val="center"/>
          </w:tcPr>
          <w:p w14:paraId="2BF84A00" w14:textId="77777777" w:rsidR="001F2A4B" w:rsidRPr="00150ABA" w:rsidRDefault="001F2A4B" w:rsidP="001F2A4B">
            <w:pPr>
              <w:spacing w:before="60" w:after="60"/>
              <w:jc w:val="right"/>
              <w:rPr>
                <w:noProof/>
                <w:sz w:val="20"/>
              </w:rPr>
            </w:pPr>
            <w:r w:rsidRPr="00150ABA">
              <w:rPr>
                <w:noProof/>
                <w:sz w:val="20"/>
              </w:rPr>
              <w:t>1.216</w:t>
            </w:r>
          </w:p>
        </w:tc>
        <w:tc>
          <w:tcPr>
            <w:tcW w:w="1080" w:type="dxa"/>
            <w:vAlign w:val="center"/>
          </w:tcPr>
          <w:p w14:paraId="6F3BAA9A" w14:textId="77777777" w:rsidR="001F2A4B" w:rsidRPr="00150ABA" w:rsidRDefault="001F2A4B" w:rsidP="001F2A4B">
            <w:pPr>
              <w:spacing w:before="60" w:after="60"/>
              <w:jc w:val="right"/>
              <w:rPr>
                <w:noProof/>
                <w:sz w:val="20"/>
              </w:rPr>
            </w:pPr>
            <w:r w:rsidRPr="00150ABA">
              <w:rPr>
                <w:noProof/>
                <w:sz w:val="20"/>
              </w:rPr>
              <w:t>1.216</w:t>
            </w:r>
          </w:p>
        </w:tc>
        <w:tc>
          <w:tcPr>
            <w:tcW w:w="1080" w:type="dxa"/>
            <w:vAlign w:val="center"/>
          </w:tcPr>
          <w:p w14:paraId="5F0CD685" w14:textId="77777777" w:rsidR="001F2A4B" w:rsidRPr="00150ABA" w:rsidRDefault="001F2A4B" w:rsidP="001F2A4B">
            <w:pPr>
              <w:spacing w:before="60" w:after="60"/>
              <w:jc w:val="right"/>
              <w:rPr>
                <w:noProof/>
                <w:sz w:val="20"/>
              </w:rPr>
            </w:pPr>
            <w:r w:rsidRPr="00150ABA">
              <w:rPr>
                <w:noProof/>
                <w:sz w:val="20"/>
              </w:rPr>
              <w:t>1.216</w:t>
            </w:r>
          </w:p>
        </w:tc>
        <w:tc>
          <w:tcPr>
            <w:tcW w:w="1080" w:type="dxa"/>
            <w:vAlign w:val="center"/>
          </w:tcPr>
          <w:p w14:paraId="0A8EA0D5" w14:textId="77777777" w:rsidR="001F2A4B" w:rsidRPr="00150ABA" w:rsidRDefault="001F2A4B" w:rsidP="001F2A4B">
            <w:pPr>
              <w:spacing w:before="60" w:after="60"/>
              <w:jc w:val="right"/>
              <w:rPr>
                <w:b/>
                <w:noProof/>
                <w:sz w:val="20"/>
              </w:rPr>
            </w:pPr>
            <w:r w:rsidRPr="00150ABA">
              <w:rPr>
                <w:b/>
                <w:noProof/>
                <w:sz w:val="20"/>
              </w:rPr>
              <w:t>4.256</w:t>
            </w:r>
          </w:p>
        </w:tc>
      </w:tr>
      <w:tr w:rsidR="001F2A4B" w:rsidRPr="00150ABA" w14:paraId="3342C3D0" w14:textId="77777777" w:rsidTr="001F2A4B">
        <w:trPr>
          <w:trHeight w:val="585"/>
          <w:jc w:val="center"/>
        </w:trPr>
        <w:tc>
          <w:tcPr>
            <w:tcW w:w="1980" w:type="dxa"/>
            <w:shd w:val="clear" w:color="auto" w:fill="BFBFBF" w:themeFill="background1" w:themeFillShade="BF"/>
            <w:vAlign w:val="center"/>
          </w:tcPr>
          <w:p w14:paraId="128AAB5C" w14:textId="77777777" w:rsidR="001F2A4B" w:rsidRPr="00150ABA" w:rsidRDefault="001F2A4B" w:rsidP="001F2A4B">
            <w:pPr>
              <w:spacing w:before="60" w:after="60"/>
              <w:ind w:left="72"/>
              <w:rPr>
                <w:noProof/>
              </w:rPr>
            </w:pPr>
            <w:r w:rsidRPr="00150ABA">
              <w:rPr>
                <w:noProof/>
                <w:sz w:val="20"/>
              </w:rPr>
              <w:t>Temporary agents (AST grades)</w:t>
            </w:r>
          </w:p>
        </w:tc>
        <w:tc>
          <w:tcPr>
            <w:tcW w:w="1080" w:type="dxa"/>
            <w:vAlign w:val="center"/>
          </w:tcPr>
          <w:p w14:paraId="6CDCA290" w14:textId="77777777" w:rsidR="001F2A4B" w:rsidRPr="00150ABA" w:rsidRDefault="001F2A4B" w:rsidP="001F2A4B">
            <w:pPr>
              <w:spacing w:before="60" w:after="60"/>
              <w:jc w:val="right"/>
              <w:rPr>
                <w:noProof/>
                <w:sz w:val="20"/>
              </w:rPr>
            </w:pPr>
          </w:p>
        </w:tc>
        <w:tc>
          <w:tcPr>
            <w:tcW w:w="1080" w:type="dxa"/>
            <w:vAlign w:val="center"/>
          </w:tcPr>
          <w:p w14:paraId="67556CB7" w14:textId="77777777" w:rsidR="001F2A4B" w:rsidRPr="00150ABA" w:rsidRDefault="001F2A4B" w:rsidP="001F2A4B">
            <w:pPr>
              <w:spacing w:before="60" w:after="60"/>
              <w:jc w:val="right"/>
              <w:rPr>
                <w:noProof/>
                <w:sz w:val="20"/>
              </w:rPr>
            </w:pPr>
          </w:p>
        </w:tc>
        <w:tc>
          <w:tcPr>
            <w:tcW w:w="1080" w:type="dxa"/>
            <w:vAlign w:val="center"/>
          </w:tcPr>
          <w:p w14:paraId="533892CE" w14:textId="77777777" w:rsidR="001F2A4B" w:rsidRPr="00150ABA" w:rsidRDefault="001F2A4B" w:rsidP="001F2A4B">
            <w:pPr>
              <w:spacing w:before="60" w:after="60"/>
              <w:jc w:val="right"/>
              <w:rPr>
                <w:noProof/>
                <w:sz w:val="20"/>
              </w:rPr>
            </w:pPr>
          </w:p>
        </w:tc>
        <w:tc>
          <w:tcPr>
            <w:tcW w:w="1080" w:type="dxa"/>
            <w:vAlign w:val="center"/>
          </w:tcPr>
          <w:p w14:paraId="3C64B902" w14:textId="77777777" w:rsidR="001F2A4B" w:rsidRPr="00150ABA" w:rsidRDefault="001F2A4B" w:rsidP="001F2A4B">
            <w:pPr>
              <w:spacing w:before="60" w:after="60"/>
              <w:jc w:val="right"/>
              <w:rPr>
                <w:noProof/>
                <w:sz w:val="20"/>
              </w:rPr>
            </w:pPr>
          </w:p>
        </w:tc>
        <w:tc>
          <w:tcPr>
            <w:tcW w:w="1080" w:type="dxa"/>
            <w:vAlign w:val="center"/>
          </w:tcPr>
          <w:p w14:paraId="7F1A6933" w14:textId="77777777" w:rsidR="001F2A4B" w:rsidRPr="00150ABA" w:rsidRDefault="001F2A4B" w:rsidP="001F2A4B">
            <w:pPr>
              <w:spacing w:before="60" w:after="60"/>
              <w:jc w:val="right"/>
              <w:rPr>
                <w:b/>
                <w:noProof/>
                <w:sz w:val="20"/>
              </w:rPr>
            </w:pPr>
          </w:p>
        </w:tc>
      </w:tr>
      <w:tr w:rsidR="001F2A4B" w:rsidRPr="00150ABA" w14:paraId="515511D2" w14:textId="77777777" w:rsidTr="001F2A4B">
        <w:trPr>
          <w:trHeight w:val="585"/>
          <w:jc w:val="center"/>
        </w:trPr>
        <w:tc>
          <w:tcPr>
            <w:tcW w:w="1980" w:type="dxa"/>
            <w:shd w:val="clear" w:color="auto" w:fill="BFBFBF" w:themeFill="background1" w:themeFillShade="BF"/>
            <w:vAlign w:val="center"/>
          </w:tcPr>
          <w:p w14:paraId="235EC6D3" w14:textId="77777777" w:rsidR="001F2A4B" w:rsidRPr="00150ABA" w:rsidRDefault="001F2A4B" w:rsidP="001F2A4B">
            <w:pPr>
              <w:spacing w:before="60" w:after="60"/>
              <w:ind w:left="72"/>
              <w:rPr>
                <w:noProof/>
              </w:rPr>
            </w:pPr>
            <w:r w:rsidRPr="00150ABA">
              <w:rPr>
                <w:noProof/>
                <w:sz w:val="20"/>
              </w:rPr>
              <w:t>Contract staff</w:t>
            </w:r>
          </w:p>
        </w:tc>
        <w:tc>
          <w:tcPr>
            <w:tcW w:w="1080" w:type="dxa"/>
            <w:shd w:val="clear" w:color="auto" w:fill="FFFFFF" w:themeFill="background1"/>
            <w:vAlign w:val="center"/>
          </w:tcPr>
          <w:p w14:paraId="05FE5257"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08A9843D"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6A42C736" w14:textId="77777777" w:rsidR="001F2A4B" w:rsidRPr="00150ABA" w:rsidRDefault="001F2A4B" w:rsidP="001F2A4B">
            <w:pPr>
              <w:spacing w:before="60" w:after="60"/>
              <w:jc w:val="right"/>
              <w:rPr>
                <w:noProof/>
                <w:sz w:val="20"/>
              </w:rPr>
            </w:pPr>
            <w:r w:rsidRPr="00150ABA">
              <w:rPr>
                <w:noProof/>
                <w:sz w:val="20"/>
              </w:rPr>
              <w:t>0.164</w:t>
            </w:r>
          </w:p>
        </w:tc>
        <w:tc>
          <w:tcPr>
            <w:tcW w:w="1080" w:type="dxa"/>
            <w:shd w:val="clear" w:color="auto" w:fill="FFFFFF" w:themeFill="background1"/>
            <w:vAlign w:val="center"/>
          </w:tcPr>
          <w:p w14:paraId="1EE16585" w14:textId="77777777" w:rsidR="001F2A4B" w:rsidRPr="00150ABA" w:rsidRDefault="001F2A4B" w:rsidP="001F2A4B">
            <w:pPr>
              <w:spacing w:before="60" w:after="60"/>
              <w:jc w:val="right"/>
              <w:rPr>
                <w:noProof/>
                <w:sz w:val="20"/>
              </w:rPr>
            </w:pPr>
            <w:r w:rsidRPr="00150ABA">
              <w:rPr>
                <w:noProof/>
                <w:sz w:val="20"/>
              </w:rPr>
              <w:t>0.164</w:t>
            </w:r>
          </w:p>
        </w:tc>
        <w:tc>
          <w:tcPr>
            <w:tcW w:w="1080" w:type="dxa"/>
            <w:shd w:val="clear" w:color="auto" w:fill="FFFFFF" w:themeFill="background1"/>
            <w:vAlign w:val="center"/>
          </w:tcPr>
          <w:p w14:paraId="48005F4E" w14:textId="77777777" w:rsidR="001F2A4B" w:rsidRPr="00150ABA" w:rsidRDefault="001F2A4B" w:rsidP="001F2A4B">
            <w:pPr>
              <w:spacing w:before="60" w:after="60"/>
              <w:jc w:val="right"/>
              <w:rPr>
                <w:b/>
                <w:noProof/>
                <w:sz w:val="20"/>
              </w:rPr>
            </w:pPr>
            <w:r w:rsidRPr="00150ABA">
              <w:rPr>
                <w:b/>
                <w:noProof/>
                <w:sz w:val="20"/>
              </w:rPr>
              <w:t>0.328</w:t>
            </w:r>
          </w:p>
        </w:tc>
      </w:tr>
      <w:tr w:rsidR="001F2A4B" w:rsidRPr="00150ABA" w14:paraId="3E470654" w14:textId="77777777" w:rsidTr="001F2A4B">
        <w:trPr>
          <w:trHeight w:val="585"/>
          <w:jc w:val="center"/>
        </w:trPr>
        <w:tc>
          <w:tcPr>
            <w:tcW w:w="1980" w:type="dxa"/>
            <w:shd w:val="clear" w:color="auto" w:fill="CCCCCC"/>
            <w:vAlign w:val="center"/>
          </w:tcPr>
          <w:p w14:paraId="47998100" w14:textId="77777777" w:rsidR="001F2A4B" w:rsidRPr="00150ABA" w:rsidRDefault="001F2A4B" w:rsidP="001F2A4B">
            <w:pPr>
              <w:spacing w:before="60" w:after="60"/>
              <w:jc w:val="center"/>
              <w:rPr>
                <w:noProof/>
              </w:rPr>
            </w:pPr>
            <w:r w:rsidRPr="00150ABA">
              <w:rPr>
                <w:noProof/>
                <w:sz w:val="18"/>
              </w:rPr>
              <w:t>Seconded National Experts</w:t>
            </w:r>
          </w:p>
        </w:tc>
        <w:tc>
          <w:tcPr>
            <w:tcW w:w="1080" w:type="dxa"/>
            <w:shd w:val="clear" w:color="auto" w:fill="FFFFFF" w:themeFill="background1"/>
            <w:vAlign w:val="center"/>
          </w:tcPr>
          <w:p w14:paraId="66F6C36D"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23B4120D"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4E255450"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092067DE"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3B3D6B38" w14:textId="77777777" w:rsidR="001F2A4B" w:rsidRPr="00150ABA" w:rsidRDefault="001F2A4B" w:rsidP="001F2A4B">
            <w:pPr>
              <w:spacing w:before="60" w:after="60"/>
              <w:jc w:val="right"/>
              <w:rPr>
                <w:b/>
                <w:noProof/>
                <w:sz w:val="20"/>
              </w:rPr>
            </w:pPr>
          </w:p>
        </w:tc>
      </w:tr>
    </w:tbl>
    <w:p w14:paraId="45CAAD31" w14:textId="77777777" w:rsidR="001F2A4B" w:rsidRPr="00150ABA" w:rsidRDefault="001F2A4B" w:rsidP="001F2A4B">
      <w:pPr>
        <w:rPr>
          <w:noProof/>
          <w:sz w:val="20"/>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1F2A4B" w:rsidRPr="00150ABA" w14:paraId="6FA59F0D" w14:textId="77777777" w:rsidTr="001F2A4B">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0B630121" w14:textId="77777777" w:rsidR="001F2A4B" w:rsidRPr="00150ABA" w:rsidRDefault="001F2A4B" w:rsidP="001F2A4B">
            <w:pPr>
              <w:spacing w:before="60" w:after="60"/>
              <w:jc w:val="center"/>
              <w:rPr>
                <w:noProof/>
                <w:sz w:val="20"/>
              </w:rPr>
            </w:pPr>
            <w:r w:rsidRPr="00150ABA">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702EF7AC" w14:textId="77777777" w:rsidR="001F2A4B" w:rsidRPr="00150ABA" w:rsidRDefault="001F2A4B" w:rsidP="001F2A4B">
            <w:pPr>
              <w:spacing w:before="60" w:after="60"/>
              <w:jc w:val="right"/>
              <w:rPr>
                <w:b/>
                <w:noProof/>
                <w:sz w:val="20"/>
              </w:rPr>
            </w:pPr>
            <w:r w:rsidRPr="00150ABA">
              <w:rPr>
                <w:b/>
                <w:noProof/>
                <w:sz w:val="20"/>
              </w:rPr>
              <w:t>0.608</w:t>
            </w:r>
          </w:p>
        </w:tc>
        <w:tc>
          <w:tcPr>
            <w:tcW w:w="1080" w:type="dxa"/>
            <w:tcBorders>
              <w:top w:val="single" w:sz="12" w:space="0" w:color="auto"/>
              <w:left w:val="single" w:sz="2" w:space="0" w:color="auto"/>
              <w:bottom w:val="single" w:sz="12" w:space="0" w:color="auto"/>
              <w:right w:val="single" w:sz="2" w:space="0" w:color="auto"/>
            </w:tcBorders>
            <w:vAlign w:val="center"/>
          </w:tcPr>
          <w:p w14:paraId="54E07386" w14:textId="77777777" w:rsidR="001F2A4B" w:rsidRPr="00150ABA" w:rsidRDefault="001F2A4B" w:rsidP="001F2A4B">
            <w:pPr>
              <w:spacing w:before="60" w:after="60"/>
              <w:jc w:val="right"/>
              <w:rPr>
                <w:b/>
                <w:noProof/>
                <w:sz w:val="20"/>
              </w:rPr>
            </w:pPr>
            <w:r w:rsidRPr="00150ABA">
              <w:rPr>
                <w:b/>
                <w:noProof/>
                <w:sz w:val="20"/>
              </w:rPr>
              <w:t>1.216</w:t>
            </w:r>
          </w:p>
        </w:tc>
        <w:tc>
          <w:tcPr>
            <w:tcW w:w="1080" w:type="dxa"/>
            <w:tcBorders>
              <w:top w:val="single" w:sz="12" w:space="0" w:color="auto"/>
              <w:left w:val="single" w:sz="2" w:space="0" w:color="auto"/>
              <w:bottom w:val="single" w:sz="12" w:space="0" w:color="auto"/>
              <w:right w:val="single" w:sz="2" w:space="0" w:color="auto"/>
            </w:tcBorders>
            <w:vAlign w:val="center"/>
          </w:tcPr>
          <w:p w14:paraId="41BCC734" w14:textId="77777777" w:rsidR="001F2A4B" w:rsidRPr="00150ABA" w:rsidRDefault="001F2A4B" w:rsidP="001F2A4B">
            <w:pPr>
              <w:spacing w:before="60" w:after="60"/>
              <w:jc w:val="right"/>
              <w:rPr>
                <w:b/>
                <w:noProof/>
                <w:sz w:val="20"/>
              </w:rPr>
            </w:pPr>
            <w:r w:rsidRPr="00150ABA">
              <w:rPr>
                <w:b/>
                <w:noProof/>
                <w:sz w:val="20"/>
              </w:rPr>
              <w:t>1.380</w:t>
            </w:r>
          </w:p>
        </w:tc>
        <w:tc>
          <w:tcPr>
            <w:tcW w:w="1080" w:type="dxa"/>
            <w:tcBorders>
              <w:top w:val="single" w:sz="12" w:space="0" w:color="auto"/>
              <w:left w:val="single" w:sz="2" w:space="0" w:color="auto"/>
              <w:bottom w:val="single" w:sz="12" w:space="0" w:color="auto"/>
              <w:right w:val="single" w:sz="2" w:space="0" w:color="auto"/>
            </w:tcBorders>
            <w:vAlign w:val="center"/>
          </w:tcPr>
          <w:p w14:paraId="0232E279" w14:textId="77777777" w:rsidR="001F2A4B" w:rsidRPr="00150ABA" w:rsidRDefault="001F2A4B" w:rsidP="001F2A4B">
            <w:pPr>
              <w:spacing w:before="60" w:after="60"/>
              <w:jc w:val="right"/>
              <w:rPr>
                <w:b/>
                <w:noProof/>
                <w:sz w:val="20"/>
              </w:rPr>
            </w:pPr>
            <w:r w:rsidRPr="00150ABA">
              <w:rPr>
                <w:b/>
                <w:noProof/>
                <w:sz w:val="20"/>
              </w:rPr>
              <w:t>1.380</w:t>
            </w:r>
          </w:p>
        </w:tc>
        <w:tc>
          <w:tcPr>
            <w:tcW w:w="1080" w:type="dxa"/>
            <w:tcBorders>
              <w:top w:val="single" w:sz="12" w:space="0" w:color="auto"/>
              <w:left w:val="single" w:sz="2" w:space="0" w:color="auto"/>
              <w:bottom w:val="single" w:sz="12" w:space="0" w:color="auto"/>
              <w:right w:val="single" w:sz="12" w:space="0" w:color="auto"/>
            </w:tcBorders>
            <w:vAlign w:val="center"/>
          </w:tcPr>
          <w:p w14:paraId="7526E17E" w14:textId="77777777" w:rsidR="001F2A4B" w:rsidRPr="00150ABA" w:rsidRDefault="001F2A4B" w:rsidP="001F2A4B">
            <w:pPr>
              <w:spacing w:before="60" w:after="60"/>
              <w:jc w:val="right"/>
              <w:rPr>
                <w:b/>
                <w:noProof/>
                <w:sz w:val="20"/>
              </w:rPr>
            </w:pPr>
            <w:r w:rsidRPr="00150ABA">
              <w:rPr>
                <w:b/>
                <w:noProof/>
                <w:sz w:val="20"/>
              </w:rPr>
              <w:t>4.584</w:t>
            </w:r>
          </w:p>
        </w:tc>
      </w:tr>
    </w:tbl>
    <w:p w14:paraId="3FD3A571" w14:textId="77777777" w:rsidR="001F2A4B" w:rsidRPr="00150ABA" w:rsidRDefault="001F2A4B" w:rsidP="001F2A4B">
      <w:pPr>
        <w:rPr>
          <w:noProof/>
          <w:u w:val="single"/>
        </w:rPr>
      </w:pPr>
    </w:p>
    <w:p w14:paraId="357EB34C" w14:textId="7568B49F" w:rsidR="001F2A4B" w:rsidRPr="00534A42" w:rsidRDefault="001F2A4B" w:rsidP="001F2A4B">
      <w:pPr>
        <w:rPr>
          <w:noProof/>
          <w:szCs w:val="24"/>
        </w:rPr>
      </w:pPr>
      <w:r w:rsidRPr="00534A42">
        <w:rPr>
          <w:noProof/>
          <w:szCs w:val="24"/>
        </w:rPr>
        <w:t>Staff requirements</w:t>
      </w:r>
      <w:r w:rsidR="007C6231" w:rsidRPr="00534A42">
        <w:rPr>
          <w:rStyle w:val="FootnoteReference"/>
          <w:noProof/>
          <w:szCs w:val="24"/>
        </w:rPr>
        <w:footnoteReference w:id="43"/>
      </w:r>
      <w:r w:rsidRPr="00534A42">
        <w:rPr>
          <w:noProof/>
          <w:szCs w:val="24"/>
        </w:rPr>
        <w:t xml:space="preserve"> (FTE):</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F2A4B" w:rsidRPr="00150ABA" w14:paraId="014F57E1" w14:textId="77777777" w:rsidTr="001F2A4B">
        <w:trPr>
          <w:trHeight w:val="585"/>
          <w:jc w:val="center"/>
        </w:trPr>
        <w:tc>
          <w:tcPr>
            <w:tcW w:w="1980" w:type="dxa"/>
          </w:tcPr>
          <w:p w14:paraId="58B13CE1" w14:textId="77777777" w:rsidR="001F2A4B" w:rsidRPr="00150ABA" w:rsidRDefault="001F2A4B" w:rsidP="001F2A4B">
            <w:pPr>
              <w:spacing w:before="60" w:after="60"/>
              <w:rPr>
                <w:b/>
                <w:noProof/>
                <w:sz w:val="20"/>
              </w:rPr>
            </w:pPr>
            <w:r w:rsidRPr="00150ABA">
              <w:rPr>
                <w:b/>
                <w:noProof/>
                <w:sz w:val="20"/>
              </w:rPr>
              <w:t>eu-LISA</w:t>
            </w:r>
          </w:p>
        </w:tc>
        <w:tc>
          <w:tcPr>
            <w:tcW w:w="1080" w:type="dxa"/>
            <w:vAlign w:val="center"/>
          </w:tcPr>
          <w:p w14:paraId="22796E83" w14:textId="77777777" w:rsidR="001F2A4B" w:rsidRPr="00150ABA" w:rsidRDefault="001F2A4B" w:rsidP="001F2A4B">
            <w:pPr>
              <w:spacing w:before="60" w:after="60"/>
              <w:jc w:val="center"/>
              <w:rPr>
                <w:noProof/>
                <w:sz w:val="20"/>
              </w:rPr>
            </w:pPr>
            <w:r w:rsidRPr="00150ABA">
              <w:rPr>
                <w:noProof/>
                <w:sz w:val="20"/>
              </w:rPr>
              <w:t>Year</w:t>
            </w:r>
            <w:r w:rsidRPr="00150ABA">
              <w:rPr>
                <w:noProof/>
                <w:sz w:val="22"/>
              </w:rPr>
              <w:br/>
            </w:r>
            <w:r w:rsidRPr="00150ABA">
              <w:rPr>
                <w:b/>
                <w:noProof/>
                <w:sz w:val="20"/>
              </w:rPr>
              <w:t>2024</w:t>
            </w:r>
          </w:p>
        </w:tc>
        <w:tc>
          <w:tcPr>
            <w:tcW w:w="1080" w:type="dxa"/>
            <w:vAlign w:val="center"/>
          </w:tcPr>
          <w:p w14:paraId="27916B36" w14:textId="77777777" w:rsidR="001F2A4B" w:rsidRPr="00150ABA" w:rsidRDefault="001F2A4B" w:rsidP="001F2A4B">
            <w:pPr>
              <w:spacing w:before="60" w:after="60"/>
              <w:jc w:val="center"/>
              <w:rPr>
                <w:noProof/>
                <w:sz w:val="20"/>
              </w:rPr>
            </w:pPr>
            <w:r w:rsidRPr="00150ABA">
              <w:rPr>
                <w:noProof/>
                <w:sz w:val="20"/>
              </w:rPr>
              <w:t>Year</w:t>
            </w:r>
            <w:r w:rsidRPr="00150ABA">
              <w:rPr>
                <w:noProof/>
                <w:sz w:val="22"/>
              </w:rPr>
              <w:br/>
            </w:r>
            <w:r w:rsidRPr="00150ABA">
              <w:rPr>
                <w:b/>
                <w:noProof/>
                <w:sz w:val="20"/>
              </w:rPr>
              <w:t>2025</w:t>
            </w:r>
          </w:p>
        </w:tc>
        <w:tc>
          <w:tcPr>
            <w:tcW w:w="1080" w:type="dxa"/>
            <w:vAlign w:val="center"/>
          </w:tcPr>
          <w:p w14:paraId="10CAC55F" w14:textId="77777777" w:rsidR="001F2A4B" w:rsidRPr="00150ABA" w:rsidRDefault="001F2A4B" w:rsidP="001F2A4B">
            <w:pPr>
              <w:spacing w:before="60" w:after="60"/>
              <w:jc w:val="center"/>
              <w:rPr>
                <w:noProof/>
                <w:sz w:val="20"/>
              </w:rPr>
            </w:pPr>
            <w:r w:rsidRPr="00150ABA">
              <w:rPr>
                <w:noProof/>
                <w:sz w:val="20"/>
              </w:rPr>
              <w:t>Year</w:t>
            </w:r>
            <w:r w:rsidRPr="00150ABA">
              <w:rPr>
                <w:noProof/>
                <w:sz w:val="22"/>
              </w:rPr>
              <w:br/>
            </w:r>
            <w:r w:rsidRPr="00150ABA">
              <w:rPr>
                <w:b/>
                <w:noProof/>
                <w:sz w:val="20"/>
              </w:rPr>
              <w:t>2026</w:t>
            </w:r>
          </w:p>
        </w:tc>
        <w:tc>
          <w:tcPr>
            <w:tcW w:w="1080" w:type="dxa"/>
            <w:vAlign w:val="center"/>
          </w:tcPr>
          <w:p w14:paraId="4E027D51" w14:textId="77777777" w:rsidR="001F2A4B" w:rsidRPr="00150ABA" w:rsidRDefault="001F2A4B" w:rsidP="001F2A4B">
            <w:pPr>
              <w:spacing w:before="60" w:after="60"/>
              <w:jc w:val="center"/>
              <w:rPr>
                <w:noProof/>
                <w:sz w:val="20"/>
              </w:rPr>
            </w:pPr>
            <w:r w:rsidRPr="00150ABA">
              <w:rPr>
                <w:noProof/>
                <w:sz w:val="20"/>
              </w:rPr>
              <w:t>Year</w:t>
            </w:r>
            <w:r w:rsidRPr="00150ABA">
              <w:rPr>
                <w:noProof/>
                <w:sz w:val="22"/>
              </w:rPr>
              <w:br/>
            </w:r>
            <w:r w:rsidRPr="00150ABA">
              <w:rPr>
                <w:b/>
                <w:noProof/>
                <w:sz w:val="20"/>
              </w:rPr>
              <w:t>2027</w:t>
            </w:r>
          </w:p>
        </w:tc>
        <w:tc>
          <w:tcPr>
            <w:tcW w:w="1080" w:type="dxa"/>
            <w:vAlign w:val="center"/>
          </w:tcPr>
          <w:p w14:paraId="508E61EB" w14:textId="77777777" w:rsidR="001F2A4B" w:rsidRPr="00150ABA" w:rsidRDefault="001F2A4B" w:rsidP="001F2A4B">
            <w:pPr>
              <w:spacing w:before="60" w:after="60"/>
              <w:jc w:val="center"/>
              <w:rPr>
                <w:b/>
                <w:noProof/>
                <w:sz w:val="20"/>
              </w:rPr>
            </w:pPr>
            <w:r w:rsidRPr="00150ABA">
              <w:rPr>
                <w:b/>
                <w:noProof/>
                <w:sz w:val="18"/>
              </w:rPr>
              <w:t>TOTAL 2024-2027</w:t>
            </w:r>
          </w:p>
        </w:tc>
      </w:tr>
    </w:tbl>
    <w:p w14:paraId="5BEB0E9B" w14:textId="77777777" w:rsidR="001F2A4B" w:rsidRPr="00150ABA" w:rsidRDefault="001F2A4B" w:rsidP="001F2A4B">
      <w:pPr>
        <w:rPr>
          <w:noProof/>
          <w:sz w:val="20"/>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F2A4B" w:rsidRPr="00150ABA" w14:paraId="74E89D31" w14:textId="77777777" w:rsidTr="001F2A4B">
        <w:trPr>
          <w:trHeight w:val="585"/>
          <w:jc w:val="center"/>
        </w:trPr>
        <w:tc>
          <w:tcPr>
            <w:tcW w:w="1980" w:type="dxa"/>
            <w:shd w:val="clear" w:color="auto" w:fill="D9D9D9" w:themeFill="background1" w:themeFillShade="D9"/>
            <w:vAlign w:val="center"/>
          </w:tcPr>
          <w:p w14:paraId="639C2F2B" w14:textId="77777777" w:rsidR="001F2A4B" w:rsidRPr="00150ABA" w:rsidRDefault="001F2A4B" w:rsidP="001F2A4B">
            <w:pPr>
              <w:spacing w:before="60" w:after="60"/>
              <w:jc w:val="center"/>
              <w:rPr>
                <w:noProof/>
              </w:rPr>
            </w:pPr>
            <w:r w:rsidRPr="00150ABA">
              <w:rPr>
                <w:noProof/>
                <w:sz w:val="18"/>
              </w:rPr>
              <w:t>Temporary agents (AD Grades)</w:t>
            </w:r>
          </w:p>
        </w:tc>
        <w:tc>
          <w:tcPr>
            <w:tcW w:w="1080" w:type="dxa"/>
            <w:vAlign w:val="center"/>
          </w:tcPr>
          <w:p w14:paraId="79CA6846" w14:textId="77777777" w:rsidR="001F2A4B" w:rsidRPr="00150ABA" w:rsidRDefault="001F2A4B" w:rsidP="001F2A4B">
            <w:pPr>
              <w:spacing w:before="60" w:after="60"/>
              <w:jc w:val="right"/>
              <w:rPr>
                <w:noProof/>
                <w:sz w:val="20"/>
              </w:rPr>
            </w:pPr>
            <w:r w:rsidRPr="00150ABA">
              <w:rPr>
                <w:noProof/>
                <w:sz w:val="20"/>
              </w:rPr>
              <w:t>4</w:t>
            </w:r>
          </w:p>
        </w:tc>
        <w:tc>
          <w:tcPr>
            <w:tcW w:w="1080" w:type="dxa"/>
            <w:vAlign w:val="center"/>
          </w:tcPr>
          <w:p w14:paraId="650F3598" w14:textId="77777777" w:rsidR="001F2A4B" w:rsidRPr="00150ABA" w:rsidRDefault="001F2A4B" w:rsidP="001F2A4B">
            <w:pPr>
              <w:spacing w:before="60" w:after="60"/>
              <w:jc w:val="right"/>
              <w:rPr>
                <w:noProof/>
                <w:sz w:val="20"/>
              </w:rPr>
            </w:pPr>
            <w:r w:rsidRPr="00150ABA">
              <w:rPr>
                <w:noProof/>
                <w:sz w:val="20"/>
              </w:rPr>
              <w:t>8</w:t>
            </w:r>
          </w:p>
        </w:tc>
        <w:tc>
          <w:tcPr>
            <w:tcW w:w="1080" w:type="dxa"/>
            <w:vAlign w:val="center"/>
          </w:tcPr>
          <w:p w14:paraId="13880547" w14:textId="77777777" w:rsidR="001F2A4B" w:rsidRPr="00150ABA" w:rsidRDefault="001F2A4B" w:rsidP="001F2A4B">
            <w:pPr>
              <w:spacing w:before="60" w:after="60"/>
              <w:jc w:val="right"/>
              <w:rPr>
                <w:noProof/>
                <w:sz w:val="20"/>
              </w:rPr>
            </w:pPr>
            <w:r w:rsidRPr="00150ABA">
              <w:rPr>
                <w:noProof/>
                <w:sz w:val="20"/>
              </w:rPr>
              <w:t>8</w:t>
            </w:r>
          </w:p>
        </w:tc>
        <w:tc>
          <w:tcPr>
            <w:tcW w:w="1080" w:type="dxa"/>
            <w:vAlign w:val="center"/>
          </w:tcPr>
          <w:p w14:paraId="643F2E56" w14:textId="77777777" w:rsidR="001F2A4B" w:rsidRPr="00150ABA" w:rsidRDefault="001F2A4B" w:rsidP="001F2A4B">
            <w:pPr>
              <w:spacing w:before="60" w:after="60"/>
              <w:jc w:val="right"/>
              <w:rPr>
                <w:noProof/>
                <w:sz w:val="20"/>
              </w:rPr>
            </w:pPr>
            <w:r w:rsidRPr="00150ABA">
              <w:rPr>
                <w:noProof/>
                <w:sz w:val="20"/>
              </w:rPr>
              <w:t>8</w:t>
            </w:r>
          </w:p>
        </w:tc>
        <w:tc>
          <w:tcPr>
            <w:tcW w:w="1080" w:type="dxa"/>
            <w:vAlign w:val="center"/>
          </w:tcPr>
          <w:p w14:paraId="66E18643" w14:textId="3E744F30" w:rsidR="001F2A4B" w:rsidRPr="00150ABA" w:rsidRDefault="00E274F4" w:rsidP="00E274F4">
            <w:pPr>
              <w:spacing w:before="60" w:after="60"/>
              <w:jc w:val="right"/>
              <w:rPr>
                <w:b/>
                <w:noProof/>
                <w:sz w:val="20"/>
              </w:rPr>
            </w:pPr>
            <w:r w:rsidRPr="00150ABA">
              <w:rPr>
                <w:b/>
                <w:noProof/>
                <w:sz w:val="20"/>
              </w:rPr>
              <w:t>8</w:t>
            </w:r>
          </w:p>
        </w:tc>
      </w:tr>
      <w:tr w:rsidR="001F2A4B" w:rsidRPr="00150ABA" w14:paraId="0D86EBCA" w14:textId="77777777" w:rsidTr="001F2A4B">
        <w:trPr>
          <w:trHeight w:val="585"/>
          <w:jc w:val="center"/>
        </w:trPr>
        <w:tc>
          <w:tcPr>
            <w:tcW w:w="1980" w:type="dxa"/>
            <w:shd w:val="clear" w:color="auto" w:fill="BFBFBF" w:themeFill="background1" w:themeFillShade="BF"/>
            <w:vAlign w:val="center"/>
          </w:tcPr>
          <w:p w14:paraId="1AE34D60" w14:textId="77777777" w:rsidR="001F2A4B" w:rsidRPr="00150ABA" w:rsidRDefault="001F2A4B" w:rsidP="001F2A4B">
            <w:pPr>
              <w:spacing w:before="60" w:after="60"/>
              <w:ind w:left="72"/>
              <w:rPr>
                <w:noProof/>
              </w:rPr>
            </w:pPr>
            <w:r w:rsidRPr="00150ABA">
              <w:rPr>
                <w:noProof/>
                <w:sz w:val="20"/>
              </w:rPr>
              <w:t>Temporary agents (AST grades)</w:t>
            </w:r>
          </w:p>
        </w:tc>
        <w:tc>
          <w:tcPr>
            <w:tcW w:w="1080" w:type="dxa"/>
            <w:vAlign w:val="center"/>
          </w:tcPr>
          <w:p w14:paraId="1D1C16FF" w14:textId="77777777" w:rsidR="001F2A4B" w:rsidRPr="00150ABA" w:rsidRDefault="001F2A4B" w:rsidP="001F2A4B">
            <w:pPr>
              <w:spacing w:before="60" w:after="60"/>
              <w:jc w:val="right"/>
              <w:rPr>
                <w:noProof/>
                <w:sz w:val="20"/>
              </w:rPr>
            </w:pPr>
          </w:p>
        </w:tc>
        <w:tc>
          <w:tcPr>
            <w:tcW w:w="1080" w:type="dxa"/>
            <w:vAlign w:val="center"/>
          </w:tcPr>
          <w:p w14:paraId="59AAF42D" w14:textId="77777777" w:rsidR="001F2A4B" w:rsidRPr="00150ABA" w:rsidRDefault="001F2A4B" w:rsidP="001F2A4B">
            <w:pPr>
              <w:spacing w:before="60" w:after="60"/>
              <w:jc w:val="right"/>
              <w:rPr>
                <w:noProof/>
                <w:sz w:val="20"/>
              </w:rPr>
            </w:pPr>
          </w:p>
        </w:tc>
        <w:tc>
          <w:tcPr>
            <w:tcW w:w="1080" w:type="dxa"/>
            <w:vAlign w:val="center"/>
          </w:tcPr>
          <w:p w14:paraId="0E663D64" w14:textId="77777777" w:rsidR="001F2A4B" w:rsidRPr="00150ABA" w:rsidRDefault="001F2A4B" w:rsidP="001F2A4B">
            <w:pPr>
              <w:spacing w:before="60" w:after="60"/>
              <w:jc w:val="right"/>
              <w:rPr>
                <w:noProof/>
                <w:sz w:val="20"/>
              </w:rPr>
            </w:pPr>
          </w:p>
        </w:tc>
        <w:tc>
          <w:tcPr>
            <w:tcW w:w="1080" w:type="dxa"/>
            <w:vAlign w:val="center"/>
          </w:tcPr>
          <w:p w14:paraId="034DCD0B" w14:textId="77777777" w:rsidR="001F2A4B" w:rsidRPr="00150ABA" w:rsidRDefault="001F2A4B" w:rsidP="001F2A4B">
            <w:pPr>
              <w:spacing w:before="60" w:after="60"/>
              <w:jc w:val="right"/>
              <w:rPr>
                <w:noProof/>
                <w:sz w:val="20"/>
              </w:rPr>
            </w:pPr>
          </w:p>
        </w:tc>
        <w:tc>
          <w:tcPr>
            <w:tcW w:w="1080" w:type="dxa"/>
            <w:vAlign w:val="center"/>
          </w:tcPr>
          <w:p w14:paraId="5ABFDCD0" w14:textId="77777777" w:rsidR="001F2A4B" w:rsidRPr="00150ABA" w:rsidRDefault="001F2A4B" w:rsidP="001F2A4B">
            <w:pPr>
              <w:spacing w:before="60" w:after="60"/>
              <w:jc w:val="right"/>
              <w:rPr>
                <w:b/>
                <w:noProof/>
                <w:sz w:val="20"/>
              </w:rPr>
            </w:pPr>
          </w:p>
        </w:tc>
      </w:tr>
      <w:tr w:rsidR="001F2A4B" w:rsidRPr="00150ABA" w14:paraId="694BA10B" w14:textId="77777777" w:rsidTr="001F2A4B">
        <w:trPr>
          <w:trHeight w:val="585"/>
          <w:jc w:val="center"/>
        </w:trPr>
        <w:tc>
          <w:tcPr>
            <w:tcW w:w="1980" w:type="dxa"/>
            <w:shd w:val="clear" w:color="auto" w:fill="BFBFBF" w:themeFill="background1" w:themeFillShade="BF"/>
            <w:vAlign w:val="center"/>
          </w:tcPr>
          <w:p w14:paraId="0C104ECC" w14:textId="77777777" w:rsidR="001F2A4B" w:rsidRPr="00150ABA" w:rsidRDefault="001F2A4B" w:rsidP="001F2A4B">
            <w:pPr>
              <w:spacing w:before="60" w:after="60"/>
              <w:ind w:left="72"/>
              <w:rPr>
                <w:noProof/>
              </w:rPr>
            </w:pPr>
            <w:r w:rsidRPr="00150ABA">
              <w:rPr>
                <w:noProof/>
                <w:sz w:val="20"/>
              </w:rPr>
              <w:t>Contract staff</w:t>
            </w:r>
          </w:p>
        </w:tc>
        <w:tc>
          <w:tcPr>
            <w:tcW w:w="1080" w:type="dxa"/>
            <w:shd w:val="clear" w:color="auto" w:fill="FFFFFF" w:themeFill="background1"/>
            <w:vAlign w:val="center"/>
          </w:tcPr>
          <w:p w14:paraId="68AB943D"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1962E7D7" w14:textId="77777777" w:rsidR="001F2A4B" w:rsidRPr="00150ABA" w:rsidRDefault="001F2A4B" w:rsidP="001F2A4B">
            <w:pPr>
              <w:spacing w:before="60" w:after="60"/>
              <w:jc w:val="right"/>
              <w:rPr>
                <w:noProof/>
                <w:sz w:val="20"/>
              </w:rPr>
            </w:pPr>
          </w:p>
        </w:tc>
        <w:tc>
          <w:tcPr>
            <w:tcW w:w="1080" w:type="dxa"/>
            <w:shd w:val="clear" w:color="auto" w:fill="FFFFFF" w:themeFill="background1"/>
            <w:vAlign w:val="center"/>
          </w:tcPr>
          <w:p w14:paraId="0264EA5E" w14:textId="77777777" w:rsidR="001F2A4B" w:rsidRPr="00150ABA" w:rsidRDefault="001F2A4B" w:rsidP="001F2A4B">
            <w:pPr>
              <w:spacing w:before="60" w:after="60"/>
              <w:jc w:val="right"/>
              <w:rPr>
                <w:noProof/>
                <w:sz w:val="20"/>
              </w:rPr>
            </w:pPr>
            <w:r w:rsidRPr="00150ABA">
              <w:rPr>
                <w:noProof/>
                <w:sz w:val="20"/>
              </w:rPr>
              <w:t>2</w:t>
            </w:r>
          </w:p>
        </w:tc>
        <w:tc>
          <w:tcPr>
            <w:tcW w:w="1080" w:type="dxa"/>
            <w:shd w:val="clear" w:color="auto" w:fill="FFFFFF" w:themeFill="background1"/>
            <w:vAlign w:val="center"/>
          </w:tcPr>
          <w:p w14:paraId="747FC1A8" w14:textId="77777777" w:rsidR="001F2A4B" w:rsidRPr="00150ABA" w:rsidRDefault="001F2A4B" w:rsidP="001F2A4B">
            <w:pPr>
              <w:spacing w:before="60" w:after="60"/>
              <w:jc w:val="right"/>
              <w:rPr>
                <w:noProof/>
                <w:sz w:val="20"/>
              </w:rPr>
            </w:pPr>
            <w:r w:rsidRPr="00150ABA">
              <w:rPr>
                <w:noProof/>
                <w:sz w:val="20"/>
              </w:rPr>
              <w:t>2</w:t>
            </w:r>
          </w:p>
        </w:tc>
        <w:tc>
          <w:tcPr>
            <w:tcW w:w="1080" w:type="dxa"/>
            <w:shd w:val="clear" w:color="auto" w:fill="FFFFFF" w:themeFill="background1"/>
            <w:vAlign w:val="center"/>
          </w:tcPr>
          <w:p w14:paraId="64353BFF" w14:textId="04F8ACB9" w:rsidR="001F2A4B" w:rsidRPr="00150ABA" w:rsidRDefault="00E274F4" w:rsidP="001F2A4B">
            <w:pPr>
              <w:spacing w:before="60" w:after="60"/>
              <w:jc w:val="right"/>
              <w:rPr>
                <w:b/>
                <w:noProof/>
                <w:sz w:val="20"/>
              </w:rPr>
            </w:pPr>
            <w:r w:rsidRPr="00150ABA">
              <w:rPr>
                <w:b/>
                <w:noProof/>
                <w:sz w:val="20"/>
              </w:rPr>
              <w:t>2</w:t>
            </w:r>
          </w:p>
        </w:tc>
      </w:tr>
      <w:tr w:rsidR="001F2A4B" w:rsidRPr="00150ABA" w14:paraId="5A2D4FDA" w14:textId="77777777" w:rsidTr="001F2A4B">
        <w:trPr>
          <w:trHeight w:val="585"/>
          <w:jc w:val="center"/>
        </w:trPr>
        <w:tc>
          <w:tcPr>
            <w:tcW w:w="1980" w:type="dxa"/>
            <w:shd w:val="clear" w:color="auto" w:fill="CCCCCC"/>
            <w:vAlign w:val="center"/>
          </w:tcPr>
          <w:p w14:paraId="156E030F" w14:textId="77777777" w:rsidR="001F2A4B" w:rsidRPr="00150ABA" w:rsidRDefault="001F2A4B" w:rsidP="001F2A4B">
            <w:pPr>
              <w:spacing w:before="60" w:after="60"/>
              <w:jc w:val="center"/>
              <w:rPr>
                <w:noProof/>
              </w:rPr>
            </w:pPr>
            <w:r w:rsidRPr="00150ABA">
              <w:rPr>
                <w:noProof/>
                <w:sz w:val="18"/>
              </w:rPr>
              <w:t>Seconded National Experts</w:t>
            </w:r>
          </w:p>
        </w:tc>
        <w:tc>
          <w:tcPr>
            <w:tcW w:w="1080" w:type="dxa"/>
            <w:vAlign w:val="center"/>
          </w:tcPr>
          <w:p w14:paraId="387804AE" w14:textId="77777777" w:rsidR="001F2A4B" w:rsidRPr="00150ABA" w:rsidRDefault="001F2A4B" w:rsidP="001F2A4B">
            <w:pPr>
              <w:spacing w:before="60" w:after="60"/>
              <w:jc w:val="right"/>
              <w:rPr>
                <w:noProof/>
                <w:sz w:val="20"/>
              </w:rPr>
            </w:pPr>
          </w:p>
        </w:tc>
        <w:tc>
          <w:tcPr>
            <w:tcW w:w="1080" w:type="dxa"/>
            <w:vAlign w:val="center"/>
          </w:tcPr>
          <w:p w14:paraId="6F5863D2" w14:textId="77777777" w:rsidR="001F2A4B" w:rsidRPr="00150ABA" w:rsidRDefault="001F2A4B" w:rsidP="001F2A4B">
            <w:pPr>
              <w:spacing w:before="60" w:after="60"/>
              <w:jc w:val="right"/>
              <w:rPr>
                <w:noProof/>
                <w:sz w:val="20"/>
              </w:rPr>
            </w:pPr>
          </w:p>
        </w:tc>
        <w:tc>
          <w:tcPr>
            <w:tcW w:w="1080" w:type="dxa"/>
            <w:vAlign w:val="center"/>
          </w:tcPr>
          <w:p w14:paraId="2CFA5C9C" w14:textId="77777777" w:rsidR="001F2A4B" w:rsidRPr="00150ABA" w:rsidRDefault="001F2A4B" w:rsidP="001F2A4B">
            <w:pPr>
              <w:spacing w:before="60" w:after="60"/>
              <w:jc w:val="right"/>
              <w:rPr>
                <w:noProof/>
                <w:sz w:val="20"/>
              </w:rPr>
            </w:pPr>
          </w:p>
        </w:tc>
        <w:tc>
          <w:tcPr>
            <w:tcW w:w="1080" w:type="dxa"/>
            <w:vAlign w:val="center"/>
          </w:tcPr>
          <w:p w14:paraId="1BBFA71D" w14:textId="77777777" w:rsidR="001F2A4B" w:rsidRPr="00150ABA" w:rsidRDefault="001F2A4B" w:rsidP="001F2A4B">
            <w:pPr>
              <w:spacing w:before="60" w:after="60"/>
              <w:jc w:val="right"/>
              <w:rPr>
                <w:noProof/>
                <w:sz w:val="20"/>
              </w:rPr>
            </w:pPr>
          </w:p>
        </w:tc>
        <w:tc>
          <w:tcPr>
            <w:tcW w:w="1080" w:type="dxa"/>
            <w:vAlign w:val="center"/>
          </w:tcPr>
          <w:p w14:paraId="227AC03B" w14:textId="77777777" w:rsidR="001F2A4B" w:rsidRPr="00150ABA" w:rsidRDefault="001F2A4B" w:rsidP="001F2A4B">
            <w:pPr>
              <w:spacing w:before="60" w:after="60"/>
              <w:jc w:val="right"/>
              <w:rPr>
                <w:b/>
                <w:noProof/>
                <w:sz w:val="20"/>
              </w:rPr>
            </w:pPr>
          </w:p>
        </w:tc>
      </w:tr>
    </w:tbl>
    <w:p w14:paraId="175D55C9" w14:textId="77777777" w:rsidR="001F2A4B" w:rsidRPr="00150ABA" w:rsidRDefault="001F2A4B" w:rsidP="001F2A4B">
      <w:pPr>
        <w:rPr>
          <w:noProof/>
          <w:sz w:val="20"/>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1F2A4B" w:rsidRPr="00150ABA" w14:paraId="763DB6A1" w14:textId="77777777" w:rsidTr="001F2A4B">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72B0AF99" w14:textId="77777777" w:rsidR="001F2A4B" w:rsidRPr="00150ABA" w:rsidRDefault="001F2A4B" w:rsidP="001F2A4B">
            <w:pPr>
              <w:spacing w:before="60" w:after="60"/>
              <w:jc w:val="center"/>
              <w:rPr>
                <w:noProof/>
                <w:sz w:val="20"/>
              </w:rPr>
            </w:pPr>
            <w:r w:rsidRPr="00150ABA">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7F4D6788" w14:textId="77777777" w:rsidR="001F2A4B" w:rsidRPr="00150ABA" w:rsidRDefault="001F2A4B" w:rsidP="001F2A4B">
            <w:pPr>
              <w:spacing w:before="60" w:after="60"/>
              <w:jc w:val="right"/>
              <w:rPr>
                <w:b/>
                <w:noProof/>
                <w:sz w:val="20"/>
              </w:rPr>
            </w:pPr>
            <w:r w:rsidRPr="00150ABA">
              <w:rPr>
                <w:b/>
                <w:noProof/>
                <w:sz w:val="20"/>
              </w:rPr>
              <w:t>4</w:t>
            </w:r>
          </w:p>
        </w:tc>
        <w:tc>
          <w:tcPr>
            <w:tcW w:w="1080" w:type="dxa"/>
            <w:tcBorders>
              <w:top w:val="single" w:sz="12" w:space="0" w:color="auto"/>
              <w:left w:val="single" w:sz="2" w:space="0" w:color="auto"/>
              <w:bottom w:val="single" w:sz="12" w:space="0" w:color="auto"/>
              <w:right w:val="single" w:sz="2" w:space="0" w:color="auto"/>
            </w:tcBorders>
            <w:vAlign w:val="center"/>
          </w:tcPr>
          <w:p w14:paraId="5789BC6C" w14:textId="77777777" w:rsidR="001F2A4B" w:rsidRPr="00150ABA" w:rsidRDefault="001F2A4B" w:rsidP="001F2A4B">
            <w:pPr>
              <w:spacing w:before="60" w:after="60"/>
              <w:jc w:val="right"/>
              <w:rPr>
                <w:b/>
                <w:noProof/>
                <w:sz w:val="20"/>
              </w:rPr>
            </w:pPr>
            <w:r w:rsidRPr="00150ABA">
              <w:rPr>
                <w:b/>
                <w:noProof/>
                <w:sz w:val="20"/>
              </w:rPr>
              <w:t>8</w:t>
            </w:r>
          </w:p>
        </w:tc>
        <w:tc>
          <w:tcPr>
            <w:tcW w:w="1080" w:type="dxa"/>
            <w:tcBorders>
              <w:top w:val="single" w:sz="12" w:space="0" w:color="auto"/>
              <w:left w:val="single" w:sz="2" w:space="0" w:color="auto"/>
              <w:bottom w:val="single" w:sz="12" w:space="0" w:color="auto"/>
              <w:right w:val="single" w:sz="2" w:space="0" w:color="auto"/>
            </w:tcBorders>
            <w:vAlign w:val="center"/>
          </w:tcPr>
          <w:p w14:paraId="5A0E6A5A" w14:textId="77777777" w:rsidR="001F2A4B" w:rsidRPr="00150ABA" w:rsidRDefault="001F2A4B" w:rsidP="001F2A4B">
            <w:pPr>
              <w:spacing w:before="60" w:after="60"/>
              <w:jc w:val="right"/>
              <w:rPr>
                <w:b/>
                <w:noProof/>
                <w:sz w:val="20"/>
              </w:rPr>
            </w:pPr>
            <w:r w:rsidRPr="00150ABA">
              <w:rPr>
                <w:b/>
                <w:noProof/>
                <w:sz w:val="20"/>
              </w:rPr>
              <w:t>10</w:t>
            </w:r>
          </w:p>
        </w:tc>
        <w:tc>
          <w:tcPr>
            <w:tcW w:w="1080" w:type="dxa"/>
            <w:tcBorders>
              <w:top w:val="single" w:sz="12" w:space="0" w:color="auto"/>
              <w:left w:val="single" w:sz="2" w:space="0" w:color="auto"/>
              <w:bottom w:val="single" w:sz="12" w:space="0" w:color="auto"/>
              <w:right w:val="single" w:sz="2" w:space="0" w:color="auto"/>
            </w:tcBorders>
            <w:vAlign w:val="center"/>
          </w:tcPr>
          <w:p w14:paraId="7612E6D8" w14:textId="77777777" w:rsidR="001F2A4B" w:rsidRPr="00150ABA" w:rsidRDefault="001F2A4B" w:rsidP="001F2A4B">
            <w:pPr>
              <w:spacing w:before="60" w:after="60"/>
              <w:jc w:val="right"/>
              <w:rPr>
                <w:b/>
                <w:noProof/>
                <w:sz w:val="20"/>
              </w:rPr>
            </w:pPr>
            <w:r w:rsidRPr="00150ABA">
              <w:rPr>
                <w:b/>
                <w:noProof/>
                <w:sz w:val="20"/>
              </w:rPr>
              <w:t>10</w:t>
            </w:r>
          </w:p>
        </w:tc>
        <w:tc>
          <w:tcPr>
            <w:tcW w:w="1080" w:type="dxa"/>
            <w:tcBorders>
              <w:top w:val="single" w:sz="12" w:space="0" w:color="auto"/>
              <w:left w:val="single" w:sz="2" w:space="0" w:color="auto"/>
              <w:bottom w:val="single" w:sz="12" w:space="0" w:color="auto"/>
              <w:right w:val="single" w:sz="12" w:space="0" w:color="auto"/>
            </w:tcBorders>
            <w:vAlign w:val="center"/>
          </w:tcPr>
          <w:p w14:paraId="4E2ED8BD" w14:textId="553C2161" w:rsidR="001F2A4B" w:rsidRPr="00150ABA" w:rsidRDefault="00E274F4" w:rsidP="00E274F4">
            <w:pPr>
              <w:spacing w:before="60" w:after="60"/>
              <w:jc w:val="right"/>
              <w:rPr>
                <w:b/>
                <w:noProof/>
                <w:sz w:val="20"/>
              </w:rPr>
            </w:pPr>
            <w:r w:rsidRPr="00150ABA">
              <w:rPr>
                <w:b/>
                <w:noProof/>
                <w:sz w:val="20"/>
              </w:rPr>
              <w:t>10</w:t>
            </w:r>
          </w:p>
        </w:tc>
      </w:tr>
    </w:tbl>
    <w:p w14:paraId="389434E0" w14:textId="77777777" w:rsidR="001F2A4B" w:rsidRPr="00150ABA" w:rsidRDefault="001F2A4B" w:rsidP="001F2A4B">
      <w:pPr>
        <w:rPr>
          <w:noProof/>
          <w:u w:val="single"/>
        </w:rPr>
      </w:pPr>
    </w:p>
    <w:p w14:paraId="28BD4EEB" w14:textId="6B0B2F5D" w:rsidR="001F2A4B" w:rsidRPr="00150ABA" w:rsidRDefault="001F2A4B" w:rsidP="001F2A4B">
      <w:pPr>
        <w:rPr>
          <w:noProof/>
          <w:szCs w:val="24"/>
          <w:u w:val="single"/>
        </w:rPr>
      </w:pPr>
      <w:r w:rsidRPr="00150ABA">
        <w:rPr>
          <w:noProof/>
          <w:szCs w:val="24"/>
        </w:rPr>
        <w:t xml:space="preserve">Recruitement dates are planned at beginning of the year. No assumptions have been made for a potential increase of the salary indexation or the correction coefficient applicable to </w:t>
      </w:r>
      <w:r w:rsidR="00E274F4" w:rsidRPr="00150ABA">
        <w:rPr>
          <w:noProof/>
          <w:szCs w:val="24"/>
        </w:rPr>
        <w:t xml:space="preserve">Estonia and </w:t>
      </w:r>
      <w:r w:rsidRPr="00150ABA">
        <w:rPr>
          <w:noProof/>
          <w:szCs w:val="24"/>
        </w:rPr>
        <w:t xml:space="preserve">France. </w:t>
      </w:r>
    </w:p>
    <w:p w14:paraId="0189432C" w14:textId="77777777" w:rsidR="001F2A4B" w:rsidRPr="00150ABA" w:rsidRDefault="001F2A4B" w:rsidP="001F2A4B">
      <w:pPr>
        <w:rPr>
          <w:noProof/>
        </w:rPr>
      </w:pPr>
      <w:r w:rsidRPr="00150ABA">
        <w:rPr>
          <w:noProof/>
        </w:rPr>
        <w:t>Staff required for the SPECIFIC OBJECTIVE No 1 - to develop the JITs collaboration platform:</w:t>
      </w:r>
    </w:p>
    <w:tbl>
      <w:tblPr>
        <w:tblW w:w="4643" w:type="pct"/>
        <w:jc w:val="center"/>
        <w:tblLook w:val="04A0" w:firstRow="1" w:lastRow="0" w:firstColumn="1" w:lastColumn="0" w:noHBand="0" w:noVBand="1"/>
      </w:tblPr>
      <w:tblGrid>
        <w:gridCol w:w="5161"/>
        <w:gridCol w:w="1445"/>
        <w:gridCol w:w="2018"/>
      </w:tblGrid>
      <w:tr w:rsidR="001F2A4B" w:rsidRPr="00150ABA" w14:paraId="494CDF7C" w14:textId="77777777" w:rsidTr="001F2A4B">
        <w:trPr>
          <w:trHeight w:val="552"/>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09E2B280" w14:textId="77777777" w:rsidR="001F2A4B" w:rsidRPr="00150ABA" w:rsidRDefault="001F2A4B" w:rsidP="001F2A4B">
            <w:pPr>
              <w:rPr>
                <w:rFonts w:ascii="Roboto" w:hAnsi="Roboto"/>
                <w:b/>
                <w:bCs/>
                <w:noProof/>
                <w:sz w:val="18"/>
                <w:szCs w:val="18"/>
              </w:rPr>
            </w:pPr>
            <w:r w:rsidRPr="00150ABA">
              <w:rPr>
                <w:rFonts w:ascii="Roboto" w:hAnsi="Roboto"/>
                <w:b/>
                <w:bCs/>
                <w:noProof/>
                <w:sz w:val="18"/>
                <w:szCs w:val="18"/>
              </w:rPr>
              <w:t>Profile</w:t>
            </w:r>
          </w:p>
        </w:tc>
        <w:tc>
          <w:tcPr>
            <w:tcW w:w="83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E67EDD"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No.</w:t>
            </w:r>
          </w:p>
        </w:tc>
        <w:tc>
          <w:tcPr>
            <w:tcW w:w="1170" w:type="pct"/>
            <w:tcBorders>
              <w:top w:val="single" w:sz="4" w:space="0" w:color="auto"/>
              <w:left w:val="nil"/>
              <w:bottom w:val="single" w:sz="4" w:space="0" w:color="auto"/>
              <w:right w:val="single" w:sz="4" w:space="0" w:color="auto"/>
            </w:tcBorders>
            <w:shd w:val="clear" w:color="auto" w:fill="auto"/>
            <w:vAlign w:val="center"/>
            <w:hideMark/>
          </w:tcPr>
          <w:p w14:paraId="1D9DC9A1"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Type</w:t>
            </w:r>
          </w:p>
        </w:tc>
      </w:tr>
      <w:tr w:rsidR="001F2A4B" w:rsidRPr="00150ABA" w14:paraId="66660273"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25266227" w14:textId="77777777" w:rsidR="001F2A4B" w:rsidRPr="00150ABA" w:rsidRDefault="001F2A4B" w:rsidP="001F2A4B">
            <w:pPr>
              <w:rPr>
                <w:rFonts w:ascii="Roboto" w:hAnsi="Roboto"/>
                <w:noProof/>
                <w:sz w:val="18"/>
                <w:szCs w:val="18"/>
              </w:rPr>
            </w:pPr>
            <w:r w:rsidRPr="00150ABA">
              <w:rPr>
                <w:rFonts w:ascii="Roboto" w:hAnsi="Roboto"/>
                <w:noProof/>
                <w:sz w:val="18"/>
                <w:szCs w:val="18"/>
              </w:rPr>
              <w:t>IT Officer - Architecture</w:t>
            </w:r>
          </w:p>
        </w:tc>
        <w:tc>
          <w:tcPr>
            <w:tcW w:w="838" w:type="pct"/>
            <w:tcBorders>
              <w:top w:val="nil"/>
              <w:left w:val="nil"/>
              <w:bottom w:val="single" w:sz="4" w:space="0" w:color="auto"/>
              <w:right w:val="single" w:sz="4" w:space="0" w:color="auto"/>
            </w:tcBorders>
            <w:shd w:val="clear" w:color="auto" w:fill="auto"/>
            <w:vAlign w:val="center"/>
            <w:hideMark/>
          </w:tcPr>
          <w:p w14:paraId="4C903E4B"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1</w:t>
            </w:r>
          </w:p>
        </w:tc>
        <w:tc>
          <w:tcPr>
            <w:tcW w:w="1170" w:type="pct"/>
            <w:tcBorders>
              <w:top w:val="nil"/>
              <w:left w:val="nil"/>
              <w:bottom w:val="single" w:sz="4" w:space="0" w:color="auto"/>
              <w:right w:val="single" w:sz="4" w:space="0" w:color="auto"/>
            </w:tcBorders>
            <w:shd w:val="clear" w:color="auto" w:fill="auto"/>
            <w:vAlign w:val="center"/>
            <w:hideMark/>
          </w:tcPr>
          <w:p w14:paraId="54B2B210"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7CE0B82C"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7278F288" w14:textId="77777777" w:rsidR="001F2A4B" w:rsidRPr="00150ABA" w:rsidRDefault="001F2A4B" w:rsidP="001F2A4B">
            <w:pPr>
              <w:rPr>
                <w:rFonts w:ascii="Roboto" w:hAnsi="Roboto"/>
                <w:noProof/>
                <w:sz w:val="18"/>
                <w:szCs w:val="18"/>
              </w:rPr>
            </w:pPr>
            <w:r w:rsidRPr="00150ABA">
              <w:rPr>
                <w:rFonts w:ascii="Roboto" w:hAnsi="Roboto"/>
                <w:noProof/>
                <w:sz w:val="18"/>
                <w:szCs w:val="18"/>
              </w:rPr>
              <w:t>Test Management</w:t>
            </w:r>
          </w:p>
        </w:tc>
        <w:tc>
          <w:tcPr>
            <w:tcW w:w="838" w:type="pct"/>
            <w:tcBorders>
              <w:top w:val="nil"/>
              <w:left w:val="nil"/>
              <w:bottom w:val="single" w:sz="4" w:space="0" w:color="auto"/>
              <w:right w:val="single" w:sz="4" w:space="0" w:color="auto"/>
            </w:tcBorders>
            <w:shd w:val="clear" w:color="auto" w:fill="auto"/>
            <w:vAlign w:val="center"/>
          </w:tcPr>
          <w:p w14:paraId="24FD35CE"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 xml:space="preserve">1 </w:t>
            </w:r>
          </w:p>
        </w:tc>
        <w:tc>
          <w:tcPr>
            <w:tcW w:w="1170" w:type="pct"/>
            <w:tcBorders>
              <w:top w:val="nil"/>
              <w:left w:val="nil"/>
              <w:bottom w:val="single" w:sz="4" w:space="0" w:color="auto"/>
              <w:right w:val="single" w:sz="4" w:space="0" w:color="auto"/>
            </w:tcBorders>
            <w:shd w:val="clear" w:color="auto" w:fill="auto"/>
          </w:tcPr>
          <w:p w14:paraId="2105F6FB"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33BA276D" w14:textId="77777777" w:rsidTr="001F2A4B">
        <w:trPr>
          <w:trHeight w:val="288"/>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54066AA4" w14:textId="77777777" w:rsidR="001F2A4B" w:rsidRPr="00150ABA" w:rsidRDefault="001F2A4B" w:rsidP="001F2A4B">
            <w:pPr>
              <w:rPr>
                <w:rFonts w:ascii="Roboto" w:hAnsi="Roboto"/>
                <w:noProof/>
                <w:sz w:val="18"/>
                <w:szCs w:val="18"/>
              </w:rPr>
            </w:pPr>
            <w:r w:rsidRPr="00150ABA">
              <w:rPr>
                <w:rFonts w:ascii="Roboto" w:hAnsi="Roboto"/>
                <w:noProof/>
                <w:sz w:val="18"/>
                <w:szCs w:val="18"/>
              </w:rPr>
              <w:t>Network Management</w:t>
            </w:r>
          </w:p>
        </w:tc>
        <w:tc>
          <w:tcPr>
            <w:tcW w:w="838" w:type="pct"/>
            <w:tcBorders>
              <w:top w:val="single" w:sz="4" w:space="0" w:color="auto"/>
              <w:left w:val="nil"/>
              <w:bottom w:val="single" w:sz="4" w:space="0" w:color="auto"/>
              <w:right w:val="single" w:sz="4" w:space="0" w:color="auto"/>
            </w:tcBorders>
            <w:shd w:val="clear" w:color="auto" w:fill="auto"/>
            <w:vAlign w:val="center"/>
          </w:tcPr>
          <w:p w14:paraId="1535FCC2"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1</w:t>
            </w:r>
          </w:p>
        </w:tc>
        <w:tc>
          <w:tcPr>
            <w:tcW w:w="1170" w:type="pct"/>
            <w:tcBorders>
              <w:top w:val="single" w:sz="4" w:space="0" w:color="auto"/>
              <w:left w:val="nil"/>
              <w:bottom w:val="single" w:sz="4" w:space="0" w:color="auto"/>
              <w:right w:val="single" w:sz="4" w:space="0" w:color="auto"/>
            </w:tcBorders>
            <w:shd w:val="clear" w:color="auto" w:fill="auto"/>
          </w:tcPr>
          <w:p w14:paraId="532E5686"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4BA2F530"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078744C9" w14:textId="77777777" w:rsidR="001F2A4B" w:rsidRPr="00150ABA" w:rsidRDefault="001F2A4B" w:rsidP="001F2A4B">
            <w:pPr>
              <w:rPr>
                <w:rFonts w:ascii="Roboto" w:hAnsi="Roboto"/>
                <w:noProof/>
                <w:sz w:val="18"/>
                <w:szCs w:val="18"/>
              </w:rPr>
            </w:pPr>
            <w:r w:rsidRPr="00150ABA">
              <w:rPr>
                <w:rFonts w:ascii="Roboto" w:hAnsi="Roboto"/>
                <w:noProof/>
                <w:sz w:val="18"/>
                <w:szCs w:val="18"/>
              </w:rPr>
              <w:t xml:space="preserve">Security Management </w:t>
            </w:r>
          </w:p>
        </w:tc>
        <w:tc>
          <w:tcPr>
            <w:tcW w:w="838" w:type="pct"/>
            <w:tcBorders>
              <w:top w:val="nil"/>
              <w:left w:val="single" w:sz="8" w:space="0" w:color="auto"/>
              <w:bottom w:val="single" w:sz="4" w:space="0" w:color="auto"/>
              <w:right w:val="single" w:sz="4" w:space="0" w:color="auto"/>
            </w:tcBorders>
            <w:shd w:val="clear" w:color="auto" w:fill="auto"/>
            <w:vAlign w:val="center"/>
            <w:hideMark/>
          </w:tcPr>
          <w:p w14:paraId="6B6691BB"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1</w:t>
            </w:r>
          </w:p>
        </w:tc>
        <w:tc>
          <w:tcPr>
            <w:tcW w:w="1170" w:type="pct"/>
            <w:tcBorders>
              <w:top w:val="nil"/>
              <w:left w:val="nil"/>
              <w:bottom w:val="single" w:sz="4" w:space="0" w:color="auto"/>
              <w:right w:val="single" w:sz="4" w:space="0" w:color="auto"/>
            </w:tcBorders>
            <w:shd w:val="clear" w:color="auto" w:fill="auto"/>
            <w:hideMark/>
          </w:tcPr>
          <w:p w14:paraId="58F1B469"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2840F1D1" w14:textId="77777777" w:rsidTr="001F2A4B">
        <w:trPr>
          <w:trHeight w:val="300"/>
          <w:jc w:val="center"/>
        </w:trPr>
        <w:tc>
          <w:tcPr>
            <w:tcW w:w="2992" w:type="pct"/>
            <w:tcBorders>
              <w:top w:val="nil"/>
              <w:left w:val="single" w:sz="4" w:space="0" w:color="auto"/>
              <w:bottom w:val="single" w:sz="4" w:space="0" w:color="auto"/>
              <w:right w:val="single" w:sz="8" w:space="0" w:color="auto"/>
            </w:tcBorders>
            <w:shd w:val="clear" w:color="auto" w:fill="auto"/>
            <w:vAlign w:val="center"/>
          </w:tcPr>
          <w:p w14:paraId="45A5127F" w14:textId="77777777" w:rsidR="001F2A4B" w:rsidRPr="00150ABA" w:rsidRDefault="001F2A4B" w:rsidP="001F2A4B">
            <w:pPr>
              <w:rPr>
                <w:rFonts w:ascii="Roboto" w:hAnsi="Roboto"/>
                <w:noProof/>
                <w:sz w:val="18"/>
                <w:szCs w:val="18"/>
              </w:rPr>
            </w:pPr>
            <w:r w:rsidRPr="00150ABA">
              <w:rPr>
                <w:rFonts w:ascii="Roboto" w:hAnsi="Roboto"/>
                <w:noProof/>
                <w:sz w:val="18"/>
                <w:szCs w:val="18"/>
              </w:rPr>
              <w:t>Infrastructure Management</w:t>
            </w:r>
          </w:p>
        </w:tc>
        <w:tc>
          <w:tcPr>
            <w:tcW w:w="838" w:type="pct"/>
            <w:tcBorders>
              <w:top w:val="nil"/>
              <w:left w:val="nil"/>
              <w:bottom w:val="single" w:sz="4" w:space="0" w:color="auto"/>
              <w:right w:val="single" w:sz="4" w:space="0" w:color="auto"/>
            </w:tcBorders>
            <w:shd w:val="clear" w:color="auto" w:fill="auto"/>
            <w:vAlign w:val="center"/>
          </w:tcPr>
          <w:p w14:paraId="68C366BB"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0.5</w:t>
            </w:r>
          </w:p>
        </w:tc>
        <w:tc>
          <w:tcPr>
            <w:tcW w:w="1170" w:type="pct"/>
            <w:tcBorders>
              <w:top w:val="nil"/>
              <w:left w:val="nil"/>
              <w:bottom w:val="single" w:sz="4" w:space="0" w:color="auto"/>
              <w:right w:val="single" w:sz="4" w:space="0" w:color="auto"/>
            </w:tcBorders>
            <w:shd w:val="clear" w:color="auto" w:fill="auto"/>
          </w:tcPr>
          <w:p w14:paraId="2B48F08C"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57D928D9" w14:textId="77777777" w:rsidTr="001F2A4B">
        <w:trPr>
          <w:trHeight w:val="552"/>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5E89B94A" w14:textId="77777777" w:rsidR="001F2A4B" w:rsidRPr="00150ABA" w:rsidRDefault="001F2A4B" w:rsidP="001F2A4B">
            <w:pPr>
              <w:rPr>
                <w:rFonts w:ascii="Roboto" w:hAnsi="Roboto"/>
                <w:noProof/>
                <w:sz w:val="18"/>
                <w:szCs w:val="18"/>
              </w:rPr>
            </w:pPr>
            <w:r w:rsidRPr="00150ABA">
              <w:rPr>
                <w:rFonts w:ascii="Roboto" w:hAnsi="Roboto"/>
                <w:noProof/>
                <w:sz w:val="18"/>
                <w:szCs w:val="18"/>
              </w:rPr>
              <w:t xml:space="preserve">Programme and Project management </w:t>
            </w:r>
          </w:p>
        </w:tc>
        <w:tc>
          <w:tcPr>
            <w:tcW w:w="838" w:type="pct"/>
            <w:tcBorders>
              <w:top w:val="nil"/>
              <w:left w:val="nil"/>
              <w:bottom w:val="single" w:sz="4" w:space="0" w:color="auto"/>
              <w:right w:val="single" w:sz="4" w:space="0" w:color="auto"/>
            </w:tcBorders>
            <w:shd w:val="clear" w:color="auto" w:fill="auto"/>
            <w:vAlign w:val="center"/>
            <w:hideMark/>
          </w:tcPr>
          <w:p w14:paraId="649627F8"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1</w:t>
            </w:r>
          </w:p>
        </w:tc>
        <w:tc>
          <w:tcPr>
            <w:tcW w:w="1170" w:type="pct"/>
            <w:tcBorders>
              <w:top w:val="nil"/>
              <w:left w:val="nil"/>
              <w:bottom w:val="single" w:sz="4" w:space="0" w:color="auto"/>
              <w:right w:val="single" w:sz="4" w:space="0" w:color="auto"/>
            </w:tcBorders>
            <w:shd w:val="clear" w:color="auto" w:fill="auto"/>
            <w:hideMark/>
          </w:tcPr>
          <w:p w14:paraId="6F8837FF"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71FADC25"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4100E65F" w14:textId="77777777" w:rsidR="001F2A4B" w:rsidRPr="00150ABA" w:rsidRDefault="001F2A4B" w:rsidP="001F2A4B">
            <w:pPr>
              <w:rPr>
                <w:rFonts w:ascii="Roboto" w:hAnsi="Roboto"/>
                <w:noProof/>
                <w:sz w:val="18"/>
                <w:szCs w:val="18"/>
              </w:rPr>
            </w:pPr>
            <w:r w:rsidRPr="00150ABA">
              <w:rPr>
                <w:rFonts w:ascii="Roboto" w:hAnsi="Roboto"/>
                <w:noProof/>
                <w:sz w:val="18"/>
                <w:szCs w:val="18"/>
              </w:rPr>
              <w:t xml:space="preserve">System &amp; Application Administration </w:t>
            </w:r>
          </w:p>
        </w:tc>
        <w:tc>
          <w:tcPr>
            <w:tcW w:w="838" w:type="pct"/>
            <w:tcBorders>
              <w:top w:val="nil"/>
              <w:left w:val="nil"/>
              <w:bottom w:val="single" w:sz="4" w:space="0" w:color="auto"/>
              <w:right w:val="single" w:sz="4" w:space="0" w:color="auto"/>
            </w:tcBorders>
            <w:shd w:val="clear" w:color="auto" w:fill="auto"/>
            <w:vAlign w:val="center"/>
          </w:tcPr>
          <w:p w14:paraId="5A92A6AC"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0.5</w:t>
            </w:r>
          </w:p>
        </w:tc>
        <w:tc>
          <w:tcPr>
            <w:tcW w:w="1170" w:type="pct"/>
            <w:tcBorders>
              <w:top w:val="nil"/>
              <w:left w:val="nil"/>
              <w:bottom w:val="single" w:sz="4" w:space="0" w:color="auto"/>
              <w:right w:val="single" w:sz="4" w:space="0" w:color="auto"/>
            </w:tcBorders>
            <w:shd w:val="clear" w:color="auto" w:fill="auto"/>
          </w:tcPr>
          <w:p w14:paraId="4710FE5C"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1A39E3B7"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tcPr>
          <w:p w14:paraId="3FDC77A5" w14:textId="77777777" w:rsidR="001F2A4B" w:rsidRPr="00150ABA" w:rsidRDefault="001F2A4B" w:rsidP="001F2A4B">
            <w:pPr>
              <w:rPr>
                <w:rFonts w:ascii="Roboto" w:hAnsi="Roboto"/>
                <w:noProof/>
                <w:sz w:val="18"/>
                <w:szCs w:val="18"/>
              </w:rPr>
            </w:pPr>
            <w:r w:rsidRPr="00150ABA">
              <w:rPr>
                <w:rFonts w:ascii="Roboto" w:hAnsi="Roboto"/>
                <w:noProof/>
                <w:sz w:val="18"/>
                <w:szCs w:val="18"/>
              </w:rPr>
              <w:t>Transversal Services (Finance &amp; Procurement and HR)</w:t>
            </w:r>
          </w:p>
        </w:tc>
        <w:tc>
          <w:tcPr>
            <w:tcW w:w="838" w:type="pct"/>
            <w:tcBorders>
              <w:top w:val="nil"/>
              <w:left w:val="nil"/>
              <w:bottom w:val="single" w:sz="4" w:space="0" w:color="auto"/>
              <w:right w:val="single" w:sz="4" w:space="0" w:color="auto"/>
            </w:tcBorders>
            <w:shd w:val="clear" w:color="auto" w:fill="auto"/>
            <w:vAlign w:val="center"/>
          </w:tcPr>
          <w:p w14:paraId="07E6C6B1"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1</w:t>
            </w:r>
          </w:p>
        </w:tc>
        <w:tc>
          <w:tcPr>
            <w:tcW w:w="1170" w:type="pct"/>
            <w:tcBorders>
              <w:top w:val="nil"/>
              <w:left w:val="nil"/>
              <w:bottom w:val="single" w:sz="4" w:space="0" w:color="auto"/>
              <w:right w:val="single" w:sz="4" w:space="0" w:color="auto"/>
            </w:tcBorders>
            <w:shd w:val="clear" w:color="auto" w:fill="auto"/>
          </w:tcPr>
          <w:p w14:paraId="3B612E4C"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5A86A918" w14:textId="77777777" w:rsidTr="001F2A4B">
        <w:trPr>
          <w:trHeight w:val="288"/>
          <w:jc w:val="center"/>
        </w:trPr>
        <w:tc>
          <w:tcPr>
            <w:tcW w:w="2992" w:type="pct"/>
            <w:tcBorders>
              <w:top w:val="single" w:sz="4" w:space="0" w:color="auto"/>
              <w:left w:val="single" w:sz="4" w:space="0" w:color="auto"/>
              <w:bottom w:val="single" w:sz="4" w:space="0" w:color="auto"/>
              <w:right w:val="single" w:sz="4" w:space="0" w:color="auto"/>
            </w:tcBorders>
            <w:shd w:val="clear" w:color="auto" w:fill="auto"/>
            <w:vAlign w:val="center"/>
          </w:tcPr>
          <w:p w14:paraId="39E1AF9C" w14:textId="77777777" w:rsidR="001F2A4B" w:rsidRPr="00150ABA" w:rsidRDefault="001F2A4B" w:rsidP="001F2A4B">
            <w:pPr>
              <w:rPr>
                <w:rFonts w:ascii="Roboto" w:hAnsi="Roboto"/>
                <w:noProof/>
                <w:sz w:val="18"/>
                <w:szCs w:val="18"/>
              </w:rPr>
            </w:pPr>
            <w:r w:rsidRPr="00150ABA">
              <w:rPr>
                <w:rFonts w:ascii="Roboto" w:hAnsi="Roboto"/>
                <w:noProof/>
                <w:sz w:val="18"/>
                <w:szCs w:val="18"/>
              </w:rPr>
              <w:t>Business Relationship &amp; Stakeholders’ Management</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221ABC21"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1</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76B00A43"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68F8B67B" w14:textId="77777777" w:rsidTr="001F2A4B">
        <w:trPr>
          <w:trHeight w:val="288"/>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tcPr>
          <w:p w14:paraId="7B11E830" w14:textId="77777777" w:rsidR="001F2A4B" w:rsidRPr="00150ABA" w:rsidRDefault="001F2A4B" w:rsidP="001F2A4B">
            <w:pPr>
              <w:rPr>
                <w:rFonts w:ascii="Roboto" w:hAnsi="Roboto"/>
                <w:b/>
                <w:noProof/>
                <w:sz w:val="18"/>
                <w:szCs w:val="18"/>
              </w:rPr>
            </w:pPr>
            <w:r w:rsidRPr="00150ABA">
              <w:rPr>
                <w:rFonts w:ascii="Roboto" w:hAnsi="Roboto"/>
                <w:b/>
                <w:noProof/>
                <w:sz w:val="18"/>
                <w:szCs w:val="18"/>
              </w:rPr>
              <w:t>TOTAL</w:t>
            </w:r>
          </w:p>
        </w:tc>
        <w:tc>
          <w:tcPr>
            <w:tcW w:w="838" w:type="pct"/>
            <w:tcBorders>
              <w:top w:val="single" w:sz="4" w:space="0" w:color="auto"/>
              <w:left w:val="nil"/>
              <w:bottom w:val="single" w:sz="4" w:space="0" w:color="auto"/>
              <w:right w:val="single" w:sz="4" w:space="0" w:color="auto"/>
            </w:tcBorders>
            <w:shd w:val="clear" w:color="auto" w:fill="auto"/>
            <w:vAlign w:val="center"/>
          </w:tcPr>
          <w:p w14:paraId="79057DE8" w14:textId="77777777" w:rsidR="001F2A4B" w:rsidRPr="00150ABA" w:rsidRDefault="001F2A4B" w:rsidP="001F2A4B">
            <w:pPr>
              <w:jc w:val="center"/>
              <w:rPr>
                <w:rFonts w:ascii="Roboto" w:hAnsi="Roboto"/>
                <w:b/>
                <w:noProof/>
                <w:sz w:val="18"/>
                <w:szCs w:val="18"/>
              </w:rPr>
            </w:pPr>
            <w:r w:rsidRPr="00150ABA">
              <w:rPr>
                <w:rFonts w:ascii="Roboto" w:hAnsi="Roboto"/>
                <w:b/>
                <w:noProof/>
                <w:sz w:val="18"/>
                <w:szCs w:val="18"/>
              </w:rPr>
              <w:t>8</w:t>
            </w:r>
          </w:p>
        </w:tc>
        <w:tc>
          <w:tcPr>
            <w:tcW w:w="1170" w:type="pct"/>
            <w:tcBorders>
              <w:top w:val="single" w:sz="4" w:space="0" w:color="auto"/>
              <w:left w:val="nil"/>
              <w:bottom w:val="single" w:sz="4" w:space="0" w:color="auto"/>
              <w:right w:val="single" w:sz="4" w:space="0" w:color="auto"/>
            </w:tcBorders>
            <w:shd w:val="clear" w:color="auto" w:fill="auto"/>
          </w:tcPr>
          <w:p w14:paraId="62BC32E0"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w:t>
            </w:r>
          </w:p>
        </w:tc>
      </w:tr>
    </w:tbl>
    <w:p w14:paraId="287D773C" w14:textId="77777777" w:rsidR="001F2A4B" w:rsidRPr="00150ABA" w:rsidRDefault="001F2A4B" w:rsidP="001F2A4B">
      <w:pPr>
        <w:rPr>
          <w:noProof/>
        </w:rPr>
      </w:pPr>
    </w:p>
    <w:p w14:paraId="7053F782" w14:textId="77777777" w:rsidR="001F2A4B" w:rsidRPr="00150ABA" w:rsidRDefault="001F2A4B" w:rsidP="001F2A4B">
      <w:pPr>
        <w:rPr>
          <w:noProof/>
        </w:rPr>
      </w:pPr>
      <w:r w:rsidRPr="00150ABA">
        <w:rPr>
          <w:noProof/>
        </w:rPr>
        <w:t>Staff required for the SPECIFIC OBJECTIVE No 2 - to maintain and operate the JITs collaboration platform:</w:t>
      </w:r>
    </w:p>
    <w:tbl>
      <w:tblPr>
        <w:tblW w:w="4643" w:type="pct"/>
        <w:jc w:val="center"/>
        <w:tblLook w:val="04A0" w:firstRow="1" w:lastRow="0" w:firstColumn="1" w:lastColumn="0" w:noHBand="0" w:noVBand="1"/>
      </w:tblPr>
      <w:tblGrid>
        <w:gridCol w:w="5161"/>
        <w:gridCol w:w="1445"/>
        <w:gridCol w:w="2018"/>
      </w:tblGrid>
      <w:tr w:rsidR="001F2A4B" w:rsidRPr="00150ABA" w14:paraId="36E68F32" w14:textId="77777777" w:rsidTr="001F2A4B">
        <w:trPr>
          <w:trHeight w:val="552"/>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604B37B3" w14:textId="77777777" w:rsidR="001F2A4B" w:rsidRPr="00150ABA" w:rsidRDefault="001F2A4B" w:rsidP="001F2A4B">
            <w:pPr>
              <w:rPr>
                <w:rFonts w:ascii="Roboto" w:hAnsi="Roboto"/>
                <w:b/>
                <w:bCs/>
                <w:noProof/>
                <w:sz w:val="18"/>
                <w:szCs w:val="18"/>
              </w:rPr>
            </w:pPr>
            <w:r w:rsidRPr="00150ABA">
              <w:rPr>
                <w:rFonts w:ascii="Roboto" w:hAnsi="Roboto"/>
                <w:b/>
                <w:bCs/>
                <w:noProof/>
                <w:sz w:val="18"/>
                <w:szCs w:val="18"/>
              </w:rPr>
              <w:t>Profile</w:t>
            </w:r>
          </w:p>
        </w:tc>
        <w:tc>
          <w:tcPr>
            <w:tcW w:w="83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A4C96F"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No.</w:t>
            </w:r>
          </w:p>
        </w:tc>
        <w:tc>
          <w:tcPr>
            <w:tcW w:w="1170" w:type="pct"/>
            <w:tcBorders>
              <w:top w:val="single" w:sz="4" w:space="0" w:color="auto"/>
              <w:left w:val="nil"/>
              <w:bottom w:val="single" w:sz="4" w:space="0" w:color="auto"/>
              <w:right w:val="single" w:sz="4" w:space="0" w:color="auto"/>
            </w:tcBorders>
            <w:shd w:val="clear" w:color="auto" w:fill="auto"/>
            <w:vAlign w:val="center"/>
            <w:hideMark/>
          </w:tcPr>
          <w:p w14:paraId="0CD08763"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Type</w:t>
            </w:r>
          </w:p>
        </w:tc>
      </w:tr>
      <w:tr w:rsidR="001F2A4B" w:rsidRPr="00150ABA" w14:paraId="46F21246"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46104DC6" w14:textId="77777777" w:rsidR="001F2A4B" w:rsidRPr="00150ABA" w:rsidRDefault="001F2A4B" w:rsidP="001F2A4B">
            <w:pPr>
              <w:rPr>
                <w:rFonts w:ascii="Roboto" w:hAnsi="Roboto"/>
                <w:noProof/>
                <w:sz w:val="18"/>
                <w:szCs w:val="18"/>
              </w:rPr>
            </w:pPr>
            <w:r w:rsidRPr="00150ABA">
              <w:rPr>
                <w:rFonts w:ascii="Roboto" w:hAnsi="Roboto"/>
                <w:noProof/>
                <w:sz w:val="18"/>
                <w:szCs w:val="18"/>
              </w:rPr>
              <w:t>IT Officer - Architecture</w:t>
            </w:r>
          </w:p>
        </w:tc>
        <w:tc>
          <w:tcPr>
            <w:tcW w:w="838" w:type="pct"/>
            <w:tcBorders>
              <w:top w:val="nil"/>
              <w:left w:val="nil"/>
              <w:bottom w:val="single" w:sz="4" w:space="0" w:color="auto"/>
              <w:right w:val="single" w:sz="4" w:space="0" w:color="auto"/>
            </w:tcBorders>
            <w:shd w:val="clear" w:color="auto" w:fill="auto"/>
            <w:vAlign w:val="center"/>
            <w:hideMark/>
          </w:tcPr>
          <w:p w14:paraId="7A84923F"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0.5</w:t>
            </w:r>
          </w:p>
        </w:tc>
        <w:tc>
          <w:tcPr>
            <w:tcW w:w="1170" w:type="pct"/>
            <w:tcBorders>
              <w:top w:val="nil"/>
              <w:left w:val="nil"/>
              <w:bottom w:val="single" w:sz="4" w:space="0" w:color="auto"/>
              <w:right w:val="single" w:sz="4" w:space="0" w:color="auto"/>
            </w:tcBorders>
            <w:shd w:val="clear" w:color="auto" w:fill="auto"/>
            <w:vAlign w:val="center"/>
            <w:hideMark/>
          </w:tcPr>
          <w:p w14:paraId="4AEB7B9D"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30715062"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4FB3D1E8" w14:textId="77777777" w:rsidR="001F2A4B" w:rsidRPr="00150ABA" w:rsidRDefault="001F2A4B" w:rsidP="001F2A4B">
            <w:pPr>
              <w:rPr>
                <w:rFonts w:ascii="Roboto" w:hAnsi="Roboto"/>
                <w:noProof/>
                <w:sz w:val="18"/>
                <w:szCs w:val="18"/>
              </w:rPr>
            </w:pPr>
            <w:r w:rsidRPr="00150ABA">
              <w:rPr>
                <w:rFonts w:ascii="Roboto" w:hAnsi="Roboto"/>
                <w:noProof/>
                <w:sz w:val="18"/>
                <w:szCs w:val="18"/>
              </w:rPr>
              <w:t>Test Management</w:t>
            </w:r>
          </w:p>
        </w:tc>
        <w:tc>
          <w:tcPr>
            <w:tcW w:w="838" w:type="pct"/>
            <w:tcBorders>
              <w:top w:val="nil"/>
              <w:left w:val="nil"/>
              <w:bottom w:val="single" w:sz="4" w:space="0" w:color="auto"/>
              <w:right w:val="single" w:sz="4" w:space="0" w:color="auto"/>
            </w:tcBorders>
            <w:shd w:val="clear" w:color="auto" w:fill="auto"/>
            <w:vAlign w:val="center"/>
          </w:tcPr>
          <w:p w14:paraId="4088A040"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0.5</w:t>
            </w:r>
          </w:p>
        </w:tc>
        <w:tc>
          <w:tcPr>
            <w:tcW w:w="1170" w:type="pct"/>
            <w:tcBorders>
              <w:top w:val="nil"/>
              <w:left w:val="nil"/>
              <w:bottom w:val="single" w:sz="4" w:space="0" w:color="auto"/>
              <w:right w:val="single" w:sz="4" w:space="0" w:color="auto"/>
            </w:tcBorders>
            <w:shd w:val="clear" w:color="auto" w:fill="auto"/>
          </w:tcPr>
          <w:p w14:paraId="54789176"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7A2879D4" w14:textId="77777777" w:rsidTr="001F2A4B">
        <w:trPr>
          <w:trHeight w:val="288"/>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06258464" w14:textId="77777777" w:rsidR="001F2A4B" w:rsidRPr="00150ABA" w:rsidRDefault="001F2A4B" w:rsidP="001F2A4B">
            <w:pPr>
              <w:rPr>
                <w:rFonts w:ascii="Roboto" w:hAnsi="Roboto"/>
                <w:noProof/>
                <w:sz w:val="18"/>
                <w:szCs w:val="18"/>
              </w:rPr>
            </w:pPr>
            <w:r w:rsidRPr="00150ABA">
              <w:rPr>
                <w:rFonts w:ascii="Roboto" w:hAnsi="Roboto"/>
                <w:noProof/>
                <w:sz w:val="18"/>
                <w:szCs w:val="18"/>
              </w:rPr>
              <w:t xml:space="preserve">Release &amp; Change Management </w:t>
            </w:r>
          </w:p>
        </w:tc>
        <w:tc>
          <w:tcPr>
            <w:tcW w:w="838" w:type="pct"/>
            <w:tcBorders>
              <w:top w:val="single" w:sz="4" w:space="0" w:color="auto"/>
              <w:left w:val="nil"/>
              <w:bottom w:val="single" w:sz="4" w:space="0" w:color="auto"/>
              <w:right w:val="single" w:sz="4" w:space="0" w:color="auto"/>
            </w:tcBorders>
            <w:shd w:val="clear" w:color="auto" w:fill="auto"/>
            <w:vAlign w:val="center"/>
          </w:tcPr>
          <w:p w14:paraId="68549A10"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0.5 </w:t>
            </w:r>
          </w:p>
        </w:tc>
        <w:tc>
          <w:tcPr>
            <w:tcW w:w="1170" w:type="pct"/>
            <w:tcBorders>
              <w:top w:val="single" w:sz="4" w:space="0" w:color="auto"/>
              <w:left w:val="nil"/>
              <w:bottom w:val="single" w:sz="4" w:space="0" w:color="auto"/>
              <w:right w:val="single" w:sz="4" w:space="0" w:color="auto"/>
            </w:tcBorders>
            <w:shd w:val="clear" w:color="auto" w:fill="auto"/>
          </w:tcPr>
          <w:p w14:paraId="10A73853"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3F3A86F0"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7DD6A443" w14:textId="77777777" w:rsidR="001F2A4B" w:rsidRPr="00150ABA" w:rsidRDefault="001F2A4B" w:rsidP="001F2A4B">
            <w:pPr>
              <w:rPr>
                <w:rFonts w:ascii="Roboto" w:hAnsi="Roboto"/>
                <w:noProof/>
                <w:sz w:val="18"/>
                <w:szCs w:val="18"/>
              </w:rPr>
            </w:pPr>
            <w:r w:rsidRPr="00150ABA">
              <w:rPr>
                <w:rFonts w:ascii="Roboto" w:hAnsi="Roboto"/>
                <w:noProof/>
                <w:sz w:val="18"/>
                <w:szCs w:val="18"/>
              </w:rPr>
              <w:t>Network Management</w:t>
            </w:r>
          </w:p>
        </w:tc>
        <w:tc>
          <w:tcPr>
            <w:tcW w:w="838" w:type="pct"/>
            <w:tcBorders>
              <w:top w:val="nil"/>
              <w:left w:val="single" w:sz="8" w:space="0" w:color="auto"/>
              <w:bottom w:val="single" w:sz="4" w:space="0" w:color="auto"/>
              <w:right w:val="single" w:sz="4" w:space="0" w:color="auto"/>
            </w:tcBorders>
            <w:shd w:val="clear" w:color="auto" w:fill="auto"/>
            <w:vAlign w:val="center"/>
            <w:hideMark/>
          </w:tcPr>
          <w:p w14:paraId="2E688E0F"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1</w:t>
            </w:r>
          </w:p>
        </w:tc>
        <w:tc>
          <w:tcPr>
            <w:tcW w:w="1170" w:type="pct"/>
            <w:tcBorders>
              <w:top w:val="nil"/>
              <w:left w:val="nil"/>
              <w:bottom w:val="single" w:sz="4" w:space="0" w:color="auto"/>
              <w:right w:val="single" w:sz="4" w:space="0" w:color="auto"/>
            </w:tcBorders>
            <w:shd w:val="clear" w:color="auto" w:fill="auto"/>
            <w:hideMark/>
          </w:tcPr>
          <w:p w14:paraId="7C1EA8B1"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603C3526" w14:textId="77777777" w:rsidTr="001F2A4B">
        <w:trPr>
          <w:trHeight w:val="300"/>
          <w:jc w:val="center"/>
        </w:trPr>
        <w:tc>
          <w:tcPr>
            <w:tcW w:w="2992" w:type="pct"/>
            <w:tcBorders>
              <w:top w:val="nil"/>
              <w:left w:val="single" w:sz="4" w:space="0" w:color="auto"/>
              <w:bottom w:val="single" w:sz="4" w:space="0" w:color="auto"/>
              <w:right w:val="single" w:sz="8" w:space="0" w:color="auto"/>
            </w:tcBorders>
            <w:shd w:val="clear" w:color="auto" w:fill="auto"/>
            <w:vAlign w:val="center"/>
          </w:tcPr>
          <w:p w14:paraId="435769BF" w14:textId="77777777" w:rsidR="001F2A4B" w:rsidRPr="00150ABA" w:rsidRDefault="001F2A4B" w:rsidP="001F2A4B">
            <w:pPr>
              <w:rPr>
                <w:rFonts w:ascii="Roboto" w:hAnsi="Roboto"/>
                <w:noProof/>
                <w:sz w:val="18"/>
                <w:szCs w:val="18"/>
              </w:rPr>
            </w:pPr>
            <w:r w:rsidRPr="00150ABA">
              <w:rPr>
                <w:rFonts w:ascii="Roboto" w:hAnsi="Roboto"/>
                <w:noProof/>
                <w:sz w:val="18"/>
                <w:szCs w:val="18"/>
              </w:rPr>
              <w:t xml:space="preserve">Security Management </w:t>
            </w:r>
          </w:p>
        </w:tc>
        <w:tc>
          <w:tcPr>
            <w:tcW w:w="838" w:type="pct"/>
            <w:tcBorders>
              <w:top w:val="nil"/>
              <w:left w:val="nil"/>
              <w:bottom w:val="single" w:sz="4" w:space="0" w:color="auto"/>
              <w:right w:val="single" w:sz="4" w:space="0" w:color="auto"/>
            </w:tcBorders>
            <w:shd w:val="clear" w:color="auto" w:fill="auto"/>
            <w:vAlign w:val="center"/>
          </w:tcPr>
          <w:p w14:paraId="0B80A5F2"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1</w:t>
            </w:r>
          </w:p>
        </w:tc>
        <w:tc>
          <w:tcPr>
            <w:tcW w:w="1170" w:type="pct"/>
            <w:tcBorders>
              <w:top w:val="nil"/>
              <w:left w:val="nil"/>
              <w:bottom w:val="single" w:sz="4" w:space="0" w:color="auto"/>
              <w:right w:val="single" w:sz="4" w:space="0" w:color="auto"/>
            </w:tcBorders>
            <w:shd w:val="clear" w:color="auto" w:fill="auto"/>
          </w:tcPr>
          <w:p w14:paraId="616AFB6B"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3D6CF749" w14:textId="77777777" w:rsidTr="001F2A4B">
        <w:trPr>
          <w:trHeight w:val="552"/>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00CFE79F" w14:textId="77777777" w:rsidR="001F2A4B" w:rsidRPr="00150ABA" w:rsidRDefault="001F2A4B" w:rsidP="001F2A4B">
            <w:pPr>
              <w:rPr>
                <w:rFonts w:ascii="Roboto" w:hAnsi="Roboto"/>
                <w:noProof/>
                <w:sz w:val="18"/>
                <w:szCs w:val="18"/>
              </w:rPr>
            </w:pPr>
            <w:r w:rsidRPr="00150ABA">
              <w:rPr>
                <w:rFonts w:ascii="Roboto" w:hAnsi="Roboto"/>
                <w:noProof/>
                <w:sz w:val="18"/>
                <w:szCs w:val="18"/>
              </w:rPr>
              <w:t xml:space="preserve">1st level support operator (24x7) </w:t>
            </w:r>
          </w:p>
        </w:tc>
        <w:tc>
          <w:tcPr>
            <w:tcW w:w="838" w:type="pct"/>
            <w:tcBorders>
              <w:top w:val="nil"/>
              <w:left w:val="nil"/>
              <w:bottom w:val="single" w:sz="4" w:space="0" w:color="auto"/>
              <w:right w:val="single" w:sz="4" w:space="0" w:color="auto"/>
            </w:tcBorders>
            <w:shd w:val="clear" w:color="auto" w:fill="auto"/>
            <w:vAlign w:val="center"/>
            <w:hideMark/>
          </w:tcPr>
          <w:p w14:paraId="42F5790E"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1</w:t>
            </w:r>
          </w:p>
        </w:tc>
        <w:tc>
          <w:tcPr>
            <w:tcW w:w="1170" w:type="pct"/>
            <w:tcBorders>
              <w:top w:val="nil"/>
              <w:left w:val="nil"/>
              <w:bottom w:val="single" w:sz="4" w:space="0" w:color="auto"/>
              <w:right w:val="single" w:sz="4" w:space="0" w:color="auto"/>
            </w:tcBorders>
            <w:shd w:val="clear" w:color="auto" w:fill="auto"/>
            <w:hideMark/>
          </w:tcPr>
          <w:p w14:paraId="5E31F410"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CA</w:t>
            </w:r>
          </w:p>
        </w:tc>
      </w:tr>
      <w:tr w:rsidR="001F2A4B" w:rsidRPr="00150ABA" w14:paraId="4ECEC5DD"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18576D76" w14:textId="77777777" w:rsidR="001F2A4B" w:rsidRPr="00150ABA" w:rsidRDefault="001F2A4B" w:rsidP="001F2A4B">
            <w:pPr>
              <w:rPr>
                <w:rFonts w:ascii="Roboto" w:hAnsi="Roboto"/>
                <w:noProof/>
                <w:sz w:val="18"/>
                <w:szCs w:val="18"/>
              </w:rPr>
            </w:pPr>
            <w:r w:rsidRPr="00150ABA">
              <w:rPr>
                <w:rFonts w:ascii="Roboto" w:hAnsi="Roboto"/>
                <w:noProof/>
                <w:sz w:val="18"/>
                <w:szCs w:val="18"/>
              </w:rPr>
              <w:t>2</w:t>
            </w:r>
            <w:r w:rsidRPr="00150ABA">
              <w:rPr>
                <w:rFonts w:ascii="Roboto" w:hAnsi="Roboto"/>
                <w:noProof/>
                <w:sz w:val="18"/>
                <w:szCs w:val="18"/>
                <w:vertAlign w:val="superscript"/>
              </w:rPr>
              <w:t>nd</w:t>
            </w:r>
            <w:r w:rsidRPr="00150ABA">
              <w:rPr>
                <w:rFonts w:ascii="Roboto" w:hAnsi="Roboto"/>
                <w:noProof/>
                <w:sz w:val="18"/>
                <w:szCs w:val="18"/>
              </w:rPr>
              <w:t xml:space="preserve"> level support administrator (24x7)</w:t>
            </w:r>
          </w:p>
        </w:tc>
        <w:tc>
          <w:tcPr>
            <w:tcW w:w="838" w:type="pct"/>
            <w:tcBorders>
              <w:top w:val="nil"/>
              <w:left w:val="nil"/>
              <w:bottom w:val="single" w:sz="4" w:space="0" w:color="auto"/>
              <w:right w:val="single" w:sz="4" w:space="0" w:color="auto"/>
            </w:tcBorders>
            <w:shd w:val="clear" w:color="auto" w:fill="auto"/>
            <w:vAlign w:val="center"/>
          </w:tcPr>
          <w:p w14:paraId="6D0EF559"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 1</w:t>
            </w:r>
          </w:p>
        </w:tc>
        <w:tc>
          <w:tcPr>
            <w:tcW w:w="1170" w:type="pct"/>
            <w:tcBorders>
              <w:top w:val="nil"/>
              <w:left w:val="nil"/>
              <w:bottom w:val="single" w:sz="4" w:space="0" w:color="auto"/>
              <w:right w:val="single" w:sz="4" w:space="0" w:color="auto"/>
            </w:tcBorders>
            <w:shd w:val="clear" w:color="auto" w:fill="auto"/>
          </w:tcPr>
          <w:p w14:paraId="71E73AFC"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CA</w:t>
            </w:r>
          </w:p>
        </w:tc>
      </w:tr>
      <w:tr w:rsidR="001F2A4B" w:rsidRPr="00150ABA" w14:paraId="4D50C62A"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tcPr>
          <w:p w14:paraId="6D8993E9" w14:textId="77777777" w:rsidR="001F2A4B" w:rsidRPr="00150ABA" w:rsidRDefault="001F2A4B" w:rsidP="001F2A4B">
            <w:pPr>
              <w:rPr>
                <w:rFonts w:ascii="Roboto" w:hAnsi="Roboto"/>
                <w:noProof/>
                <w:sz w:val="18"/>
                <w:szCs w:val="18"/>
              </w:rPr>
            </w:pPr>
            <w:r w:rsidRPr="00150ABA">
              <w:rPr>
                <w:rFonts w:ascii="Roboto" w:hAnsi="Roboto"/>
                <w:noProof/>
                <w:sz w:val="18"/>
                <w:szCs w:val="18"/>
              </w:rPr>
              <w:t>Infrastructure Management</w:t>
            </w:r>
          </w:p>
        </w:tc>
        <w:tc>
          <w:tcPr>
            <w:tcW w:w="838" w:type="pct"/>
            <w:tcBorders>
              <w:top w:val="nil"/>
              <w:left w:val="nil"/>
              <w:bottom w:val="single" w:sz="4" w:space="0" w:color="auto"/>
              <w:right w:val="single" w:sz="4" w:space="0" w:color="auto"/>
            </w:tcBorders>
            <w:shd w:val="clear" w:color="auto" w:fill="auto"/>
            <w:vAlign w:val="center"/>
          </w:tcPr>
          <w:p w14:paraId="51FC4FAC"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0.5</w:t>
            </w:r>
          </w:p>
        </w:tc>
        <w:tc>
          <w:tcPr>
            <w:tcW w:w="1170" w:type="pct"/>
            <w:tcBorders>
              <w:top w:val="nil"/>
              <w:left w:val="nil"/>
              <w:bottom w:val="single" w:sz="4" w:space="0" w:color="auto"/>
              <w:right w:val="single" w:sz="4" w:space="0" w:color="auto"/>
            </w:tcBorders>
            <w:shd w:val="clear" w:color="auto" w:fill="auto"/>
          </w:tcPr>
          <w:p w14:paraId="57896767"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412717C5" w14:textId="77777777" w:rsidTr="001F2A4B">
        <w:trPr>
          <w:trHeight w:val="288"/>
          <w:jc w:val="center"/>
        </w:trPr>
        <w:tc>
          <w:tcPr>
            <w:tcW w:w="2992" w:type="pct"/>
            <w:tcBorders>
              <w:top w:val="single" w:sz="4" w:space="0" w:color="auto"/>
              <w:left w:val="single" w:sz="4" w:space="0" w:color="auto"/>
              <w:bottom w:val="single" w:sz="4" w:space="0" w:color="auto"/>
              <w:right w:val="single" w:sz="4" w:space="0" w:color="auto"/>
            </w:tcBorders>
            <w:shd w:val="clear" w:color="auto" w:fill="auto"/>
            <w:vAlign w:val="center"/>
          </w:tcPr>
          <w:p w14:paraId="2ECF1ABE" w14:textId="77777777" w:rsidR="001F2A4B" w:rsidRPr="00150ABA" w:rsidRDefault="001F2A4B" w:rsidP="001F2A4B">
            <w:pPr>
              <w:rPr>
                <w:rFonts w:ascii="Roboto" w:hAnsi="Roboto"/>
                <w:noProof/>
                <w:sz w:val="18"/>
                <w:szCs w:val="18"/>
              </w:rPr>
            </w:pPr>
            <w:r w:rsidRPr="00150ABA">
              <w:rPr>
                <w:rFonts w:ascii="Roboto" w:hAnsi="Roboto"/>
                <w:noProof/>
                <w:sz w:val="18"/>
                <w:szCs w:val="18"/>
              </w:rPr>
              <w:t>Product/Service Owner</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5A41AA90"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1</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2439315A"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0D905BB1" w14:textId="77777777" w:rsidTr="001F2A4B">
        <w:trPr>
          <w:trHeight w:val="288"/>
          <w:jc w:val="center"/>
        </w:trPr>
        <w:tc>
          <w:tcPr>
            <w:tcW w:w="2992" w:type="pct"/>
            <w:tcBorders>
              <w:top w:val="single" w:sz="4" w:space="0" w:color="auto"/>
              <w:left w:val="single" w:sz="4" w:space="0" w:color="auto"/>
              <w:bottom w:val="single" w:sz="4" w:space="0" w:color="auto"/>
              <w:right w:val="single" w:sz="4" w:space="0" w:color="auto"/>
            </w:tcBorders>
            <w:shd w:val="clear" w:color="auto" w:fill="auto"/>
            <w:vAlign w:val="center"/>
          </w:tcPr>
          <w:p w14:paraId="13C7C4C0" w14:textId="77777777" w:rsidR="001F2A4B" w:rsidRPr="00150ABA" w:rsidRDefault="001F2A4B" w:rsidP="001F2A4B">
            <w:pPr>
              <w:rPr>
                <w:rFonts w:ascii="Roboto" w:hAnsi="Roboto"/>
                <w:noProof/>
                <w:sz w:val="18"/>
                <w:szCs w:val="18"/>
              </w:rPr>
            </w:pPr>
            <w:r w:rsidRPr="00150ABA">
              <w:rPr>
                <w:rFonts w:ascii="Roboto" w:hAnsi="Roboto"/>
                <w:noProof/>
                <w:sz w:val="18"/>
                <w:szCs w:val="18"/>
              </w:rPr>
              <w:t xml:space="preserve">System &amp; Application Administration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71D3A79A"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1</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5FD1C571"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74EF7E90" w14:textId="77777777" w:rsidTr="001F2A4B">
        <w:trPr>
          <w:trHeight w:val="288"/>
          <w:jc w:val="center"/>
        </w:trPr>
        <w:tc>
          <w:tcPr>
            <w:tcW w:w="2992" w:type="pct"/>
            <w:tcBorders>
              <w:top w:val="single" w:sz="4" w:space="0" w:color="auto"/>
              <w:left w:val="single" w:sz="4" w:space="0" w:color="auto"/>
              <w:bottom w:val="single" w:sz="4" w:space="0" w:color="auto"/>
              <w:right w:val="single" w:sz="4" w:space="0" w:color="auto"/>
            </w:tcBorders>
            <w:shd w:val="clear" w:color="auto" w:fill="auto"/>
            <w:vAlign w:val="center"/>
          </w:tcPr>
          <w:p w14:paraId="761A4E65" w14:textId="77777777" w:rsidR="001F2A4B" w:rsidRPr="00150ABA" w:rsidRDefault="001F2A4B" w:rsidP="001F2A4B">
            <w:pPr>
              <w:rPr>
                <w:rFonts w:ascii="Roboto" w:hAnsi="Roboto"/>
                <w:noProof/>
                <w:sz w:val="18"/>
                <w:szCs w:val="18"/>
              </w:rPr>
            </w:pPr>
            <w:r w:rsidRPr="00150ABA">
              <w:rPr>
                <w:rFonts w:ascii="Roboto" w:hAnsi="Roboto"/>
                <w:noProof/>
                <w:sz w:val="18"/>
                <w:szCs w:val="18"/>
              </w:rPr>
              <w:t>Transversal Services (Finance &amp; Procurement and HR)</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6A3E6243"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1</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764CA1FE"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1D51E4C3" w14:textId="77777777" w:rsidTr="001F2A4B">
        <w:trPr>
          <w:trHeight w:val="288"/>
          <w:jc w:val="center"/>
        </w:trPr>
        <w:tc>
          <w:tcPr>
            <w:tcW w:w="2992" w:type="pct"/>
            <w:tcBorders>
              <w:top w:val="single" w:sz="4" w:space="0" w:color="auto"/>
              <w:left w:val="single" w:sz="4" w:space="0" w:color="auto"/>
              <w:bottom w:val="single" w:sz="4" w:space="0" w:color="auto"/>
              <w:right w:val="single" w:sz="4" w:space="0" w:color="auto"/>
            </w:tcBorders>
            <w:shd w:val="clear" w:color="auto" w:fill="auto"/>
            <w:vAlign w:val="center"/>
          </w:tcPr>
          <w:p w14:paraId="22D74CBB" w14:textId="77777777" w:rsidR="001F2A4B" w:rsidRPr="00150ABA" w:rsidRDefault="001F2A4B" w:rsidP="001F2A4B">
            <w:pPr>
              <w:rPr>
                <w:rFonts w:ascii="Roboto" w:hAnsi="Roboto"/>
                <w:noProof/>
                <w:sz w:val="18"/>
                <w:szCs w:val="18"/>
              </w:rPr>
            </w:pPr>
            <w:r w:rsidRPr="00150ABA">
              <w:rPr>
                <w:rFonts w:ascii="Roboto" w:hAnsi="Roboto"/>
                <w:noProof/>
                <w:sz w:val="18"/>
                <w:szCs w:val="18"/>
              </w:rPr>
              <w:t>Business Relationship &amp; Stakeholders’ Management</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38A7637F"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1</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08A0D682"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TA (AD)</w:t>
            </w:r>
          </w:p>
        </w:tc>
      </w:tr>
      <w:tr w:rsidR="001F2A4B" w:rsidRPr="00150ABA" w14:paraId="1859CC8A" w14:textId="77777777" w:rsidTr="001F2A4B">
        <w:trPr>
          <w:trHeight w:val="288"/>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tcPr>
          <w:p w14:paraId="69C1D4C5" w14:textId="77777777" w:rsidR="001F2A4B" w:rsidRPr="00150ABA" w:rsidRDefault="001F2A4B" w:rsidP="001F2A4B">
            <w:pPr>
              <w:rPr>
                <w:rFonts w:ascii="Roboto" w:hAnsi="Roboto"/>
                <w:b/>
                <w:noProof/>
                <w:sz w:val="18"/>
                <w:szCs w:val="18"/>
              </w:rPr>
            </w:pPr>
            <w:r w:rsidRPr="00150ABA">
              <w:rPr>
                <w:rFonts w:ascii="Roboto" w:hAnsi="Roboto"/>
                <w:b/>
                <w:noProof/>
                <w:sz w:val="18"/>
                <w:szCs w:val="18"/>
              </w:rPr>
              <w:t>TOTAL</w:t>
            </w:r>
          </w:p>
        </w:tc>
        <w:tc>
          <w:tcPr>
            <w:tcW w:w="838" w:type="pct"/>
            <w:tcBorders>
              <w:top w:val="single" w:sz="4" w:space="0" w:color="auto"/>
              <w:left w:val="nil"/>
              <w:bottom w:val="single" w:sz="4" w:space="0" w:color="auto"/>
              <w:right w:val="single" w:sz="4" w:space="0" w:color="auto"/>
            </w:tcBorders>
            <w:shd w:val="clear" w:color="auto" w:fill="auto"/>
            <w:vAlign w:val="center"/>
          </w:tcPr>
          <w:p w14:paraId="4C0C71CB" w14:textId="77777777" w:rsidR="001F2A4B" w:rsidRPr="00150ABA" w:rsidRDefault="001F2A4B" w:rsidP="001F2A4B">
            <w:pPr>
              <w:jc w:val="center"/>
              <w:rPr>
                <w:rFonts w:ascii="Roboto" w:hAnsi="Roboto"/>
                <w:b/>
                <w:noProof/>
                <w:sz w:val="18"/>
                <w:szCs w:val="18"/>
              </w:rPr>
            </w:pPr>
            <w:r w:rsidRPr="00150ABA">
              <w:rPr>
                <w:rFonts w:ascii="Roboto" w:hAnsi="Roboto"/>
                <w:b/>
                <w:noProof/>
                <w:sz w:val="18"/>
                <w:szCs w:val="18"/>
              </w:rPr>
              <w:t>10</w:t>
            </w:r>
          </w:p>
        </w:tc>
        <w:tc>
          <w:tcPr>
            <w:tcW w:w="1170" w:type="pct"/>
            <w:tcBorders>
              <w:top w:val="single" w:sz="4" w:space="0" w:color="auto"/>
              <w:left w:val="nil"/>
              <w:bottom w:val="single" w:sz="4" w:space="0" w:color="auto"/>
              <w:right w:val="single" w:sz="4" w:space="0" w:color="auto"/>
            </w:tcBorders>
            <w:shd w:val="clear" w:color="auto" w:fill="auto"/>
          </w:tcPr>
          <w:p w14:paraId="147645A0" w14:textId="77777777" w:rsidR="001F2A4B" w:rsidRPr="00150ABA" w:rsidRDefault="001F2A4B" w:rsidP="001F2A4B">
            <w:pPr>
              <w:jc w:val="center"/>
              <w:rPr>
                <w:rFonts w:ascii="Roboto" w:hAnsi="Roboto"/>
                <w:noProof/>
                <w:sz w:val="18"/>
                <w:szCs w:val="18"/>
              </w:rPr>
            </w:pPr>
            <w:r w:rsidRPr="00150ABA">
              <w:rPr>
                <w:rFonts w:ascii="Roboto" w:hAnsi="Roboto"/>
                <w:noProof/>
                <w:sz w:val="18"/>
                <w:szCs w:val="18"/>
              </w:rPr>
              <w:t>-</w:t>
            </w:r>
          </w:p>
        </w:tc>
      </w:tr>
    </w:tbl>
    <w:p w14:paraId="48089390" w14:textId="77777777" w:rsidR="001F2A4B" w:rsidRPr="00150ABA" w:rsidRDefault="001F2A4B" w:rsidP="001F2A4B">
      <w:pPr>
        <w:rPr>
          <w:noProof/>
        </w:rPr>
      </w:pPr>
    </w:p>
    <w:p w14:paraId="0C11D574" w14:textId="77777777" w:rsidR="001F2A4B" w:rsidRPr="00150ABA" w:rsidRDefault="001F2A4B" w:rsidP="001F2A4B">
      <w:pPr>
        <w:rPr>
          <w:noProof/>
        </w:rPr>
      </w:pPr>
      <w:r w:rsidRPr="00150ABA">
        <w:rPr>
          <w:noProof/>
        </w:rPr>
        <w:t>Description of the profiles:</w:t>
      </w:r>
    </w:p>
    <w:tbl>
      <w:tblPr>
        <w:tblW w:w="4701" w:type="pct"/>
        <w:jc w:val="center"/>
        <w:tblLook w:val="04A0" w:firstRow="1" w:lastRow="0" w:firstColumn="1" w:lastColumn="0" w:noHBand="0" w:noVBand="1"/>
      </w:tblPr>
      <w:tblGrid>
        <w:gridCol w:w="8732"/>
      </w:tblGrid>
      <w:tr w:rsidR="001F2A4B" w:rsidRPr="00150ABA" w14:paraId="7E655B0E" w14:textId="77777777" w:rsidTr="001F2A4B">
        <w:trPr>
          <w:trHeight w:val="288"/>
          <w:jc w:val="center"/>
        </w:trPr>
        <w:tc>
          <w:tcPr>
            <w:tcW w:w="1159"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23368A53" w14:textId="77777777" w:rsidR="001F2A4B" w:rsidRPr="00150ABA" w:rsidRDefault="001F2A4B" w:rsidP="001F2A4B">
            <w:pPr>
              <w:rPr>
                <w:rFonts w:ascii="Roboto" w:hAnsi="Roboto"/>
                <w:noProof/>
                <w:sz w:val="18"/>
                <w:szCs w:val="18"/>
              </w:rPr>
            </w:pPr>
            <w:r w:rsidRPr="00150ABA">
              <w:rPr>
                <w:rFonts w:ascii="Roboto" w:hAnsi="Roboto"/>
                <w:noProof/>
                <w:sz w:val="18"/>
                <w:szCs w:val="18"/>
              </w:rPr>
              <w:t>IT Officer – Architecture - to work with the contractors on the design documents and validate (at solution and application level). Also, to be involved in any business/use cases/architectural assessments and Implementing &amp; Delegated Acts.</w:t>
            </w:r>
          </w:p>
        </w:tc>
      </w:tr>
      <w:tr w:rsidR="001F2A4B" w:rsidRPr="00150ABA" w14:paraId="22896204" w14:textId="77777777" w:rsidTr="001F2A4B">
        <w:trPr>
          <w:trHeight w:val="288"/>
          <w:jc w:val="center"/>
        </w:trPr>
        <w:tc>
          <w:tcPr>
            <w:tcW w:w="1159" w:type="pct"/>
            <w:tcBorders>
              <w:top w:val="nil"/>
              <w:left w:val="single" w:sz="4" w:space="0" w:color="auto"/>
              <w:bottom w:val="single" w:sz="4" w:space="0" w:color="auto"/>
              <w:right w:val="single" w:sz="8" w:space="0" w:color="auto"/>
            </w:tcBorders>
            <w:shd w:val="clear" w:color="auto" w:fill="auto"/>
            <w:vAlign w:val="center"/>
            <w:hideMark/>
          </w:tcPr>
          <w:p w14:paraId="11631E2D" w14:textId="77777777" w:rsidR="001F2A4B" w:rsidRPr="00150ABA" w:rsidRDefault="001F2A4B" w:rsidP="001F2A4B">
            <w:pPr>
              <w:rPr>
                <w:rFonts w:ascii="Roboto" w:hAnsi="Roboto"/>
                <w:noProof/>
                <w:sz w:val="18"/>
                <w:szCs w:val="18"/>
              </w:rPr>
            </w:pPr>
            <w:r w:rsidRPr="00150ABA">
              <w:rPr>
                <w:rFonts w:ascii="Roboto" w:hAnsi="Roboto"/>
                <w:noProof/>
                <w:sz w:val="18"/>
                <w:szCs w:val="18"/>
              </w:rPr>
              <w:t>Test Management – to test the overall solution</w:t>
            </w:r>
          </w:p>
        </w:tc>
      </w:tr>
      <w:tr w:rsidR="001F2A4B" w:rsidRPr="00150ABA" w14:paraId="145689AD" w14:textId="77777777" w:rsidTr="001F2A4B">
        <w:trPr>
          <w:trHeight w:val="288"/>
          <w:jc w:val="center"/>
        </w:trPr>
        <w:tc>
          <w:tcPr>
            <w:tcW w:w="1159" w:type="pct"/>
            <w:tcBorders>
              <w:top w:val="nil"/>
              <w:left w:val="single" w:sz="4" w:space="0" w:color="auto"/>
              <w:bottom w:val="single" w:sz="4" w:space="0" w:color="auto"/>
              <w:right w:val="single" w:sz="8" w:space="0" w:color="auto"/>
            </w:tcBorders>
            <w:shd w:val="clear" w:color="auto" w:fill="auto"/>
            <w:vAlign w:val="center"/>
            <w:hideMark/>
          </w:tcPr>
          <w:p w14:paraId="0B81F9BD" w14:textId="77777777" w:rsidR="001F2A4B" w:rsidRPr="00150ABA" w:rsidRDefault="001F2A4B" w:rsidP="001F2A4B">
            <w:pPr>
              <w:rPr>
                <w:rFonts w:ascii="Roboto" w:hAnsi="Roboto"/>
                <w:noProof/>
                <w:sz w:val="18"/>
                <w:szCs w:val="18"/>
              </w:rPr>
            </w:pPr>
            <w:r w:rsidRPr="00150ABA">
              <w:rPr>
                <w:rFonts w:ascii="Roboto" w:hAnsi="Roboto"/>
                <w:noProof/>
                <w:sz w:val="18"/>
                <w:szCs w:val="18"/>
              </w:rPr>
              <w:t>Release &amp; Change Management – to ensure the transition management including Software Development Lifecycle Development (SDLC)</w:t>
            </w:r>
          </w:p>
        </w:tc>
      </w:tr>
      <w:tr w:rsidR="001F2A4B" w:rsidRPr="00150ABA" w14:paraId="461D5125" w14:textId="77777777" w:rsidTr="001F2A4B">
        <w:trPr>
          <w:trHeight w:val="288"/>
          <w:jc w:val="center"/>
        </w:trPr>
        <w:tc>
          <w:tcPr>
            <w:tcW w:w="1159" w:type="pct"/>
            <w:tcBorders>
              <w:top w:val="nil"/>
              <w:left w:val="single" w:sz="4" w:space="0" w:color="auto"/>
              <w:bottom w:val="single" w:sz="4" w:space="0" w:color="auto"/>
              <w:right w:val="single" w:sz="8" w:space="0" w:color="auto"/>
            </w:tcBorders>
            <w:shd w:val="clear" w:color="auto" w:fill="auto"/>
            <w:vAlign w:val="center"/>
            <w:hideMark/>
          </w:tcPr>
          <w:p w14:paraId="56EC664C" w14:textId="77777777" w:rsidR="001F2A4B" w:rsidRPr="00150ABA" w:rsidRDefault="001F2A4B" w:rsidP="001F2A4B">
            <w:pPr>
              <w:rPr>
                <w:rFonts w:ascii="Roboto" w:hAnsi="Roboto"/>
                <w:noProof/>
                <w:sz w:val="18"/>
                <w:szCs w:val="18"/>
              </w:rPr>
            </w:pPr>
            <w:r w:rsidRPr="00150ABA">
              <w:rPr>
                <w:rFonts w:ascii="Roboto" w:hAnsi="Roboto"/>
                <w:noProof/>
                <w:sz w:val="18"/>
                <w:szCs w:val="18"/>
              </w:rPr>
              <w:t>Network Management – to administer and to architect the network</w:t>
            </w:r>
          </w:p>
        </w:tc>
      </w:tr>
      <w:tr w:rsidR="001F2A4B" w:rsidRPr="00150ABA" w14:paraId="4A3D20DB" w14:textId="77777777" w:rsidTr="001F2A4B">
        <w:trPr>
          <w:trHeight w:val="288"/>
          <w:jc w:val="center"/>
        </w:trPr>
        <w:tc>
          <w:tcPr>
            <w:tcW w:w="1159" w:type="pct"/>
            <w:tcBorders>
              <w:top w:val="nil"/>
              <w:left w:val="single" w:sz="4" w:space="0" w:color="auto"/>
              <w:bottom w:val="single" w:sz="4" w:space="0" w:color="auto"/>
              <w:right w:val="single" w:sz="8" w:space="0" w:color="auto"/>
            </w:tcBorders>
            <w:shd w:val="clear" w:color="auto" w:fill="auto"/>
            <w:vAlign w:val="center"/>
            <w:hideMark/>
          </w:tcPr>
          <w:p w14:paraId="6DBEC29E" w14:textId="77777777" w:rsidR="001F2A4B" w:rsidRPr="00150ABA" w:rsidRDefault="001F2A4B" w:rsidP="001F2A4B">
            <w:pPr>
              <w:rPr>
                <w:rFonts w:ascii="Roboto" w:hAnsi="Roboto"/>
                <w:noProof/>
                <w:sz w:val="18"/>
                <w:szCs w:val="18"/>
              </w:rPr>
            </w:pPr>
            <w:r w:rsidRPr="00150ABA">
              <w:rPr>
                <w:rFonts w:ascii="Roboto" w:hAnsi="Roboto"/>
                <w:noProof/>
                <w:sz w:val="18"/>
                <w:szCs w:val="18"/>
              </w:rPr>
              <w:t>Security Management - to work on the security architecture and all the security controls/solution to be put in place, including data protection.</w:t>
            </w:r>
          </w:p>
        </w:tc>
      </w:tr>
      <w:tr w:rsidR="001F2A4B" w:rsidRPr="00150ABA" w14:paraId="0F3CFC81" w14:textId="77777777" w:rsidTr="001F2A4B">
        <w:tblPrEx>
          <w:tblCellMar>
            <w:left w:w="63" w:type="dxa"/>
            <w:right w:w="63" w:type="dxa"/>
          </w:tblCellMar>
        </w:tblPrEx>
        <w:trPr>
          <w:trHeight w:val="177"/>
          <w:jc w:val="center"/>
        </w:trPr>
        <w:tc>
          <w:tcPr>
            <w:tcW w:w="1159" w:type="pct"/>
            <w:tcBorders>
              <w:top w:val="nil"/>
              <w:left w:val="single" w:sz="2" w:space="0" w:color="auto"/>
              <w:bottom w:val="single" w:sz="2" w:space="0" w:color="auto"/>
              <w:right w:val="single" w:sz="4" w:space="0" w:color="auto"/>
            </w:tcBorders>
            <w:shd w:val="clear" w:color="auto" w:fill="auto"/>
            <w:vAlign w:val="center"/>
            <w:hideMark/>
          </w:tcPr>
          <w:p w14:paraId="26225C55" w14:textId="77777777" w:rsidR="001F2A4B" w:rsidRPr="00150ABA" w:rsidRDefault="001F2A4B" w:rsidP="001F2A4B">
            <w:pPr>
              <w:rPr>
                <w:rFonts w:ascii="Roboto" w:hAnsi="Roboto"/>
                <w:noProof/>
                <w:sz w:val="18"/>
                <w:szCs w:val="18"/>
              </w:rPr>
            </w:pPr>
            <w:r w:rsidRPr="00150ABA">
              <w:rPr>
                <w:rFonts w:ascii="Roboto" w:hAnsi="Roboto"/>
                <w:noProof/>
                <w:sz w:val="18"/>
                <w:szCs w:val="18"/>
              </w:rPr>
              <w:t>1st level support operator (24x7) – to ensure the 1st level support for the JITs collaboration platform, as per SLA</w:t>
            </w:r>
          </w:p>
        </w:tc>
      </w:tr>
      <w:tr w:rsidR="001F2A4B" w:rsidRPr="00150ABA" w14:paraId="3631326B" w14:textId="77777777" w:rsidTr="001F2A4B">
        <w:trPr>
          <w:trHeight w:val="300"/>
          <w:jc w:val="center"/>
        </w:trPr>
        <w:tc>
          <w:tcPr>
            <w:tcW w:w="1159" w:type="pct"/>
            <w:tcBorders>
              <w:top w:val="nil"/>
              <w:left w:val="single" w:sz="4" w:space="0" w:color="auto"/>
              <w:bottom w:val="single" w:sz="4" w:space="0" w:color="auto"/>
              <w:right w:val="single" w:sz="8" w:space="0" w:color="auto"/>
            </w:tcBorders>
            <w:shd w:val="clear" w:color="auto" w:fill="auto"/>
            <w:vAlign w:val="center"/>
            <w:hideMark/>
          </w:tcPr>
          <w:p w14:paraId="31AF8940" w14:textId="77777777" w:rsidR="001F2A4B" w:rsidRPr="00150ABA" w:rsidRDefault="001F2A4B" w:rsidP="001F2A4B">
            <w:pPr>
              <w:rPr>
                <w:rFonts w:ascii="Roboto" w:hAnsi="Roboto"/>
                <w:noProof/>
                <w:sz w:val="18"/>
                <w:szCs w:val="18"/>
              </w:rPr>
            </w:pPr>
            <w:r w:rsidRPr="00150ABA">
              <w:rPr>
                <w:rFonts w:ascii="Roboto" w:hAnsi="Roboto"/>
                <w:noProof/>
                <w:sz w:val="18"/>
                <w:szCs w:val="18"/>
              </w:rPr>
              <w:t>2</w:t>
            </w:r>
            <w:r w:rsidRPr="00150ABA">
              <w:rPr>
                <w:rFonts w:ascii="Roboto" w:hAnsi="Roboto"/>
                <w:noProof/>
                <w:sz w:val="18"/>
                <w:szCs w:val="18"/>
                <w:vertAlign w:val="superscript"/>
              </w:rPr>
              <w:t>nd</w:t>
            </w:r>
            <w:r w:rsidRPr="00150ABA">
              <w:rPr>
                <w:rFonts w:ascii="Roboto" w:hAnsi="Roboto"/>
                <w:noProof/>
                <w:sz w:val="18"/>
                <w:szCs w:val="18"/>
              </w:rPr>
              <w:t xml:space="preserve"> level support administrator (24x7) - to ensure the 2nd level support for the JITs collaboration platform, as per SLA</w:t>
            </w:r>
          </w:p>
        </w:tc>
      </w:tr>
      <w:tr w:rsidR="001F2A4B" w:rsidRPr="00150ABA" w14:paraId="6A15BB4A" w14:textId="77777777" w:rsidTr="001F2A4B">
        <w:trPr>
          <w:trHeight w:val="300"/>
          <w:jc w:val="center"/>
        </w:trPr>
        <w:tc>
          <w:tcPr>
            <w:tcW w:w="1159" w:type="pct"/>
            <w:tcBorders>
              <w:top w:val="nil"/>
              <w:left w:val="single" w:sz="4" w:space="0" w:color="auto"/>
              <w:bottom w:val="single" w:sz="4" w:space="0" w:color="auto"/>
              <w:right w:val="single" w:sz="8" w:space="0" w:color="auto"/>
            </w:tcBorders>
            <w:shd w:val="clear" w:color="auto" w:fill="auto"/>
            <w:vAlign w:val="center"/>
          </w:tcPr>
          <w:p w14:paraId="1868085E" w14:textId="77777777" w:rsidR="001F2A4B" w:rsidRPr="00150ABA" w:rsidRDefault="001F2A4B" w:rsidP="001F2A4B">
            <w:pPr>
              <w:rPr>
                <w:rFonts w:ascii="Roboto" w:hAnsi="Roboto"/>
                <w:noProof/>
                <w:sz w:val="18"/>
                <w:szCs w:val="18"/>
              </w:rPr>
            </w:pPr>
            <w:r w:rsidRPr="00150ABA">
              <w:rPr>
                <w:rFonts w:ascii="Roboto" w:hAnsi="Roboto"/>
                <w:noProof/>
                <w:sz w:val="18"/>
                <w:szCs w:val="18"/>
              </w:rPr>
              <w:t>Infrastructure Management – to be in charge of the infrastructure</w:t>
            </w:r>
          </w:p>
        </w:tc>
      </w:tr>
      <w:tr w:rsidR="001F2A4B" w:rsidRPr="00150ABA" w14:paraId="5CDB7F65" w14:textId="77777777" w:rsidTr="001F2A4B">
        <w:trPr>
          <w:trHeight w:val="552"/>
          <w:jc w:val="center"/>
        </w:trPr>
        <w:tc>
          <w:tcPr>
            <w:tcW w:w="1159" w:type="pct"/>
            <w:tcBorders>
              <w:top w:val="nil"/>
              <w:left w:val="single" w:sz="4" w:space="0" w:color="auto"/>
              <w:bottom w:val="single" w:sz="4" w:space="0" w:color="auto"/>
              <w:right w:val="single" w:sz="8" w:space="0" w:color="auto"/>
            </w:tcBorders>
            <w:shd w:val="clear" w:color="auto" w:fill="auto"/>
            <w:vAlign w:val="center"/>
            <w:hideMark/>
          </w:tcPr>
          <w:p w14:paraId="5EBEE81D" w14:textId="77777777" w:rsidR="001F2A4B" w:rsidRPr="00150ABA" w:rsidRDefault="001F2A4B" w:rsidP="001F2A4B">
            <w:pPr>
              <w:rPr>
                <w:rFonts w:ascii="Roboto" w:hAnsi="Roboto"/>
                <w:noProof/>
                <w:sz w:val="18"/>
                <w:szCs w:val="18"/>
              </w:rPr>
            </w:pPr>
            <w:r w:rsidRPr="00150ABA">
              <w:rPr>
                <w:rFonts w:ascii="Roboto" w:hAnsi="Roboto"/>
                <w:noProof/>
                <w:sz w:val="18"/>
                <w:szCs w:val="18"/>
              </w:rPr>
              <w:t>Programme and Project management - to take care of the coordination of the overall programme/project management</w:t>
            </w:r>
          </w:p>
        </w:tc>
      </w:tr>
      <w:tr w:rsidR="001F2A4B" w:rsidRPr="00150ABA" w14:paraId="518E38EC" w14:textId="77777777" w:rsidTr="001F2A4B">
        <w:trPr>
          <w:trHeight w:val="288"/>
          <w:jc w:val="center"/>
        </w:trPr>
        <w:tc>
          <w:tcPr>
            <w:tcW w:w="1159" w:type="pct"/>
            <w:tcBorders>
              <w:top w:val="nil"/>
              <w:left w:val="single" w:sz="4" w:space="0" w:color="auto"/>
              <w:bottom w:val="single" w:sz="4" w:space="0" w:color="auto"/>
              <w:right w:val="single" w:sz="8" w:space="0" w:color="auto"/>
            </w:tcBorders>
            <w:shd w:val="clear" w:color="auto" w:fill="auto"/>
            <w:vAlign w:val="center"/>
            <w:hideMark/>
          </w:tcPr>
          <w:p w14:paraId="6BB31DE1" w14:textId="77777777" w:rsidR="001F2A4B" w:rsidRPr="00150ABA" w:rsidRDefault="001F2A4B" w:rsidP="001F2A4B">
            <w:pPr>
              <w:rPr>
                <w:rFonts w:ascii="Roboto" w:hAnsi="Roboto"/>
                <w:noProof/>
                <w:sz w:val="18"/>
                <w:szCs w:val="18"/>
              </w:rPr>
            </w:pPr>
            <w:r w:rsidRPr="00150ABA">
              <w:rPr>
                <w:rFonts w:ascii="Roboto" w:hAnsi="Roboto"/>
                <w:noProof/>
                <w:sz w:val="18"/>
                <w:szCs w:val="18"/>
              </w:rPr>
              <w:t>Product/Service Owner – to be in charge of the product once operational</w:t>
            </w:r>
          </w:p>
        </w:tc>
      </w:tr>
      <w:tr w:rsidR="001F2A4B" w:rsidRPr="00150ABA" w14:paraId="75D834CB" w14:textId="77777777" w:rsidTr="001F2A4B">
        <w:trPr>
          <w:trHeight w:val="288"/>
          <w:jc w:val="center"/>
        </w:trPr>
        <w:tc>
          <w:tcPr>
            <w:tcW w:w="1159" w:type="pct"/>
            <w:tcBorders>
              <w:top w:val="nil"/>
              <w:left w:val="single" w:sz="4" w:space="0" w:color="auto"/>
              <w:bottom w:val="single" w:sz="4" w:space="0" w:color="auto"/>
              <w:right w:val="single" w:sz="8" w:space="0" w:color="auto"/>
            </w:tcBorders>
            <w:shd w:val="clear" w:color="auto" w:fill="auto"/>
            <w:vAlign w:val="center"/>
            <w:hideMark/>
          </w:tcPr>
          <w:p w14:paraId="582A9D0F" w14:textId="77777777" w:rsidR="001F2A4B" w:rsidRPr="00150ABA" w:rsidRDefault="001F2A4B" w:rsidP="001F2A4B">
            <w:pPr>
              <w:rPr>
                <w:rFonts w:ascii="Roboto" w:hAnsi="Roboto"/>
                <w:noProof/>
                <w:sz w:val="18"/>
                <w:szCs w:val="18"/>
              </w:rPr>
            </w:pPr>
            <w:r w:rsidRPr="00150ABA">
              <w:rPr>
                <w:rFonts w:ascii="Roboto" w:hAnsi="Roboto"/>
                <w:noProof/>
                <w:sz w:val="18"/>
                <w:szCs w:val="18"/>
              </w:rPr>
              <w:t>System &amp; Application Administration – to take care of the infrastructure (hardware, software, application) build &amp; further administration</w:t>
            </w:r>
          </w:p>
        </w:tc>
      </w:tr>
      <w:tr w:rsidR="001F2A4B" w:rsidRPr="00150ABA" w14:paraId="5AFE460B" w14:textId="77777777" w:rsidTr="001F2A4B">
        <w:trPr>
          <w:trHeight w:val="288"/>
          <w:jc w:val="center"/>
        </w:trPr>
        <w:tc>
          <w:tcPr>
            <w:tcW w:w="1159" w:type="pct"/>
            <w:tcBorders>
              <w:top w:val="nil"/>
              <w:left w:val="single" w:sz="4" w:space="0" w:color="auto"/>
              <w:bottom w:val="single" w:sz="4" w:space="0" w:color="auto"/>
              <w:right w:val="single" w:sz="8" w:space="0" w:color="auto"/>
            </w:tcBorders>
            <w:shd w:val="clear" w:color="auto" w:fill="auto"/>
            <w:vAlign w:val="center"/>
          </w:tcPr>
          <w:p w14:paraId="026E429E" w14:textId="77777777" w:rsidR="001F2A4B" w:rsidRPr="00150ABA" w:rsidRDefault="001F2A4B" w:rsidP="001F2A4B">
            <w:pPr>
              <w:rPr>
                <w:rFonts w:ascii="Roboto" w:hAnsi="Roboto"/>
                <w:noProof/>
                <w:sz w:val="18"/>
                <w:szCs w:val="18"/>
              </w:rPr>
            </w:pPr>
            <w:r w:rsidRPr="00150ABA">
              <w:rPr>
                <w:rFonts w:ascii="Roboto" w:hAnsi="Roboto"/>
                <w:noProof/>
                <w:sz w:val="18"/>
                <w:szCs w:val="18"/>
              </w:rPr>
              <w:t>Transversal Services (Finance &amp; Procurement and HR) – to work on horizontal aspects related with transversal services.</w:t>
            </w:r>
          </w:p>
        </w:tc>
      </w:tr>
      <w:tr w:rsidR="001F2A4B" w:rsidRPr="00150ABA" w14:paraId="7D4A6025" w14:textId="77777777" w:rsidTr="001F2A4B">
        <w:trPr>
          <w:trHeight w:val="288"/>
          <w:jc w:val="center"/>
        </w:trPr>
        <w:tc>
          <w:tcPr>
            <w:tcW w:w="1159" w:type="pct"/>
            <w:tcBorders>
              <w:top w:val="nil"/>
              <w:left w:val="single" w:sz="4" w:space="0" w:color="auto"/>
              <w:bottom w:val="single" w:sz="4" w:space="0" w:color="auto"/>
              <w:right w:val="single" w:sz="8" w:space="0" w:color="auto"/>
            </w:tcBorders>
            <w:shd w:val="clear" w:color="auto" w:fill="auto"/>
            <w:vAlign w:val="center"/>
          </w:tcPr>
          <w:p w14:paraId="67D1F900" w14:textId="77777777" w:rsidR="001F2A4B" w:rsidRPr="00150ABA" w:rsidRDefault="001F2A4B" w:rsidP="001F2A4B">
            <w:pPr>
              <w:rPr>
                <w:rFonts w:ascii="Roboto" w:hAnsi="Roboto"/>
                <w:noProof/>
                <w:sz w:val="18"/>
                <w:szCs w:val="18"/>
              </w:rPr>
            </w:pPr>
            <w:r w:rsidRPr="00150ABA">
              <w:rPr>
                <w:rFonts w:ascii="Roboto" w:hAnsi="Roboto"/>
                <w:noProof/>
                <w:sz w:val="18"/>
                <w:szCs w:val="18"/>
              </w:rPr>
              <w:t>Business Relationship &amp; Stakeholders’ Management - to work on business requirements, the implementing acts, stakeholders’ meetings (e.g. Advisory Group, Expert Group, etc.).</w:t>
            </w:r>
          </w:p>
        </w:tc>
      </w:tr>
    </w:tbl>
    <w:p w14:paraId="295761E8" w14:textId="77777777" w:rsidR="001F2A4B" w:rsidRPr="00150ABA" w:rsidRDefault="001F2A4B" w:rsidP="001F2A4B">
      <w:pPr>
        <w:rPr>
          <w:noProof/>
        </w:rPr>
      </w:pPr>
    </w:p>
    <w:p w14:paraId="1853BB81" w14:textId="6569CE7D" w:rsidR="001F2A4B" w:rsidRPr="00150ABA" w:rsidRDefault="00D76D82" w:rsidP="00D76D82">
      <w:pPr>
        <w:pStyle w:val="ManualHeading4"/>
        <w:rPr>
          <w:bCs/>
          <w:noProof/>
          <w:szCs w:val="24"/>
        </w:rPr>
      </w:pPr>
      <w:r w:rsidRPr="00D76D82">
        <w:t>3.2.5.2.</w:t>
      </w:r>
      <w:r w:rsidRPr="00D76D82">
        <w:tab/>
      </w:r>
      <w:r w:rsidR="001F2A4B" w:rsidRPr="00150ABA">
        <w:rPr>
          <w:noProof/>
        </w:rPr>
        <w:t>Estimated requirements of human resources for the parent DG</w:t>
      </w:r>
    </w:p>
    <w:p w14:paraId="5F4CFC82" w14:textId="77777777" w:rsidR="001F2A4B" w:rsidRPr="00150ABA" w:rsidRDefault="001F2A4B" w:rsidP="008326C2">
      <w:pPr>
        <w:pStyle w:val="ListDash1"/>
        <w:numPr>
          <w:ilvl w:val="0"/>
          <w:numId w:val="16"/>
        </w:numPr>
        <w:rPr>
          <w:noProof/>
        </w:rPr>
      </w:pPr>
      <w:r w:rsidRPr="00150ABA">
        <w:rPr>
          <w:noProof/>
        </w:rPr>
        <w:sym w:font="Wingdings" w:char="F0A8"/>
      </w:r>
      <w:r w:rsidRPr="00150ABA">
        <w:rPr>
          <w:noProof/>
        </w:rPr>
        <w:tab/>
        <w:t xml:space="preserve">The proposal/initiative does not require the use of human resources. </w:t>
      </w:r>
    </w:p>
    <w:p w14:paraId="277FED5B" w14:textId="77777777" w:rsidR="001F2A4B" w:rsidRPr="00150ABA" w:rsidRDefault="001F2A4B" w:rsidP="008326C2">
      <w:pPr>
        <w:pStyle w:val="ListDash1"/>
        <w:numPr>
          <w:ilvl w:val="0"/>
          <w:numId w:val="16"/>
        </w:numPr>
        <w:rPr>
          <w:noProof/>
        </w:rPr>
      </w:pPr>
      <w:r w:rsidRPr="00150ABA">
        <w:rPr>
          <w:noProof/>
        </w:rPr>
        <w:sym w:font="Wingdings" w:char="F0FE"/>
      </w:r>
      <w:r w:rsidRPr="00150ABA">
        <w:rPr>
          <w:noProof/>
        </w:rPr>
        <w:tab/>
        <w:t>The proposal/initiative requires the use of human resources, as explained below:</w:t>
      </w:r>
    </w:p>
    <w:p w14:paraId="71C185A3" w14:textId="77777777" w:rsidR="001F2A4B" w:rsidRPr="00150ABA" w:rsidRDefault="001F2A4B" w:rsidP="001F2A4B">
      <w:pPr>
        <w:spacing w:after="60"/>
        <w:jc w:val="right"/>
        <w:rPr>
          <w:i/>
          <w:noProof/>
          <w:sz w:val="20"/>
        </w:rPr>
      </w:pPr>
      <w:r w:rsidRPr="00150ABA">
        <w:rPr>
          <w:i/>
          <w:noProof/>
          <w:sz w:val="20"/>
        </w:rPr>
        <w:t>Estimate to be expressed in full amounts (or at most to one decimal place)</w:t>
      </w:r>
    </w:p>
    <w:tbl>
      <w:tblPr>
        <w:tblW w:w="3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3"/>
        <w:gridCol w:w="2059"/>
        <w:gridCol w:w="756"/>
        <w:gridCol w:w="756"/>
        <w:gridCol w:w="816"/>
        <w:gridCol w:w="998"/>
      </w:tblGrid>
      <w:tr w:rsidR="001F2A4B" w:rsidRPr="00150ABA" w14:paraId="6C0D81B5" w14:textId="77777777" w:rsidTr="001F2A4B">
        <w:trPr>
          <w:trHeight w:val="289"/>
          <w:jc w:val="center"/>
        </w:trPr>
        <w:tc>
          <w:tcPr>
            <w:tcW w:w="2761" w:type="pct"/>
            <w:gridSpan w:val="2"/>
            <w:shd w:val="clear" w:color="auto" w:fill="auto"/>
          </w:tcPr>
          <w:p w14:paraId="2830A64B" w14:textId="77777777" w:rsidR="001F2A4B" w:rsidRPr="00150ABA" w:rsidRDefault="001F2A4B" w:rsidP="001F2A4B">
            <w:pPr>
              <w:pStyle w:val="Text1"/>
              <w:spacing w:before="40" w:after="40"/>
              <w:ind w:left="0"/>
              <w:jc w:val="center"/>
              <w:rPr>
                <w:i/>
                <w:noProof/>
                <w:sz w:val="20"/>
              </w:rPr>
            </w:pPr>
          </w:p>
        </w:tc>
        <w:tc>
          <w:tcPr>
            <w:tcW w:w="509" w:type="pct"/>
            <w:shd w:val="clear" w:color="auto" w:fill="auto"/>
            <w:vAlign w:val="center"/>
          </w:tcPr>
          <w:p w14:paraId="6D684A42" w14:textId="77777777" w:rsidR="001F2A4B" w:rsidRPr="00150ABA" w:rsidRDefault="001F2A4B" w:rsidP="001F2A4B">
            <w:pPr>
              <w:spacing w:before="20" w:after="20"/>
              <w:jc w:val="center"/>
              <w:rPr>
                <w:noProof/>
                <w:sz w:val="20"/>
              </w:rPr>
            </w:pPr>
            <w:r w:rsidRPr="00150ABA">
              <w:rPr>
                <w:noProof/>
                <w:sz w:val="20"/>
              </w:rPr>
              <w:t>Year</w:t>
            </w:r>
            <w:r w:rsidRPr="00150ABA">
              <w:rPr>
                <w:noProof/>
                <w:sz w:val="22"/>
              </w:rPr>
              <w:br/>
            </w:r>
            <w:r w:rsidRPr="00150ABA">
              <w:rPr>
                <w:b/>
                <w:noProof/>
                <w:sz w:val="20"/>
              </w:rPr>
              <w:t>2024</w:t>
            </w:r>
          </w:p>
        </w:tc>
        <w:tc>
          <w:tcPr>
            <w:tcW w:w="509" w:type="pct"/>
            <w:shd w:val="clear" w:color="auto" w:fill="auto"/>
            <w:vAlign w:val="center"/>
          </w:tcPr>
          <w:p w14:paraId="54F5BCF6" w14:textId="77777777" w:rsidR="001F2A4B" w:rsidRPr="00150ABA" w:rsidRDefault="001F2A4B" w:rsidP="001F2A4B">
            <w:pPr>
              <w:spacing w:before="20" w:after="20"/>
              <w:jc w:val="center"/>
              <w:rPr>
                <w:noProof/>
                <w:sz w:val="20"/>
              </w:rPr>
            </w:pPr>
            <w:r w:rsidRPr="00150ABA">
              <w:rPr>
                <w:noProof/>
                <w:sz w:val="20"/>
              </w:rPr>
              <w:t>Year</w:t>
            </w:r>
            <w:r w:rsidRPr="00150ABA">
              <w:rPr>
                <w:noProof/>
                <w:sz w:val="22"/>
              </w:rPr>
              <w:br/>
            </w:r>
            <w:r w:rsidRPr="00150ABA">
              <w:rPr>
                <w:b/>
                <w:noProof/>
                <w:sz w:val="20"/>
              </w:rPr>
              <w:t>2025</w:t>
            </w:r>
          </w:p>
        </w:tc>
        <w:tc>
          <w:tcPr>
            <w:tcW w:w="549" w:type="pct"/>
            <w:shd w:val="clear" w:color="auto" w:fill="auto"/>
            <w:vAlign w:val="center"/>
          </w:tcPr>
          <w:p w14:paraId="725F144A" w14:textId="77777777" w:rsidR="001F2A4B" w:rsidRPr="00150ABA" w:rsidRDefault="001F2A4B" w:rsidP="001F2A4B">
            <w:pPr>
              <w:spacing w:before="20" w:after="20"/>
              <w:jc w:val="center"/>
              <w:rPr>
                <w:noProof/>
                <w:sz w:val="20"/>
              </w:rPr>
            </w:pPr>
            <w:r w:rsidRPr="00150ABA">
              <w:rPr>
                <w:noProof/>
                <w:sz w:val="20"/>
              </w:rPr>
              <w:t>Year</w:t>
            </w:r>
            <w:r w:rsidRPr="00150ABA">
              <w:rPr>
                <w:noProof/>
                <w:sz w:val="22"/>
              </w:rPr>
              <w:br/>
            </w:r>
            <w:r w:rsidRPr="00150ABA">
              <w:rPr>
                <w:b/>
                <w:noProof/>
                <w:sz w:val="20"/>
              </w:rPr>
              <w:t>2026</w:t>
            </w:r>
          </w:p>
        </w:tc>
        <w:tc>
          <w:tcPr>
            <w:tcW w:w="672" w:type="pct"/>
            <w:shd w:val="clear" w:color="auto" w:fill="auto"/>
            <w:vAlign w:val="center"/>
          </w:tcPr>
          <w:p w14:paraId="449A3C71" w14:textId="77777777" w:rsidR="001F2A4B" w:rsidRPr="00150ABA" w:rsidRDefault="001F2A4B" w:rsidP="001F2A4B">
            <w:pPr>
              <w:spacing w:before="20" w:after="20"/>
              <w:jc w:val="center"/>
              <w:rPr>
                <w:noProof/>
                <w:sz w:val="20"/>
              </w:rPr>
            </w:pPr>
            <w:r w:rsidRPr="00150ABA">
              <w:rPr>
                <w:noProof/>
                <w:sz w:val="20"/>
              </w:rPr>
              <w:t>Year</w:t>
            </w:r>
            <w:r w:rsidRPr="00150ABA">
              <w:rPr>
                <w:noProof/>
                <w:sz w:val="22"/>
              </w:rPr>
              <w:br/>
            </w:r>
            <w:r w:rsidRPr="00150ABA">
              <w:rPr>
                <w:b/>
                <w:noProof/>
                <w:sz w:val="20"/>
              </w:rPr>
              <w:t>2027</w:t>
            </w:r>
          </w:p>
        </w:tc>
      </w:tr>
      <w:tr w:rsidR="001F2A4B" w:rsidRPr="00150ABA" w14:paraId="21A22DA4" w14:textId="77777777" w:rsidTr="001F2A4B">
        <w:trPr>
          <w:trHeight w:val="289"/>
          <w:jc w:val="center"/>
        </w:trPr>
        <w:tc>
          <w:tcPr>
            <w:tcW w:w="2761" w:type="pct"/>
            <w:gridSpan w:val="2"/>
            <w:shd w:val="clear" w:color="auto" w:fill="auto"/>
            <w:vAlign w:val="center"/>
          </w:tcPr>
          <w:p w14:paraId="5D35E19B" w14:textId="77777777" w:rsidR="001F2A4B" w:rsidRPr="00150ABA" w:rsidRDefault="001F2A4B" w:rsidP="008326C2">
            <w:pPr>
              <w:pStyle w:val="Text1"/>
              <w:numPr>
                <w:ilvl w:val="0"/>
                <w:numId w:val="17"/>
              </w:numPr>
              <w:tabs>
                <w:tab w:val="left" w:pos="208"/>
              </w:tabs>
              <w:spacing w:beforeLines="20" w:before="48" w:afterLines="20" w:after="48"/>
              <w:ind w:left="208" w:hanging="120"/>
              <w:jc w:val="left"/>
              <w:rPr>
                <w:b/>
                <w:noProof/>
                <w:sz w:val="20"/>
              </w:rPr>
            </w:pPr>
            <w:r w:rsidRPr="00150ABA">
              <w:rPr>
                <w:b/>
                <w:noProof/>
                <w:sz w:val="20"/>
              </w:rPr>
              <w:t>Establishment plan posts (officials and temporary staff)</w:t>
            </w:r>
          </w:p>
        </w:tc>
        <w:tc>
          <w:tcPr>
            <w:tcW w:w="509" w:type="pct"/>
            <w:shd w:val="clear" w:color="auto" w:fill="auto"/>
            <w:vAlign w:val="center"/>
          </w:tcPr>
          <w:p w14:paraId="771CE407" w14:textId="77777777" w:rsidR="001F2A4B" w:rsidRPr="00150ABA" w:rsidRDefault="001F2A4B" w:rsidP="001F2A4B">
            <w:pPr>
              <w:spacing w:beforeLines="20" w:before="48" w:afterLines="20" w:after="48"/>
              <w:jc w:val="center"/>
              <w:rPr>
                <w:noProof/>
                <w:sz w:val="20"/>
              </w:rPr>
            </w:pPr>
          </w:p>
        </w:tc>
        <w:tc>
          <w:tcPr>
            <w:tcW w:w="509" w:type="pct"/>
            <w:shd w:val="clear" w:color="auto" w:fill="auto"/>
            <w:vAlign w:val="center"/>
          </w:tcPr>
          <w:p w14:paraId="2A64CFE3" w14:textId="77777777" w:rsidR="001F2A4B" w:rsidRPr="00150ABA" w:rsidRDefault="001F2A4B" w:rsidP="001F2A4B">
            <w:pPr>
              <w:spacing w:beforeLines="20" w:before="48" w:afterLines="20" w:after="48"/>
              <w:jc w:val="center"/>
              <w:rPr>
                <w:noProof/>
                <w:sz w:val="20"/>
              </w:rPr>
            </w:pPr>
          </w:p>
        </w:tc>
        <w:tc>
          <w:tcPr>
            <w:tcW w:w="549" w:type="pct"/>
            <w:shd w:val="clear" w:color="auto" w:fill="auto"/>
            <w:vAlign w:val="center"/>
          </w:tcPr>
          <w:p w14:paraId="78880E4E" w14:textId="77777777" w:rsidR="001F2A4B" w:rsidRPr="00150ABA" w:rsidRDefault="001F2A4B" w:rsidP="001F2A4B">
            <w:pPr>
              <w:spacing w:beforeLines="20" w:before="48" w:afterLines="20" w:after="48"/>
              <w:jc w:val="center"/>
              <w:rPr>
                <w:noProof/>
                <w:sz w:val="20"/>
              </w:rPr>
            </w:pPr>
          </w:p>
        </w:tc>
        <w:tc>
          <w:tcPr>
            <w:tcW w:w="672" w:type="pct"/>
            <w:shd w:val="clear" w:color="auto" w:fill="auto"/>
            <w:vAlign w:val="center"/>
          </w:tcPr>
          <w:p w14:paraId="1699B42F" w14:textId="77777777" w:rsidR="001F2A4B" w:rsidRPr="00150ABA" w:rsidRDefault="001F2A4B" w:rsidP="001F2A4B">
            <w:pPr>
              <w:spacing w:beforeLines="20" w:before="48" w:afterLines="20" w:after="48"/>
              <w:jc w:val="center"/>
              <w:rPr>
                <w:noProof/>
                <w:sz w:val="20"/>
              </w:rPr>
            </w:pPr>
          </w:p>
        </w:tc>
      </w:tr>
      <w:tr w:rsidR="001F2A4B" w:rsidRPr="00150ABA" w14:paraId="27FB0F07" w14:textId="77777777" w:rsidTr="001F2A4B">
        <w:trPr>
          <w:trHeight w:val="289"/>
          <w:jc w:val="center"/>
        </w:trPr>
        <w:tc>
          <w:tcPr>
            <w:tcW w:w="2761" w:type="pct"/>
            <w:gridSpan w:val="2"/>
            <w:shd w:val="clear" w:color="auto" w:fill="auto"/>
            <w:vAlign w:val="center"/>
          </w:tcPr>
          <w:p w14:paraId="65BDB9C1" w14:textId="77777777" w:rsidR="001F2A4B" w:rsidRPr="00150ABA" w:rsidRDefault="001F2A4B" w:rsidP="001F2A4B">
            <w:pPr>
              <w:pStyle w:val="Text1"/>
              <w:spacing w:beforeLines="20" w:before="48" w:afterLines="20" w:after="48"/>
              <w:ind w:left="984"/>
              <w:jc w:val="left"/>
              <w:rPr>
                <w:b/>
                <w:noProof/>
                <w:sz w:val="20"/>
              </w:rPr>
            </w:pPr>
            <w:r w:rsidRPr="00150ABA">
              <w:rPr>
                <w:noProof/>
                <w:sz w:val="20"/>
              </w:rPr>
              <w:t>20 01 02 01 and 20 01 02 02 (Headquarters and Commission’s Representation Offices)</w:t>
            </w:r>
          </w:p>
        </w:tc>
        <w:tc>
          <w:tcPr>
            <w:tcW w:w="509" w:type="pct"/>
            <w:shd w:val="clear" w:color="auto" w:fill="auto"/>
            <w:vAlign w:val="center"/>
          </w:tcPr>
          <w:p w14:paraId="3A8BFE66" w14:textId="77777777" w:rsidR="001F2A4B" w:rsidRPr="00150ABA" w:rsidRDefault="001F2A4B" w:rsidP="001F2A4B">
            <w:pPr>
              <w:spacing w:beforeLines="20" w:before="48" w:afterLines="20" w:after="48"/>
              <w:jc w:val="center"/>
              <w:rPr>
                <w:noProof/>
                <w:sz w:val="20"/>
              </w:rPr>
            </w:pPr>
            <w:r w:rsidRPr="00150ABA">
              <w:rPr>
                <w:noProof/>
                <w:sz w:val="20"/>
              </w:rPr>
              <w:t>1</w:t>
            </w:r>
          </w:p>
        </w:tc>
        <w:tc>
          <w:tcPr>
            <w:tcW w:w="509" w:type="pct"/>
            <w:shd w:val="clear" w:color="auto" w:fill="auto"/>
            <w:vAlign w:val="center"/>
          </w:tcPr>
          <w:p w14:paraId="27AB6E5E" w14:textId="77777777" w:rsidR="001F2A4B" w:rsidRPr="00150ABA" w:rsidRDefault="001F2A4B" w:rsidP="001F2A4B">
            <w:pPr>
              <w:spacing w:beforeLines="20" w:before="48" w:afterLines="20" w:after="48"/>
              <w:jc w:val="center"/>
              <w:rPr>
                <w:noProof/>
                <w:sz w:val="20"/>
              </w:rPr>
            </w:pPr>
            <w:r w:rsidRPr="00150ABA">
              <w:rPr>
                <w:noProof/>
                <w:sz w:val="20"/>
              </w:rPr>
              <w:t>1</w:t>
            </w:r>
          </w:p>
        </w:tc>
        <w:tc>
          <w:tcPr>
            <w:tcW w:w="549" w:type="pct"/>
            <w:shd w:val="clear" w:color="auto" w:fill="auto"/>
            <w:vAlign w:val="center"/>
          </w:tcPr>
          <w:p w14:paraId="76B5C16B" w14:textId="77777777" w:rsidR="001F2A4B" w:rsidRPr="00150ABA" w:rsidRDefault="001F2A4B" w:rsidP="001F2A4B">
            <w:pPr>
              <w:spacing w:beforeLines="20" w:before="48" w:afterLines="20" w:after="48"/>
              <w:jc w:val="center"/>
              <w:rPr>
                <w:noProof/>
                <w:sz w:val="20"/>
              </w:rPr>
            </w:pPr>
            <w:r w:rsidRPr="00150ABA">
              <w:rPr>
                <w:noProof/>
                <w:sz w:val="20"/>
              </w:rPr>
              <w:t>1</w:t>
            </w:r>
          </w:p>
        </w:tc>
        <w:tc>
          <w:tcPr>
            <w:tcW w:w="672" w:type="pct"/>
            <w:shd w:val="clear" w:color="auto" w:fill="auto"/>
            <w:vAlign w:val="center"/>
          </w:tcPr>
          <w:p w14:paraId="35CA2BB2" w14:textId="77777777" w:rsidR="001F2A4B" w:rsidRPr="00150ABA" w:rsidRDefault="001F2A4B" w:rsidP="001F2A4B">
            <w:pPr>
              <w:spacing w:beforeLines="20" w:before="48" w:afterLines="20" w:after="48"/>
              <w:jc w:val="center"/>
              <w:rPr>
                <w:noProof/>
                <w:sz w:val="20"/>
              </w:rPr>
            </w:pPr>
            <w:r w:rsidRPr="00150ABA">
              <w:rPr>
                <w:noProof/>
                <w:sz w:val="20"/>
              </w:rPr>
              <w:t>1</w:t>
            </w:r>
          </w:p>
        </w:tc>
      </w:tr>
      <w:tr w:rsidR="001F2A4B" w:rsidRPr="00150ABA" w14:paraId="2D893361" w14:textId="77777777" w:rsidTr="001F2A4B">
        <w:trPr>
          <w:trHeight w:val="289"/>
          <w:jc w:val="center"/>
        </w:trPr>
        <w:tc>
          <w:tcPr>
            <w:tcW w:w="2761" w:type="pct"/>
            <w:gridSpan w:val="2"/>
            <w:shd w:val="clear" w:color="auto" w:fill="auto"/>
            <w:vAlign w:val="center"/>
          </w:tcPr>
          <w:p w14:paraId="657C3E55" w14:textId="77777777" w:rsidR="001F2A4B" w:rsidRPr="00150ABA" w:rsidRDefault="001F2A4B" w:rsidP="001F2A4B">
            <w:pPr>
              <w:pStyle w:val="Text1"/>
              <w:spacing w:beforeLines="20" w:before="48" w:afterLines="20" w:after="48"/>
              <w:ind w:left="984"/>
              <w:jc w:val="left"/>
              <w:rPr>
                <w:noProof/>
                <w:sz w:val="20"/>
              </w:rPr>
            </w:pPr>
            <w:r w:rsidRPr="00150ABA">
              <w:rPr>
                <w:noProof/>
                <w:sz w:val="20"/>
              </w:rPr>
              <w:t>20 01 02 03 (Delegations)</w:t>
            </w:r>
          </w:p>
        </w:tc>
        <w:tc>
          <w:tcPr>
            <w:tcW w:w="509" w:type="pct"/>
            <w:shd w:val="clear" w:color="auto" w:fill="auto"/>
            <w:vAlign w:val="center"/>
          </w:tcPr>
          <w:p w14:paraId="6A7024F5" w14:textId="77777777" w:rsidR="001F2A4B" w:rsidRPr="00150ABA" w:rsidRDefault="001F2A4B" w:rsidP="001F2A4B">
            <w:pPr>
              <w:spacing w:beforeLines="20" w:before="48" w:afterLines="20" w:after="48"/>
              <w:jc w:val="center"/>
              <w:rPr>
                <w:noProof/>
                <w:sz w:val="20"/>
              </w:rPr>
            </w:pPr>
          </w:p>
        </w:tc>
        <w:tc>
          <w:tcPr>
            <w:tcW w:w="509" w:type="pct"/>
            <w:shd w:val="clear" w:color="auto" w:fill="auto"/>
            <w:vAlign w:val="center"/>
          </w:tcPr>
          <w:p w14:paraId="6B46C24A" w14:textId="77777777" w:rsidR="001F2A4B" w:rsidRPr="00150ABA" w:rsidRDefault="001F2A4B" w:rsidP="001F2A4B">
            <w:pPr>
              <w:spacing w:beforeLines="20" w:before="48" w:afterLines="20" w:after="48"/>
              <w:jc w:val="center"/>
              <w:rPr>
                <w:noProof/>
                <w:sz w:val="20"/>
              </w:rPr>
            </w:pPr>
          </w:p>
        </w:tc>
        <w:tc>
          <w:tcPr>
            <w:tcW w:w="549" w:type="pct"/>
            <w:shd w:val="clear" w:color="auto" w:fill="auto"/>
            <w:vAlign w:val="center"/>
          </w:tcPr>
          <w:p w14:paraId="14987152" w14:textId="77777777" w:rsidR="001F2A4B" w:rsidRPr="00150ABA" w:rsidRDefault="001F2A4B" w:rsidP="001F2A4B">
            <w:pPr>
              <w:spacing w:beforeLines="20" w:before="48" w:afterLines="20" w:after="48"/>
              <w:jc w:val="center"/>
              <w:rPr>
                <w:noProof/>
                <w:sz w:val="20"/>
              </w:rPr>
            </w:pPr>
          </w:p>
        </w:tc>
        <w:tc>
          <w:tcPr>
            <w:tcW w:w="672" w:type="pct"/>
            <w:shd w:val="clear" w:color="auto" w:fill="auto"/>
            <w:vAlign w:val="center"/>
          </w:tcPr>
          <w:p w14:paraId="37400193" w14:textId="77777777" w:rsidR="001F2A4B" w:rsidRPr="00150ABA" w:rsidRDefault="001F2A4B" w:rsidP="001F2A4B">
            <w:pPr>
              <w:spacing w:beforeLines="20" w:before="48" w:afterLines="20" w:after="48"/>
              <w:jc w:val="center"/>
              <w:rPr>
                <w:noProof/>
                <w:sz w:val="20"/>
              </w:rPr>
            </w:pPr>
          </w:p>
        </w:tc>
      </w:tr>
      <w:tr w:rsidR="001F2A4B" w:rsidRPr="00150ABA" w14:paraId="2841A5FB" w14:textId="77777777" w:rsidTr="001F2A4B">
        <w:trPr>
          <w:trHeight w:val="953"/>
          <w:jc w:val="center"/>
        </w:trPr>
        <w:tc>
          <w:tcPr>
            <w:tcW w:w="2761" w:type="pct"/>
            <w:gridSpan w:val="2"/>
            <w:shd w:val="clear" w:color="auto" w:fill="auto"/>
            <w:vAlign w:val="center"/>
          </w:tcPr>
          <w:p w14:paraId="0384D4F4" w14:textId="77777777" w:rsidR="001F2A4B" w:rsidRPr="00150ABA" w:rsidRDefault="001F2A4B" w:rsidP="001F2A4B">
            <w:pPr>
              <w:pStyle w:val="Text1"/>
              <w:spacing w:beforeLines="20" w:before="48" w:afterLines="20" w:after="48"/>
              <w:ind w:left="984"/>
              <w:jc w:val="left"/>
              <w:rPr>
                <w:noProof/>
                <w:sz w:val="20"/>
              </w:rPr>
            </w:pPr>
            <w:r w:rsidRPr="00150ABA">
              <w:rPr>
                <w:noProof/>
                <w:sz w:val="20"/>
              </w:rPr>
              <w:t>01 01 01 01 (Indirect research)</w:t>
            </w:r>
          </w:p>
        </w:tc>
        <w:tc>
          <w:tcPr>
            <w:tcW w:w="509" w:type="pct"/>
            <w:shd w:val="clear" w:color="auto" w:fill="auto"/>
            <w:vAlign w:val="center"/>
          </w:tcPr>
          <w:p w14:paraId="19EA3769" w14:textId="77777777" w:rsidR="001F2A4B" w:rsidRPr="00150ABA" w:rsidRDefault="001F2A4B" w:rsidP="001F2A4B">
            <w:pPr>
              <w:spacing w:beforeLines="20" w:before="48" w:afterLines="20" w:after="48"/>
              <w:jc w:val="center"/>
              <w:rPr>
                <w:noProof/>
                <w:sz w:val="20"/>
              </w:rPr>
            </w:pPr>
          </w:p>
        </w:tc>
        <w:tc>
          <w:tcPr>
            <w:tcW w:w="509" w:type="pct"/>
            <w:shd w:val="clear" w:color="auto" w:fill="auto"/>
            <w:vAlign w:val="center"/>
          </w:tcPr>
          <w:p w14:paraId="495C7569" w14:textId="77777777" w:rsidR="001F2A4B" w:rsidRPr="00150ABA" w:rsidRDefault="001F2A4B" w:rsidP="001F2A4B">
            <w:pPr>
              <w:spacing w:beforeLines="20" w:before="48" w:afterLines="20" w:after="48"/>
              <w:jc w:val="center"/>
              <w:rPr>
                <w:noProof/>
                <w:sz w:val="20"/>
              </w:rPr>
            </w:pPr>
          </w:p>
        </w:tc>
        <w:tc>
          <w:tcPr>
            <w:tcW w:w="549" w:type="pct"/>
            <w:shd w:val="clear" w:color="auto" w:fill="auto"/>
            <w:vAlign w:val="center"/>
          </w:tcPr>
          <w:p w14:paraId="7B1114CF" w14:textId="77777777" w:rsidR="001F2A4B" w:rsidRPr="00150ABA" w:rsidRDefault="001F2A4B" w:rsidP="001F2A4B">
            <w:pPr>
              <w:spacing w:beforeLines="20" w:before="48" w:afterLines="20" w:after="48"/>
              <w:jc w:val="center"/>
              <w:rPr>
                <w:noProof/>
                <w:sz w:val="20"/>
              </w:rPr>
            </w:pPr>
          </w:p>
        </w:tc>
        <w:tc>
          <w:tcPr>
            <w:tcW w:w="672" w:type="pct"/>
            <w:shd w:val="clear" w:color="auto" w:fill="auto"/>
            <w:vAlign w:val="center"/>
          </w:tcPr>
          <w:p w14:paraId="595836F8" w14:textId="77777777" w:rsidR="001F2A4B" w:rsidRPr="00150ABA" w:rsidRDefault="001F2A4B" w:rsidP="001F2A4B">
            <w:pPr>
              <w:spacing w:beforeLines="20" w:before="48" w:afterLines="20" w:after="48"/>
              <w:jc w:val="center"/>
              <w:rPr>
                <w:noProof/>
                <w:sz w:val="20"/>
              </w:rPr>
            </w:pPr>
          </w:p>
        </w:tc>
      </w:tr>
      <w:tr w:rsidR="001F2A4B" w:rsidRPr="00150ABA" w14:paraId="7CA5E120" w14:textId="77777777" w:rsidTr="001F2A4B">
        <w:trPr>
          <w:trHeight w:val="289"/>
          <w:jc w:val="center"/>
        </w:trPr>
        <w:tc>
          <w:tcPr>
            <w:tcW w:w="2761" w:type="pct"/>
            <w:gridSpan w:val="2"/>
            <w:shd w:val="clear" w:color="auto" w:fill="auto"/>
            <w:vAlign w:val="center"/>
          </w:tcPr>
          <w:p w14:paraId="79895882" w14:textId="77777777" w:rsidR="001F2A4B" w:rsidRPr="00150ABA" w:rsidRDefault="001F2A4B" w:rsidP="001F2A4B">
            <w:pPr>
              <w:pStyle w:val="Text1"/>
              <w:spacing w:beforeLines="20" w:before="48" w:afterLines="20" w:after="48"/>
              <w:ind w:left="984"/>
              <w:jc w:val="left"/>
              <w:rPr>
                <w:noProof/>
                <w:sz w:val="20"/>
              </w:rPr>
            </w:pPr>
            <w:r w:rsidRPr="00150ABA">
              <w:rPr>
                <w:noProof/>
                <w:sz w:val="20"/>
              </w:rPr>
              <w:t>10 01 05 01 (Direct research)</w:t>
            </w:r>
          </w:p>
        </w:tc>
        <w:tc>
          <w:tcPr>
            <w:tcW w:w="509" w:type="pct"/>
            <w:shd w:val="clear" w:color="auto" w:fill="auto"/>
            <w:vAlign w:val="center"/>
          </w:tcPr>
          <w:p w14:paraId="25157AA0" w14:textId="77777777" w:rsidR="001F2A4B" w:rsidRPr="00150ABA" w:rsidRDefault="001F2A4B" w:rsidP="001F2A4B">
            <w:pPr>
              <w:spacing w:beforeLines="20" w:before="48" w:afterLines="20" w:after="48"/>
              <w:jc w:val="center"/>
              <w:rPr>
                <w:noProof/>
                <w:sz w:val="20"/>
              </w:rPr>
            </w:pPr>
          </w:p>
        </w:tc>
        <w:tc>
          <w:tcPr>
            <w:tcW w:w="509" w:type="pct"/>
            <w:shd w:val="clear" w:color="auto" w:fill="auto"/>
            <w:vAlign w:val="center"/>
          </w:tcPr>
          <w:p w14:paraId="440E084B" w14:textId="77777777" w:rsidR="001F2A4B" w:rsidRPr="00150ABA" w:rsidRDefault="001F2A4B" w:rsidP="001F2A4B">
            <w:pPr>
              <w:spacing w:beforeLines="20" w:before="48" w:afterLines="20" w:after="48"/>
              <w:jc w:val="center"/>
              <w:rPr>
                <w:noProof/>
                <w:sz w:val="20"/>
              </w:rPr>
            </w:pPr>
          </w:p>
        </w:tc>
        <w:tc>
          <w:tcPr>
            <w:tcW w:w="549" w:type="pct"/>
            <w:shd w:val="clear" w:color="auto" w:fill="auto"/>
            <w:vAlign w:val="center"/>
          </w:tcPr>
          <w:p w14:paraId="6960F99D" w14:textId="77777777" w:rsidR="001F2A4B" w:rsidRPr="00150ABA" w:rsidRDefault="001F2A4B" w:rsidP="001F2A4B">
            <w:pPr>
              <w:spacing w:beforeLines="20" w:before="48" w:afterLines="20" w:after="48"/>
              <w:jc w:val="center"/>
              <w:rPr>
                <w:noProof/>
                <w:sz w:val="20"/>
              </w:rPr>
            </w:pPr>
          </w:p>
        </w:tc>
        <w:tc>
          <w:tcPr>
            <w:tcW w:w="672" w:type="pct"/>
            <w:shd w:val="clear" w:color="auto" w:fill="auto"/>
            <w:vAlign w:val="center"/>
          </w:tcPr>
          <w:p w14:paraId="4854EA1B" w14:textId="77777777" w:rsidR="001F2A4B" w:rsidRPr="00150ABA" w:rsidRDefault="001F2A4B" w:rsidP="001F2A4B">
            <w:pPr>
              <w:spacing w:beforeLines="20" w:before="48" w:afterLines="20" w:after="48"/>
              <w:jc w:val="center"/>
              <w:rPr>
                <w:noProof/>
                <w:sz w:val="20"/>
              </w:rPr>
            </w:pPr>
          </w:p>
        </w:tc>
      </w:tr>
      <w:tr w:rsidR="001F2A4B" w:rsidRPr="00150ABA" w14:paraId="36800DD2" w14:textId="77777777" w:rsidTr="001F2A4B">
        <w:trPr>
          <w:trHeight w:val="289"/>
          <w:jc w:val="center"/>
        </w:trPr>
        <w:tc>
          <w:tcPr>
            <w:tcW w:w="2761" w:type="pct"/>
            <w:gridSpan w:val="2"/>
            <w:shd w:val="clear" w:color="auto" w:fill="auto"/>
            <w:vAlign w:val="center"/>
          </w:tcPr>
          <w:p w14:paraId="02BA883B" w14:textId="77777777" w:rsidR="001F2A4B" w:rsidRPr="00150ABA" w:rsidRDefault="001F2A4B" w:rsidP="001F2A4B">
            <w:pPr>
              <w:pStyle w:val="Text1"/>
              <w:spacing w:beforeLines="20" w:before="48" w:afterLines="20" w:after="48"/>
              <w:ind w:left="984"/>
              <w:jc w:val="left"/>
              <w:rPr>
                <w:noProof/>
                <w:sz w:val="20"/>
              </w:rPr>
            </w:pPr>
          </w:p>
        </w:tc>
        <w:tc>
          <w:tcPr>
            <w:tcW w:w="509" w:type="pct"/>
            <w:shd w:val="clear" w:color="auto" w:fill="auto"/>
            <w:vAlign w:val="center"/>
          </w:tcPr>
          <w:p w14:paraId="4908FFCC" w14:textId="77777777" w:rsidR="001F2A4B" w:rsidRPr="00150ABA" w:rsidRDefault="001F2A4B" w:rsidP="001F2A4B">
            <w:pPr>
              <w:spacing w:beforeLines="20" w:before="48" w:afterLines="20" w:after="48"/>
              <w:jc w:val="center"/>
              <w:rPr>
                <w:noProof/>
                <w:sz w:val="20"/>
              </w:rPr>
            </w:pPr>
          </w:p>
        </w:tc>
        <w:tc>
          <w:tcPr>
            <w:tcW w:w="509" w:type="pct"/>
            <w:shd w:val="clear" w:color="auto" w:fill="auto"/>
            <w:vAlign w:val="center"/>
          </w:tcPr>
          <w:p w14:paraId="794A1012" w14:textId="77777777" w:rsidR="001F2A4B" w:rsidRPr="00150ABA" w:rsidRDefault="001F2A4B" w:rsidP="001F2A4B">
            <w:pPr>
              <w:spacing w:beforeLines="20" w:before="48" w:afterLines="20" w:after="48"/>
              <w:jc w:val="center"/>
              <w:rPr>
                <w:noProof/>
                <w:sz w:val="20"/>
              </w:rPr>
            </w:pPr>
          </w:p>
        </w:tc>
        <w:tc>
          <w:tcPr>
            <w:tcW w:w="549" w:type="pct"/>
            <w:shd w:val="clear" w:color="auto" w:fill="auto"/>
            <w:vAlign w:val="center"/>
          </w:tcPr>
          <w:p w14:paraId="29578704" w14:textId="77777777" w:rsidR="001F2A4B" w:rsidRPr="00150ABA" w:rsidRDefault="001F2A4B" w:rsidP="001F2A4B">
            <w:pPr>
              <w:spacing w:beforeLines="20" w:before="48" w:afterLines="20" w:after="48"/>
              <w:jc w:val="center"/>
              <w:rPr>
                <w:noProof/>
                <w:sz w:val="20"/>
              </w:rPr>
            </w:pPr>
          </w:p>
        </w:tc>
        <w:tc>
          <w:tcPr>
            <w:tcW w:w="672" w:type="pct"/>
            <w:shd w:val="clear" w:color="auto" w:fill="auto"/>
            <w:vAlign w:val="center"/>
          </w:tcPr>
          <w:p w14:paraId="1DE35D53" w14:textId="77777777" w:rsidR="001F2A4B" w:rsidRPr="00150ABA" w:rsidRDefault="001F2A4B" w:rsidP="001F2A4B">
            <w:pPr>
              <w:spacing w:beforeLines="20" w:before="48" w:afterLines="20" w:after="48"/>
              <w:jc w:val="center"/>
              <w:rPr>
                <w:noProof/>
                <w:sz w:val="20"/>
              </w:rPr>
            </w:pPr>
          </w:p>
        </w:tc>
      </w:tr>
      <w:tr w:rsidR="001F2A4B" w:rsidRPr="00150ABA" w14:paraId="27217865" w14:textId="77777777" w:rsidTr="001F2A4B">
        <w:trPr>
          <w:trHeight w:val="289"/>
          <w:jc w:val="center"/>
        </w:trPr>
        <w:tc>
          <w:tcPr>
            <w:tcW w:w="2761" w:type="pct"/>
            <w:gridSpan w:val="2"/>
            <w:shd w:val="clear" w:color="auto" w:fill="auto"/>
            <w:vAlign w:val="center"/>
          </w:tcPr>
          <w:p w14:paraId="699F14DE" w14:textId="77777777" w:rsidR="001F2A4B" w:rsidRPr="00150ABA" w:rsidRDefault="001F2A4B" w:rsidP="001F2A4B">
            <w:pPr>
              <w:pStyle w:val="Text1"/>
              <w:spacing w:beforeLines="20" w:before="48" w:afterLines="20" w:after="48"/>
              <w:ind w:left="208" w:hanging="120"/>
              <w:jc w:val="left"/>
              <w:rPr>
                <w:noProof/>
                <w:sz w:val="20"/>
              </w:rPr>
            </w:pPr>
            <w:r w:rsidRPr="00150ABA">
              <w:rPr>
                <w:b/>
                <w:noProof/>
                <w:sz w:val="20"/>
              </w:rPr>
              <w:sym w:font="Wingdings" w:char="F09F"/>
            </w:r>
            <w:r w:rsidRPr="00150ABA">
              <w:rPr>
                <w:b/>
                <w:noProof/>
                <w:sz w:val="20"/>
              </w:rPr>
              <w:t xml:space="preserve"> External staff (in Full Time Equivalent unit: FTE)</w:t>
            </w:r>
            <w:r w:rsidRPr="00150ABA">
              <w:rPr>
                <w:rStyle w:val="FootnoteReference"/>
                <w:b/>
                <w:noProof/>
                <w:sz w:val="20"/>
              </w:rPr>
              <w:footnoteReference w:id="44"/>
            </w:r>
          </w:p>
        </w:tc>
        <w:tc>
          <w:tcPr>
            <w:tcW w:w="509" w:type="pct"/>
            <w:shd w:val="clear" w:color="auto" w:fill="auto"/>
            <w:vAlign w:val="center"/>
          </w:tcPr>
          <w:p w14:paraId="16F071DA" w14:textId="77777777" w:rsidR="001F2A4B" w:rsidRPr="00150ABA" w:rsidRDefault="001F2A4B" w:rsidP="001F2A4B">
            <w:pPr>
              <w:spacing w:beforeLines="20" w:before="48" w:afterLines="20" w:after="48"/>
              <w:jc w:val="center"/>
              <w:rPr>
                <w:noProof/>
                <w:sz w:val="20"/>
              </w:rPr>
            </w:pPr>
          </w:p>
        </w:tc>
        <w:tc>
          <w:tcPr>
            <w:tcW w:w="509" w:type="pct"/>
            <w:shd w:val="clear" w:color="auto" w:fill="auto"/>
            <w:vAlign w:val="center"/>
          </w:tcPr>
          <w:p w14:paraId="214C6C93" w14:textId="77777777" w:rsidR="001F2A4B" w:rsidRPr="00150ABA" w:rsidRDefault="001F2A4B" w:rsidP="001F2A4B">
            <w:pPr>
              <w:spacing w:beforeLines="20" w:before="48" w:afterLines="20" w:after="48"/>
              <w:jc w:val="center"/>
              <w:rPr>
                <w:noProof/>
                <w:sz w:val="20"/>
              </w:rPr>
            </w:pPr>
          </w:p>
        </w:tc>
        <w:tc>
          <w:tcPr>
            <w:tcW w:w="549" w:type="pct"/>
            <w:shd w:val="clear" w:color="auto" w:fill="auto"/>
            <w:vAlign w:val="center"/>
          </w:tcPr>
          <w:p w14:paraId="0BEDF59C" w14:textId="77777777" w:rsidR="001F2A4B" w:rsidRPr="00150ABA" w:rsidRDefault="001F2A4B" w:rsidP="001F2A4B">
            <w:pPr>
              <w:spacing w:beforeLines="20" w:before="48" w:afterLines="20" w:after="48"/>
              <w:jc w:val="center"/>
              <w:rPr>
                <w:noProof/>
                <w:sz w:val="20"/>
              </w:rPr>
            </w:pPr>
          </w:p>
        </w:tc>
        <w:tc>
          <w:tcPr>
            <w:tcW w:w="672" w:type="pct"/>
            <w:shd w:val="clear" w:color="auto" w:fill="auto"/>
            <w:vAlign w:val="center"/>
          </w:tcPr>
          <w:p w14:paraId="42F4099C" w14:textId="77777777" w:rsidR="001F2A4B" w:rsidRPr="00150ABA" w:rsidRDefault="001F2A4B" w:rsidP="001F2A4B">
            <w:pPr>
              <w:spacing w:beforeLines="20" w:before="48" w:afterLines="20" w:after="48"/>
              <w:jc w:val="center"/>
              <w:rPr>
                <w:noProof/>
                <w:sz w:val="20"/>
              </w:rPr>
            </w:pPr>
          </w:p>
        </w:tc>
      </w:tr>
      <w:tr w:rsidR="001F2A4B" w:rsidRPr="00150ABA" w14:paraId="2C0E9D5E" w14:textId="77777777" w:rsidTr="001F2A4B">
        <w:trPr>
          <w:trHeight w:val="289"/>
          <w:jc w:val="center"/>
        </w:trPr>
        <w:tc>
          <w:tcPr>
            <w:tcW w:w="2761" w:type="pct"/>
            <w:gridSpan w:val="2"/>
            <w:shd w:val="clear" w:color="auto" w:fill="auto"/>
            <w:vAlign w:val="center"/>
          </w:tcPr>
          <w:p w14:paraId="4A14828C" w14:textId="77777777" w:rsidR="001F2A4B" w:rsidRPr="00150ABA" w:rsidRDefault="001F2A4B" w:rsidP="001F2A4B">
            <w:pPr>
              <w:pStyle w:val="Text1"/>
              <w:spacing w:beforeLines="20" w:before="48" w:afterLines="20" w:after="48"/>
              <w:ind w:left="986"/>
              <w:jc w:val="left"/>
              <w:rPr>
                <w:b/>
                <w:noProof/>
                <w:sz w:val="20"/>
              </w:rPr>
            </w:pPr>
            <w:r w:rsidRPr="00150ABA">
              <w:rPr>
                <w:noProof/>
                <w:sz w:val="20"/>
              </w:rPr>
              <w:t>20 02 01 (AC, END, INT from the ‘global envelope’)</w:t>
            </w:r>
          </w:p>
        </w:tc>
        <w:tc>
          <w:tcPr>
            <w:tcW w:w="509" w:type="pct"/>
            <w:shd w:val="clear" w:color="auto" w:fill="auto"/>
            <w:vAlign w:val="center"/>
          </w:tcPr>
          <w:p w14:paraId="0FE1161F" w14:textId="77777777" w:rsidR="001F2A4B" w:rsidRPr="00150ABA" w:rsidRDefault="001F2A4B" w:rsidP="001F2A4B">
            <w:pPr>
              <w:spacing w:beforeLines="20" w:before="48" w:afterLines="20" w:after="48"/>
              <w:jc w:val="center"/>
              <w:rPr>
                <w:noProof/>
                <w:sz w:val="20"/>
              </w:rPr>
            </w:pPr>
          </w:p>
        </w:tc>
        <w:tc>
          <w:tcPr>
            <w:tcW w:w="509" w:type="pct"/>
            <w:shd w:val="clear" w:color="auto" w:fill="auto"/>
            <w:vAlign w:val="center"/>
          </w:tcPr>
          <w:p w14:paraId="491A4DE5" w14:textId="77777777" w:rsidR="001F2A4B" w:rsidRPr="00150ABA" w:rsidRDefault="001F2A4B" w:rsidP="001F2A4B">
            <w:pPr>
              <w:spacing w:beforeLines="20" w:before="48" w:afterLines="20" w:after="48"/>
              <w:jc w:val="center"/>
              <w:rPr>
                <w:noProof/>
                <w:sz w:val="20"/>
              </w:rPr>
            </w:pPr>
          </w:p>
        </w:tc>
        <w:tc>
          <w:tcPr>
            <w:tcW w:w="549" w:type="pct"/>
            <w:shd w:val="clear" w:color="auto" w:fill="auto"/>
            <w:vAlign w:val="center"/>
          </w:tcPr>
          <w:p w14:paraId="112B3198" w14:textId="77777777" w:rsidR="001F2A4B" w:rsidRPr="00150ABA" w:rsidRDefault="001F2A4B" w:rsidP="001F2A4B">
            <w:pPr>
              <w:spacing w:beforeLines="20" w:before="48" w:afterLines="20" w:after="48"/>
              <w:jc w:val="center"/>
              <w:rPr>
                <w:noProof/>
                <w:sz w:val="20"/>
              </w:rPr>
            </w:pPr>
          </w:p>
        </w:tc>
        <w:tc>
          <w:tcPr>
            <w:tcW w:w="672" w:type="pct"/>
            <w:shd w:val="clear" w:color="auto" w:fill="auto"/>
            <w:vAlign w:val="center"/>
          </w:tcPr>
          <w:p w14:paraId="411A612C" w14:textId="77777777" w:rsidR="001F2A4B" w:rsidRPr="00150ABA" w:rsidRDefault="001F2A4B" w:rsidP="001F2A4B">
            <w:pPr>
              <w:spacing w:beforeLines="20" w:before="48" w:afterLines="20" w:after="48"/>
              <w:jc w:val="center"/>
              <w:rPr>
                <w:noProof/>
                <w:sz w:val="20"/>
              </w:rPr>
            </w:pPr>
          </w:p>
        </w:tc>
      </w:tr>
      <w:tr w:rsidR="001F2A4B" w:rsidRPr="00150ABA" w14:paraId="475010C1" w14:textId="77777777" w:rsidTr="001F2A4B">
        <w:trPr>
          <w:trHeight w:val="289"/>
          <w:jc w:val="center"/>
        </w:trPr>
        <w:tc>
          <w:tcPr>
            <w:tcW w:w="2761" w:type="pct"/>
            <w:gridSpan w:val="2"/>
            <w:shd w:val="clear" w:color="auto" w:fill="auto"/>
            <w:vAlign w:val="center"/>
          </w:tcPr>
          <w:p w14:paraId="47B7E475" w14:textId="77777777" w:rsidR="001F2A4B" w:rsidRPr="00150ABA" w:rsidRDefault="001F2A4B" w:rsidP="001F2A4B">
            <w:pPr>
              <w:pStyle w:val="Text1"/>
              <w:spacing w:beforeLines="20" w:before="48" w:afterLines="20" w:after="48"/>
              <w:ind w:left="986"/>
              <w:jc w:val="left"/>
              <w:rPr>
                <w:noProof/>
                <w:sz w:val="20"/>
              </w:rPr>
            </w:pPr>
            <w:r w:rsidRPr="00150ABA">
              <w:rPr>
                <w:noProof/>
                <w:sz w:val="20"/>
              </w:rPr>
              <w:t>20 02 03 (AC, AL, END, INT and JPD in the Delegations)</w:t>
            </w:r>
          </w:p>
        </w:tc>
        <w:tc>
          <w:tcPr>
            <w:tcW w:w="509" w:type="pct"/>
            <w:shd w:val="clear" w:color="auto" w:fill="auto"/>
            <w:vAlign w:val="center"/>
          </w:tcPr>
          <w:p w14:paraId="74C43704" w14:textId="77777777" w:rsidR="001F2A4B" w:rsidRPr="00150ABA" w:rsidRDefault="001F2A4B" w:rsidP="001F2A4B">
            <w:pPr>
              <w:spacing w:beforeLines="20" w:before="48" w:afterLines="20" w:after="48"/>
              <w:jc w:val="center"/>
              <w:rPr>
                <w:noProof/>
                <w:sz w:val="20"/>
              </w:rPr>
            </w:pPr>
          </w:p>
        </w:tc>
        <w:tc>
          <w:tcPr>
            <w:tcW w:w="509" w:type="pct"/>
            <w:shd w:val="clear" w:color="auto" w:fill="auto"/>
            <w:vAlign w:val="center"/>
          </w:tcPr>
          <w:p w14:paraId="267F7E7B" w14:textId="77777777" w:rsidR="001F2A4B" w:rsidRPr="00150ABA" w:rsidRDefault="001F2A4B" w:rsidP="001F2A4B">
            <w:pPr>
              <w:spacing w:beforeLines="20" w:before="48" w:afterLines="20" w:after="48"/>
              <w:jc w:val="center"/>
              <w:rPr>
                <w:noProof/>
                <w:sz w:val="20"/>
              </w:rPr>
            </w:pPr>
          </w:p>
        </w:tc>
        <w:tc>
          <w:tcPr>
            <w:tcW w:w="549" w:type="pct"/>
            <w:shd w:val="clear" w:color="auto" w:fill="auto"/>
            <w:vAlign w:val="center"/>
          </w:tcPr>
          <w:p w14:paraId="0423E910" w14:textId="77777777" w:rsidR="001F2A4B" w:rsidRPr="00150ABA" w:rsidRDefault="001F2A4B" w:rsidP="001F2A4B">
            <w:pPr>
              <w:spacing w:beforeLines="20" w:before="48" w:afterLines="20" w:after="48"/>
              <w:jc w:val="center"/>
              <w:rPr>
                <w:noProof/>
                <w:sz w:val="20"/>
              </w:rPr>
            </w:pPr>
          </w:p>
        </w:tc>
        <w:tc>
          <w:tcPr>
            <w:tcW w:w="672" w:type="pct"/>
            <w:shd w:val="clear" w:color="auto" w:fill="auto"/>
            <w:vAlign w:val="center"/>
          </w:tcPr>
          <w:p w14:paraId="70B0BD03" w14:textId="77777777" w:rsidR="001F2A4B" w:rsidRPr="00150ABA" w:rsidRDefault="001F2A4B" w:rsidP="001F2A4B">
            <w:pPr>
              <w:spacing w:beforeLines="20" w:before="48" w:afterLines="20" w:after="48"/>
              <w:jc w:val="center"/>
              <w:rPr>
                <w:noProof/>
                <w:sz w:val="20"/>
              </w:rPr>
            </w:pPr>
          </w:p>
        </w:tc>
      </w:tr>
      <w:tr w:rsidR="001F2A4B" w:rsidRPr="00150ABA" w14:paraId="68645E8D" w14:textId="77777777" w:rsidTr="001F2A4B">
        <w:trPr>
          <w:trHeight w:val="289"/>
          <w:jc w:val="center"/>
        </w:trPr>
        <w:tc>
          <w:tcPr>
            <w:tcW w:w="1375" w:type="pct"/>
            <w:vMerge w:val="restart"/>
            <w:shd w:val="clear" w:color="auto" w:fill="auto"/>
            <w:vAlign w:val="center"/>
          </w:tcPr>
          <w:p w14:paraId="659F8EE8" w14:textId="77777777" w:rsidR="001F2A4B" w:rsidRPr="00150ABA" w:rsidRDefault="001F2A4B" w:rsidP="001F2A4B">
            <w:pPr>
              <w:pStyle w:val="Text1"/>
              <w:spacing w:beforeLines="20" w:before="48" w:afterLines="20" w:after="48"/>
              <w:ind w:left="986"/>
              <w:jc w:val="left"/>
              <w:rPr>
                <w:b/>
                <w:noProof/>
                <w:sz w:val="20"/>
              </w:rPr>
            </w:pPr>
            <w:r w:rsidRPr="00150ABA">
              <w:rPr>
                <w:noProof/>
                <w:sz w:val="20"/>
              </w:rPr>
              <w:t>Budget line(s) (specify)</w:t>
            </w:r>
            <w:r w:rsidRPr="00150ABA">
              <w:rPr>
                <w:b/>
                <w:noProof/>
                <w:sz w:val="20"/>
              </w:rPr>
              <w:t xml:space="preserve"> </w:t>
            </w:r>
            <w:r w:rsidRPr="00150ABA">
              <w:rPr>
                <w:rStyle w:val="FootnoteReference"/>
                <w:b/>
                <w:noProof/>
                <w:sz w:val="20"/>
              </w:rPr>
              <w:footnoteReference w:id="45"/>
            </w:r>
          </w:p>
        </w:tc>
        <w:tc>
          <w:tcPr>
            <w:tcW w:w="1386" w:type="pct"/>
            <w:shd w:val="clear" w:color="auto" w:fill="auto"/>
            <w:vAlign w:val="center"/>
          </w:tcPr>
          <w:p w14:paraId="353A4F78" w14:textId="77777777" w:rsidR="001F2A4B" w:rsidRPr="00150ABA" w:rsidRDefault="001F2A4B" w:rsidP="001F2A4B">
            <w:pPr>
              <w:pStyle w:val="Text1"/>
              <w:spacing w:beforeLines="20" w:before="48" w:afterLines="20" w:after="48"/>
              <w:ind w:left="598"/>
              <w:jc w:val="left"/>
              <w:rPr>
                <w:b/>
                <w:noProof/>
                <w:sz w:val="20"/>
              </w:rPr>
            </w:pPr>
            <w:r w:rsidRPr="00150ABA">
              <w:rPr>
                <w:noProof/>
                <w:sz w:val="20"/>
              </w:rPr>
              <w:t>- at Headquarters</w:t>
            </w:r>
            <w:r w:rsidRPr="00150ABA">
              <w:rPr>
                <w:rStyle w:val="FootnoteReference"/>
                <w:noProof/>
                <w:sz w:val="20"/>
              </w:rPr>
              <w:footnoteReference w:id="46"/>
            </w:r>
            <w:r w:rsidRPr="00150ABA">
              <w:rPr>
                <w:noProof/>
                <w:sz w:val="20"/>
              </w:rPr>
              <w:br/>
            </w:r>
          </w:p>
        </w:tc>
        <w:tc>
          <w:tcPr>
            <w:tcW w:w="509" w:type="pct"/>
            <w:shd w:val="clear" w:color="auto" w:fill="auto"/>
            <w:vAlign w:val="center"/>
          </w:tcPr>
          <w:p w14:paraId="19078BBB" w14:textId="77777777" w:rsidR="001F2A4B" w:rsidRPr="00150ABA" w:rsidRDefault="001F2A4B" w:rsidP="001F2A4B">
            <w:pPr>
              <w:pStyle w:val="Text1"/>
              <w:spacing w:beforeLines="20" w:before="48" w:afterLines="20" w:after="48"/>
              <w:rPr>
                <w:noProof/>
                <w:sz w:val="20"/>
              </w:rPr>
            </w:pPr>
          </w:p>
        </w:tc>
        <w:tc>
          <w:tcPr>
            <w:tcW w:w="509" w:type="pct"/>
            <w:shd w:val="clear" w:color="auto" w:fill="auto"/>
            <w:vAlign w:val="center"/>
          </w:tcPr>
          <w:p w14:paraId="5188564E" w14:textId="77777777" w:rsidR="001F2A4B" w:rsidRPr="00150ABA" w:rsidRDefault="001F2A4B" w:rsidP="001F2A4B">
            <w:pPr>
              <w:spacing w:beforeLines="20" w:before="48" w:afterLines="20" w:after="48"/>
              <w:jc w:val="center"/>
              <w:rPr>
                <w:noProof/>
                <w:sz w:val="20"/>
              </w:rPr>
            </w:pPr>
          </w:p>
        </w:tc>
        <w:tc>
          <w:tcPr>
            <w:tcW w:w="549" w:type="pct"/>
            <w:shd w:val="clear" w:color="auto" w:fill="auto"/>
            <w:vAlign w:val="center"/>
          </w:tcPr>
          <w:p w14:paraId="7663D236" w14:textId="77777777" w:rsidR="001F2A4B" w:rsidRPr="00150ABA" w:rsidRDefault="001F2A4B" w:rsidP="001F2A4B">
            <w:pPr>
              <w:spacing w:beforeLines="20" w:before="48" w:afterLines="20" w:after="48"/>
              <w:jc w:val="center"/>
              <w:rPr>
                <w:noProof/>
                <w:sz w:val="20"/>
              </w:rPr>
            </w:pPr>
          </w:p>
        </w:tc>
        <w:tc>
          <w:tcPr>
            <w:tcW w:w="672" w:type="pct"/>
            <w:shd w:val="clear" w:color="auto" w:fill="auto"/>
            <w:vAlign w:val="center"/>
          </w:tcPr>
          <w:p w14:paraId="6E8466B0" w14:textId="77777777" w:rsidR="001F2A4B" w:rsidRPr="00150ABA" w:rsidRDefault="001F2A4B" w:rsidP="001F2A4B">
            <w:pPr>
              <w:spacing w:beforeLines="20" w:before="48" w:afterLines="20" w:after="48"/>
              <w:jc w:val="center"/>
              <w:rPr>
                <w:noProof/>
                <w:sz w:val="20"/>
              </w:rPr>
            </w:pPr>
          </w:p>
        </w:tc>
      </w:tr>
      <w:tr w:rsidR="001F2A4B" w:rsidRPr="00150ABA" w14:paraId="49C4413F" w14:textId="77777777" w:rsidTr="001F2A4B">
        <w:trPr>
          <w:trHeight w:val="289"/>
          <w:jc w:val="center"/>
        </w:trPr>
        <w:tc>
          <w:tcPr>
            <w:tcW w:w="1375" w:type="pct"/>
            <w:vMerge/>
            <w:shd w:val="clear" w:color="auto" w:fill="auto"/>
            <w:vAlign w:val="center"/>
          </w:tcPr>
          <w:p w14:paraId="6D8C47B9" w14:textId="77777777" w:rsidR="001F2A4B" w:rsidRPr="00150ABA" w:rsidRDefault="001F2A4B" w:rsidP="001F2A4B">
            <w:pPr>
              <w:rPr>
                <w:b/>
                <w:noProof/>
                <w:sz w:val="20"/>
              </w:rPr>
            </w:pPr>
          </w:p>
        </w:tc>
        <w:tc>
          <w:tcPr>
            <w:tcW w:w="1386" w:type="pct"/>
            <w:shd w:val="clear" w:color="auto" w:fill="auto"/>
            <w:vAlign w:val="center"/>
          </w:tcPr>
          <w:p w14:paraId="39A871C1" w14:textId="77777777" w:rsidR="001F2A4B" w:rsidRPr="00150ABA" w:rsidRDefault="001F2A4B" w:rsidP="001F2A4B">
            <w:pPr>
              <w:pStyle w:val="Text1"/>
              <w:spacing w:beforeLines="20" w:before="48" w:afterLines="20" w:after="48"/>
              <w:ind w:left="598"/>
              <w:jc w:val="left"/>
              <w:rPr>
                <w:b/>
                <w:noProof/>
                <w:sz w:val="20"/>
              </w:rPr>
            </w:pPr>
            <w:r w:rsidRPr="00150ABA">
              <w:rPr>
                <w:noProof/>
                <w:sz w:val="20"/>
              </w:rPr>
              <w:t xml:space="preserve">- in Delegations </w:t>
            </w:r>
          </w:p>
        </w:tc>
        <w:tc>
          <w:tcPr>
            <w:tcW w:w="509" w:type="pct"/>
            <w:shd w:val="clear" w:color="auto" w:fill="auto"/>
            <w:vAlign w:val="center"/>
          </w:tcPr>
          <w:p w14:paraId="0E20C22C" w14:textId="77777777" w:rsidR="001F2A4B" w:rsidRPr="00150ABA" w:rsidRDefault="001F2A4B" w:rsidP="001F2A4B">
            <w:pPr>
              <w:pStyle w:val="Text1"/>
              <w:spacing w:beforeLines="20" w:before="48" w:afterLines="20" w:after="48"/>
              <w:rPr>
                <w:noProof/>
                <w:sz w:val="20"/>
              </w:rPr>
            </w:pPr>
          </w:p>
        </w:tc>
        <w:tc>
          <w:tcPr>
            <w:tcW w:w="509" w:type="pct"/>
            <w:shd w:val="clear" w:color="auto" w:fill="auto"/>
            <w:vAlign w:val="center"/>
          </w:tcPr>
          <w:p w14:paraId="19C5C949" w14:textId="77777777" w:rsidR="001F2A4B" w:rsidRPr="00150ABA" w:rsidRDefault="001F2A4B" w:rsidP="001F2A4B">
            <w:pPr>
              <w:spacing w:beforeLines="20" w:before="48" w:afterLines="20" w:after="48"/>
              <w:jc w:val="center"/>
              <w:rPr>
                <w:noProof/>
                <w:sz w:val="20"/>
              </w:rPr>
            </w:pPr>
          </w:p>
        </w:tc>
        <w:tc>
          <w:tcPr>
            <w:tcW w:w="549" w:type="pct"/>
            <w:shd w:val="clear" w:color="auto" w:fill="auto"/>
            <w:vAlign w:val="center"/>
          </w:tcPr>
          <w:p w14:paraId="53C7AAF1" w14:textId="77777777" w:rsidR="001F2A4B" w:rsidRPr="00150ABA" w:rsidRDefault="001F2A4B" w:rsidP="001F2A4B">
            <w:pPr>
              <w:spacing w:beforeLines="20" w:before="48" w:afterLines="20" w:after="48"/>
              <w:jc w:val="center"/>
              <w:rPr>
                <w:noProof/>
                <w:sz w:val="20"/>
              </w:rPr>
            </w:pPr>
          </w:p>
        </w:tc>
        <w:tc>
          <w:tcPr>
            <w:tcW w:w="672" w:type="pct"/>
            <w:shd w:val="clear" w:color="auto" w:fill="auto"/>
            <w:vAlign w:val="center"/>
          </w:tcPr>
          <w:p w14:paraId="2DF5CCF3" w14:textId="77777777" w:rsidR="001F2A4B" w:rsidRPr="00150ABA" w:rsidRDefault="001F2A4B" w:rsidP="001F2A4B">
            <w:pPr>
              <w:spacing w:beforeLines="20" w:before="48" w:afterLines="20" w:after="48"/>
              <w:jc w:val="center"/>
              <w:rPr>
                <w:noProof/>
                <w:sz w:val="20"/>
              </w:rPr>
            </w:pPr>
          </w:p>
        </w:tc>
      </w:tr>
      <w:tr w:rsidR="001F2A4B" w:rsidRPr="00150ABA" w14:paraId="30498B8A" w14:textId="77777777" w:rsidTr="001F2A4B">
        <w:trPr>
          <w:trHeight w:val="289"/>
          <w:jc w:val="center"/>
        </w:trPr>
        <w:tc>
          <w:tcPr>
            <w:tcW w:w="2761" w:type="pct"/>
            <w:gridSpan w:val="2"/>
            <w:shd w:val="clear" w:color="auto" w:fill="auto"/>
            <w:vAlign w:val="center"/>
          </w:tcPr>
          <w:p w14:paraId="0907E5DB" w14:textId="77777777" w:rsidR="001F2A4B" w:rsidRPr="00150ABA" w:rsidRDefault="001F2A4B" w:rsidP="001F2A4B">
            <w:pPr>
              <w:pStyle w:val="Text1"/>
              <w:spacing w:beforeLines="20" w:before="48" w:afterLines="20" w:after="48"/>
              <w:ind w:left="986"/>
              <w:jc w:val="left"/>
              <w:rPr>
                <w:noProof/>
                <w:sz w:val="20"/>
              </w:rPr>
            </w:pPr>
            <w:r w:rsidRPr="00150ABA">
              <w:rPr>
                <w:b/>
                <w:noProof/>
                <w:sz w:val="20"/>
              </w:rPr>
              <w:t>01 01 01 02</w:t>
            </w:r>
            <w:r w:rsidRPr="00150ABA">
              <w:rPr>
                <w:noProof/>
                <w:sz w:val="20"/>
              </w:rPr>
              <w:t xml:space="preserve"> (AC, END, INT – Indirect research)</w:t>
            </w:r>
          </w:p>
        </w:tc>
        <w:tc>
          <w:tcPr>
            <w:tcW w:w="509" w:type="pct"/>
            <w:shd w:val="clear" w:color="auto" w:fill="auto"/>
            <w:vAlign w:val="center"/>
          </w:tcPr>
          <w:p w14:paraId="0F09BF7B" w14:textId="77777777" w:rsidR="001F2A4B" w:rsidRPr="00150ABA" w:rsidRDefault="001F2A4B" w:rsidP="001F2A4B">
            <w:pPr>
              <w:spacing w:beforeLines="20" w:before="48" w:afterLines="20" w:after="48"/>
              <w:jc w:val="center"/>
              <w:rPr>
                <w:noProof/>
                <w:sz w:val="20"/>
              </w:rPr>
            </w:pPr>
          </w:p>
        </w:tc>
        <w:tc>
          <w:tcPr>
            <w:tcW w:w="509" w:type="pct"/>
            <w:shd w:val="clear" w:color="auto" w:fill="auto"/>
            <w:vAlign w:val="center"/>
          </w:tcPr>
          <w:p w14:paraId="040378A6" w14:textId="77777777" w:rsidR="001F2A4B" w:rsidRPr="00150ABA" w:rsidRDefault="001F2A4B" w:rsidP="001F2A4B">
            <w:pPr>
              <w:spacing w:beforeLines="20" w:before="48" w:afterLines="20" w:after="48"/>
              <w:jc w:val="center"/>
              <w:rPr>
                <w:noProof/>
                <w:sz w:val="20"/>
              </w:rPr>
            </w:pPr>
          </w:p>
        </w:tc>
        <w:tc>
          <w:tcPr>
            <w:tcW w:w="549" w:type="pct"/>
            <w:shd w:val="clear" w:color="auto" w:fill="auto"/>
            <w:vAlign w:val="center"/>
          </w:tcPr>
          <w:p w14:paraId="14383D2B" w14:textId="77777777" w:rsidR="001F2A4B" w:rsidRPr="00150ABA" w:rsidRDefault="001F2A4B" w:rsidP="001F2A4B">
            <w:pPr>
              <w:spacing w:beforeLines="20" w:before="48" w:afterLines="20" w:after="48"/>
              <w:jc w:val="center"/>
              <w:rPr>
                <w:noProof/>
                <w:sz w:val="20"/>
              </w:rPr>
            </w:pPr>
          </w:p>
        </w:tc>
        <w:tc>
          <w:tcPr>
            <w:tcW w:w="672" w:type="pct"/>
            <w:shd w:val="clear" w:color="auto" w:fill="auto"/>
            <w:vAlign w:val="center"/>
          </w:tcPr>
          <w:p w14:paraId="4C8F4B53" w14:textId="77777777" w:rsidR="001F2A4B" w:rsidRPr="00150ABA" w:rsidRDefault="001F2A4B" w:rsidP="001F2A4B">
            <w:pPr>
              <w:spacing w:beforeLines="20" w:before="48" w:afterLines="20" w:after="48"/>
              <w:jc w:val="center"/>
              <w:rPr>
                <w:noProof/>
                <w:sz w:val="20"/>
              </w:rPr>
            </w:pPr>
          </w:p>
        </w:tc>
      </w:tr>
      <w:tr w:rsidR="001F2A4B" w:rsidRPr="00150ABA" w14:paraId="0F0A2E40" w14:textId="77777777" w:rsidTr="001F2A4B">
        <w:trPr>
          <w:trHeight w:val="289"/>
          <w:jc w:val="center"/>
        </w:trPr>
        <w:tc>
          <w:tcPr>
            <w:tcW w:w="2761" w:type="pct"/>
            <w:gridSpan w:val="2"/>
            <w:shd w:val="clear" w:color="auto" w:fill="auto"/>
            <w:vAlign w:val="center"/>
          </w:tcPr>
          <w:p w14:paraId="107B058D" w14:textId="77777777" w:rsidR="001F2A4B" w:rsidRPr="00150ABA" w:rsidRDefault="001F2A4B" w:rsidP="001F2A4B">
            <w:pPr>
              <w:pStyle w:val="Text1"/>
              <w:spacing w:beforeLines="20" w:before="48" w:afterLines="20" w:after="48"/>
              <w:ind w:left="986"/>
              <w:jc w:val="left"/>
              <w:rPr>
                <w:noProof/>
                <w:sz w:val="20"/>
              </w:rPr>
            </w:pPr>
            <w:r w:rsidRPr="00150ABA">
              <w:rPr>
                <w:noProof/>
                <w:sz w:val="20"/>
              </w:rPr>
              <w:t>10 01 05 02 (AC, END, INT – Direct research)</w:t>
            </w:r>
          </w:p>
        </w:tc>
        <w:tc>
          <w:tcPr>
            <w:tcW w:w="509" w:type="pct"/>
            <w:shd w:val="clear" w:color="auto" w:fill="auto"/>
            <w:vAlign w:val="center"/>
          </w:tcPr>
          <w:p w14:paraId="5A90B296" w14:textId="77777777" w:rsidR="001F2A4B" w:rsidRPr="00150ABA" w:rsidRDefault="001F2A4B" w:rsidP="001F2A4B">
            <w:pPr>
              <w:spacing w:beforeLines="20" w:before="48" w:afterLines="20" w:after="48"/>
              <w:jc w:val="center"/>
              <w:rPr>
                <w:noProof/>
                <w:sz w:val="20"/>
              </w:rPr>
            </w:pPr>
          </w:p>
        </w:tc>
        <w:tc>
          <w:tcPr>
            <w:tcW w:w="509" w:type="pct"/>
            <w:shd w:val="clear" w:color="auto" w:fill="auto"/>
            <w:vAlign w:val="center"/>
          </w:tcPr>
          <w:p w14:paraId="7C1FFF74" w14:textId="77777777" w:rsidR="001F2A4B" w:rsidRPr="00150ABA" w:rsidRDefault="001F2A4B" w:rsidP="001F2A4B">
            <w:pPr>
              <w:spacing w:beforeLines="20" w:before="48" w:afterLines="20" w:after="48"/>
              <w:jc w:val="center"/>
              <w:rPr>
                <w:noProof/>
                <w:sz w:val="20"/>
              </w:rPr>
            </w:pPr>
          </w:p>
        </w:tc>
        <w:tc>
          <w:tcPr>
            <w:tcW w:w="549" w:type="pct"/>
            <w:shd w:val="clear" w:color="auto" w:fill="auto"/>
            <w:vAlign w:val="center"/>
          </w:tcPr>
          <w:p w14:paraId="7297F29C" w14:textId="77777777" w:rsidR="001F2A4B" w:rsidRPr="00150ABA" w:rsidRDefault="001F2A4B" w:rsidP="001F2A4B">
            <w:pPr>
              <w:spacing w:beforeLines="20" w:before="48" w:afterLines="20" w:after="48"/>
              <w:jc w:val="center"/>
              <w:rPr>
                <w:noProof/>
                <w:sz w:val="20"/>
              </w:rPr>
            </w:pPr>
          </w:p>
        </w:tc>
        <w:tc>
          <w:tcPr>
            <w:tcW w:w="672" w:type="pct"/>
            <w:shd w:val="clear" w:color="auto" w:fill="auto"/>
            <w:vAlign w:val="center"/>
          </w:tcPr>
          <w:p w14:paraId="4A43330C" w14:textId="77777777" w:rsidR="001F2A4B" w:rsidRPr="00150ABA" w:rsidRDefault="001F2A4B" w:rsidP="001F2A4B">
            <w:pPr>
              <w:spacing w:beforeLines="20" w:before="48" w:afterLines="20" w:after="48"/>
              <w:jc w:val="center"/>
              <w:rPr>
                <w:noProof/>
                <w:sz w:val="20"/>
              </w:rPr>
            </w:pPr>
          </w:p>
        </w:tc>
      </w:tr>
      <w:tr w:rsidR="001F2A4B" w:rsidRPr="00150ABA" w14:paraId="432C6463" w14:textId="77777777" w:rsidTr="001F2A4B">
        <w:trPr>
          <w:trHeight w:val="289"/>
          <w:jc w:val="center"/>
        </w:trPr>
        <w:tc>
          <w:tcPr>
            <w:tcW w:w="2761" w:type="pct"/>
            <w:gridSpan w:val="2"/>
            <w:tcBorders>
              <w:bottom w:val="double" w:sz="4" w:space="0" w:color="auto"/>
            </w:tcBorders>
            <w:shd w:val="clear" w:color="auto" w:fill="auto"/>
            <w:vAlign w:val="center"/>
          </w:tcPr>
          <w:p w14:paraId="149D0D64" w14:textId="77777777" w:rsidR="001F2A4B" w:rsidRPr="00150ABA" w:rsidRDefault="001F2A4B" w:rsidP="001F2A4B">
            <w:pPr>
              <w:pStyle w:val="Text1"/>
              <w:spacing w:beforeLines="20" w:before="48" w:afterLines="20" w:after="48"/>
              <w:ind w:left="984"/>
              <w:jc w:val="left"/>
              <w:rPr>
                <w:noProof/>
                <w:sz w:val="20"/>
              </w:rPr>
            </w:pPr>
            <w:r w:rsidRPr="00150ABA">
              <w:rPr>
                <w:noProof/>
                <w:sz w:val="20"/>
              </w:rPr>
              <w:t>Other budget lines (specify)</w:t>
            </w:r>
          </w:p>
        </w:tc>
        <w:tc>
          <w:tcPr>
            <w:tcW w:w="509" w:type="pct"/>
            <w:tcBorders>
              <w:bottom w:val="double" w:sz="4" w:space="0" w:color="auto"/>
            </w:tcBorders>
            <w:shd w:val="clear" w:color="auto" w:fill="auto"/>
            <w:vAlign w:val="center"/>
          </w:tcPr>
          <w:p w14:paraId="68177B62" w14:textId="77777777" w:rsidR="001F2A4B" w:rsidRPr="00150ABA" w:rsidRDefault="001F2A4B" w:rsidP="001F2A4B">
            <w:pPr>
              <w:spacing w:beforeLines="20" w:before="48" w:afterLines="20" w:after="48"/>
              <w:jc w:val="center"/>
              <w:rPr>
                <w:noProof/>
                <w:sz w:val="20"/>
              </w:rPr>
            </w:pPr>
          </w:p>
        </w:tc>
        <w:tc>
          <w:tcPr>
            <w:tcW w:w="509" w:type="pct"/>
            <w:tcBorders>
              <w:bottom w:val="double" w:sz="4" w:space="0" w:color="auto"/>
            </w:tcBorders>
            <w:shd w:val="clear" w:color="auto" w:fill="auto"/>
            <w:vAlign w:val="center"/>
          </w:tcPr>
          <w:p w14:paraId="67E5586F" w14:textId="77777777" w:rsidR="001F2A4B" w:rsidRPr="00150ABA" w:rsidRDefault="001F2A4B" w:rsidP="001F2A4B">
            <w:pPr>
              <w:spacing w:beforeLines="20" w:before="48" w:afterLines="20" w:after="48"/>
              <w:jc w:val="center"/>
              <w:rPr>
                <w:noProof/>
                <w:sz w:val="20"/>
              </w:rPr>
            </w:pPr>
          </w:p>
        </w:tc>
        <w:tc>
          <w:tcPr>
            <w:tcW w:w="549" w:type="pct"/>
            <w:tcBorders>
              <w:bottom w:val="double" w:sz="4" w:space="0" w:color="auto"/>
            </w:tcBorders>
            <w:shd w:val="clear" w:color="auto" w:fill="auto"/>
            <w:vAlign w:val="center"/>
          </w:tcPr>
          <w:p w14:paraId="647E8180" w14:textId="77777777" w:rsidR="001F2A4B" w:rsidRPr="00150ABA" w:rsidRDefault="001F2A4B" w:rsidP="001F2A4B">
            <w:pPr>
              <w:spacing w:beforeLines="20" w:before="48" w:afterLines="20" w:after="48"/>
              <w:jc w:val="center"/>
              <w:rPr>
                <w:noProof/>
                <w:sz w:val="20"/>
              </w:rPr>
            </w:pPr>
          </w:p>
        </w:tc>
        <w:tc>
          <w:tcPr>
            <w:tcW w:w="672" w:type="pct"/>
            <w:tcBorders>
              <w:bottom w:val="double" w:sz="4" w:space="0" w:color="auto"/>
            </w:tcBorders>
            <w:shd w:val="clear" w:color="auto" w:fill="auto"/>
            <w:vAlign w:val="center"/>
          </w:tcPr>
          <w:p w14:paraId="643AE9E8" w14:textId="77777777" w:rsidR="001F2A4B" w:rsidRPr="00150ABA" w:rsidRDefault="001F2A4B" w:rsidP="001F2A4B">
            <w:pPr>
              <w:spacing w:beforeLines="20" w:before="48" w:afterLines="20" w:after="48"/>
              <w:jc w:val="center"/>
              <w:rPr>
                <w:noProof/>
                <w:sz w:val="20"/>
              </w:rPr>
            </w:pPr>
          </w:p>
        </w:tc>
      </w:tr>
      <w:tr w:rsidR="001F2A4B" w:rsidRPr="00150ABA" w14:paraId="3CC70ADA" w14:textId="77777777" w:rsidTr="001F2A4B">
        <w:trPr>
          <w:trHeight w:val="289"/>
          <w:jc w:val="center"/>
        </w:trPr>
        <w:tc>
          <w:tcPr>
            <w:tcW w:w="2761" w:type="pct"/>
            <w:gridSpan w:val="2"/>
            <w:tcBorders>
              <w:top w:val="double" w:sz="4" w:space="0" w:color="auto"/>
            </w:tcBorders>
            <w:shd w:val="clear" w:color="auto" w:fill="auto"/>
            <w:vAlign w:val="center"/>
          </w:tcPr>
          <w:p w14:paraId="19141484" w14:textId="77777777" w:rsidR="001F2A4B" w:rsidRPr="00150ABA" w:rsidRDefault="001F2A4B" w:rsidP="001F2A4B">
            <w:pPr>
              <w:pStyle w:val="Text1"/>
              <w:spacing w:beforeLines="20" w:before="48" w:afterLines="20" w:after="48"/>
              <w:ind w:left="986"/>
              <w:jc w:val="left"/>
              <w:rPr>
                <w:noProof/>
                <w:sz w:val="20"/>
              </w:rPr>
            </w:pPr>
            <w:r w:rsidRPr="00150ABA">
              <w:rPr>
                <w:b/>
                <w:noProof/>
                <w:sz w:val="20"/>
              </w:rPr>
              <w:t>TOTAL</w:t>
            </w:r>
          </w:p>
        </w:tc>
        <w:tc>
          <w:tcPr>
            <w:tcW w:w="509" w:type="pct"/>
            <w:tcBorders>
              <w:top w:val="double" w:sz="4" w:space="0" w:color="auto"/>
            </w:tcBorders>
            <w:shd w:val="clear" w:color="auto" w:fill="auto"/>
            <w:vAlign w:val="center"/>
          </w:tcPr>
          <w:p w14:paraId="3263CAAB" w14:textId="77777777" w:rsidR="001F2A4B" w:rsidRPr="00150ABA" w:rsidRDefault="001F2A4B" w:rsidP="001F2A4B">
            <w:pPr>
              <w:spacing w:beforeLines="20" w:before="48" w:afterLines="20" w:after="48"/>
              <w:jc w:val="center"/>
              <w:rPr>
                <w:b/>
                <w:noProof/>
                <w:sz w:val="20"/>
              </w:rPr>
            </w:pPr>
            <w:r w:rsidRPr="00150ABA">
              <w:rPr>
                <w:b/>
                <w:noProof/>
                <w:sz w:val="20"/>
              </w:rPr>
              <w:t>1</w:t>
            </w:r>
          </w:p>
        </w:tc>
        <w:tc>
          <w:tcPr>
            <w:tcW w:w="509" w:type="pct"/>
            <w:tcBorders>
              <w:top w:val="double" w:sz="4" w:space="0" w:color="auto"/>
            </w:tcBorders>
            <w:shd w:val="clear" w:color="auto" w:fill="auto"/>
            <w:vAlign w:val="center"/>
          </w:tcPr>
          <w:p w14:paraId="3962DD3C" w14:textId="77777777" w:rsidR="001F2A4B" w:rsidRPr="00150ABA" w:rsidRDefault="001F2A4B" w:rsidP="001F2A4B">
            <w:pPr>
              <w:spacing w:beforeLines="20" w:before="48" w:afterLines="20" w:after="48"/>
              <w:jc w:val="center"/>
              <w:rPr>
                <w:b/>
                <w:noProof/>
                <w:sz w:val="20"/>
              </w:rPr>
            </w:pPr>
            <w:r w:rsidRPr="00150ABA">
              <w:rPr>
                <w:b/>
                <w:noProof/>
                <w:sz w:val="20"/>
              </w:rPr>
              <w:t>1</w:t>
            </w:r>
          </w:p>
        </w:tc>
        <w:tc>
          <w:tcPr>
            <w:tcW w:w="549" w:type="pct"/>
            <w:tcBorders>
              <w:top w:val="double" w:sz="4" w:space="0" w:color="auto"/>
            </w:tcBorders>
            <w:shd w:val="clear" w:color="auto" w:fill="auto"/>
            <w:vAlign w:val="center"/>
          </w:tcPr>
          <w:p w14:paraId="20CE1BD8" w14:textId="77777777" w:rsidR="001F2A4B" w:rsidRPr="00150ABA" w:rsidRDefault="001F2A4B" w:rsidP="001F2A4B">
            <w:pPr>
              <w:spacing w:beforeLines="20" w:before="48" w:afterLines="20" w:after="48"/>
              <w:jc w:val="center"/>
              <w:rPr>
                <w:b/>
                <w:noProof/>
                <w:sz w:val="20"/>
              </w:rPr>
            </w:pPr>
            <w:r w:rsidRPr="00150ABA">
              <w:rPr>
                <w:b/>
                <w:noProof/>
                <w:sz w:val="20"/>
              </w:rPr>
              <w:t>1</w:t>
            </w:r>
          </w:p>
        </w:tc>
        <w:tc>
          <w:tcPr>
            <w:tcW w:w="672" w:type="pct"/>
            <w:tcBorders>
              <w:top w:val="double" w:sz="4" w:space="0" w:color="auto"/>
            </w:tcBorders>
            <w:shd w:val="clear" w:color="auto" w:fill="auto"/>
            <w:vAlign w:val="center"/>
          </w:tcPr>
          <w:p w14:paraId="1E0EE72A" w14:textId="77777777" w:rsidR="001F2A4B" w:rsidRPr="00150ABA" w:rsidRDefault="001F2A4B" w:rsidP="001F2A4B">
            <w:pPr>
              <w:spacing w:beforeLines="20" w:before="48" w:afterLines="20" w:after="48"/>
              <w:jc w:val="center"/>
              <w:rPr>
                <w:b/>
                <w:noProof/>
                <w:sz w:val="20"/>
              </w:rPr>
            </w:pPr>
            <w:r w:rsidRPr="00150ABA">
              <w:rPr>
                <w:b/>
                <w:noProof/>
                <w:sz w:val="20"/>
              </w:rPr>
              <w:t>1</w:t>
            </w:r>
          </w:p>
        </w:tc>
      </w:tr>
    </w:tbl>
    <w:p w14:paraId="3AF829CF" w14:textId="77777777" w:rsidR="00DD5AE5" w:rsidRPr="00150ABA" w:rsidRDefault="001F2A4B" w:rsidP="00DD5AE5">
      <w:pPr>
        <w:pStyle w:val="Text1"/>
        <w:rPr>
          <w:noProof/>
          <w:sz w:val="22"/>
        </w:rPr>
      </w:pPr>
      <w:r w:rsidRPr="00150ABA">
        <w:rPr>
          <w:noProof/>
          <w:sz w:val="22"/>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5D68B128" w14:textId="77777777" w:rsidR="001F2A4B" w:rsidRPr="00150ABA" w:rsidRDefault="001F2A4B" w:rsidP="001F2A4B">
      <w:pPr>
        <w:rPr>
          <w:noProof/>
          <w:sz w:val="20"/>
        </w:rPr>
      </w:pPr>
      <w:r w:rsidRPr="00150ABA">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1F2A4B" w:rsidRPr="00150ABA" w14:paraId="139EDF59" w14:textId="77777777" w:rsidTr="001F2A4B">
        <w:tc>
          <w:tcPr>
            <w:tcW w:w="3240" w:type="dxa"/>
          </w:tcPr>
          <w:p w14:paraId="146125E6" w14:textId="77777777" w:rsidR="001F2A4B" w:rsidRPr="00150ABA" w:rsidRDefault="001F2A4B" w:rsidP="001F2A4B">
            <w:pPr>
              <w:rPr>
                <w:noProof/>
                <w:sz w:val="20"/>
              </w:rPr>
            </w:pPr>
            <w:r w:rsidRPr="00150ABA">
              <w:rPr>
                <w:noProof/>
                <w:sz w:val="20"/>
              </w:rPr>
              <w:t>Officials and temporary staff</w:t>
            </w:r>
          </w:p>
        </w:tc>
        <w:tc>
          <w:tcPr>
            <w:tcW w:w="7200" w:type="dxa"/>
          </w:tcPr>
          <w:p w14:paraId="6DF79E47" w14:textId="77777777" w:rsidR="001F2A4B" w:rsidRPr="00150ABA" w:rsidRDefault="001F2A4B" w:rsidP="008326C2">
            <w:pPr>
              <w:pStyle w:val="ListParagraph"/>
              <w:numPr>
                <w:ilvl w:val="0"/>
                <w:numId w:val="18"/>
              </w:numPr>
              <w:spacing w:before="120" w:after="120" w:line="240" w:lineRule="auto"/>
              <w:jc w:val="both"/>
              <w:rPr>
                <w:rFonts w:ascii="Times New Roman" w:hAnsi="Times New Roman" w:cs="Times New Roman"/>
                <w:noProof/>
                <w:sz w:val="20"/>
              </w:rPr>
            </w:pPr>
            <w:r w:rsidRPr="00150ABA">
              <w:rPr>
                <w:rFonts w:ascii="Times New Roman" w:hAnsi="Times New Roman" w:cs="Times New Roman"/>
                <w:noProof/>
                <w:sz w:val="20"/>
              </w:rPr>
              <w:t>to represent the Commission in the Programme Management Board and the Advisory Group;</w:t>
            </w:r>
          </w:p>
          <w:p w14:paraId="4F7FECB3" w14:textId="3D3F68BB" w:rsidR="001F2A4B" w:rsidRPr="00150ABA" w:rsidRDefault="001F2A4B" w:rsidP="008326C2">
            <w:pPr>
              <w:pStyle w:val="ListParagraph"/>
              <w:numPr>
                <w:ilvl w:val="0"/>
                <w:numId w:val="18"/>
              </w:numPr>
              <w:spacing w:before="120" w:after="120" w:line="240" w:lineRule="auto"/>
              <w:jc w:val="both"/>
              <w:rPr>
                <w:rFonts w:ascii="Times New Roman" w:hAnsi="Times New Roman" w:cs="Times New Roman"/>
                <w:noProof/>
                <w:sz w:val="20"/>
              </w:rPr>
            </w:pPr>
            <w:r w:rsidRPr="00150ABA">
              <w:rPr>
                <w:rFonts w:ascii="Times New Roman" w:hAnsi="Times New Roman" w:cs="Times New Roman"/>
                <w:noProof/>
                <w:sz w:val="20"/>
              </w:rPr>
              <w:t>to carry out collection of business requirements during the design phase of the project;</w:t>
            </w:r>
          </w:p>
          <w:p w14:paraId="44A1A4ED" w14:textId="7CC7E679" w:rsidR="00157B46" w:rsidRPr="00150ABA" w:rsidRDefault="006012BC" w:rsidP="008326C2">
            <w:pPr>
              <w:pStyle w:val="ListParagraph"/>
              <w:numPr>
                <w:ilvl w:val="0"/>
                <w:numId w:val="18"/>
              </w:numPr>
              <w:spacing w:before="120" w:after="120" w:line="240" w:lineRule="auto"/>
              <w:jc w:val="both"/>
              <w:rPr>
                <w:rFonts w:ascii="Times New Roman" w:hAnsi="Times New Roman" w:cs="Times New Roman"/>
                <w:noProof/>
                <w:sz w:val="20"/>
              </w:rPr>
            </w:pPr>
            <w:r w:rsidRPr="00150ABA">
              <w:rPr>
                <w:rFonts w:ascii="Times New Roman" w:hAnsi="Times New Roman" w:cs="Times New Roman"/>
                <w:noProof/>
                <w:sz w:val="20"/>
              </w:rPr>
              <w:t>to prep</w:t>
            </w:r>
            <w:r w:rsidR="00F13475" w:rsidRPr="00150ABA">
              <w:rPr>
                <w:rFonts w:ascii="Times New Roman" w:hAnsi="Times New Roman" w:cs="Times New Roman"/>
                <w:noProof/>
                <w:sz w:val="20"/>
              </w:rPr>
              <w:t>a</w:t>
            </w:r>
            <w:r w:rsidRPr="00150ABA">
              <w:rPr>
                <w:rFonts w:ascii="Times New Roman" w:hAnsi="Times New Roman" w:cs="Times New Roman"/>
                <w:noProof/>
                <w:sz w:val="20"/>
              </w:rPr>
              <w:t xml:space="preserve">re and negotiate the required </w:t>
            </w:r>
            <w:r w:rsidR="00157B46" w:rsidRPr="00150ABA">
              <w:rPr>
                <w:rFonts w:ascii="Times New Roman" w:hAnsi="Times New Roman" w:cs="Times New Roman"/>
                <w:noProof/>
                <w:sz w:val="20"/>
              </w:rPr>
              <w:t>Implementing Acts</w:t>
            </w:r>
            <w:r w:rsidRPr="00150ABA">
              <w:rPr>
                <w:rFonts w:ascii="Times New Roman" w:hAnsi="Times New Roman" w:cs="Times New Roman"/>
                <w:noProof/>
                <w:sz w:val="20"/>
              </w:rPr>
              <w:t>;</w:t>
            </w:r>
          </w:p>
          <w:p w14:paraId="79A85FDF" w14:textId="77777777" w:rsidR="001F2A4B" w:rsidRPr="00150ABA" w:rsidRDefault="001F2A4B" w:rsidP="008326C2">
            <w:pPr>
              <w:pStyle w:val="ListParagraph"/>
              <w:numPr>
                <w:ilvl w:val="0"/>
                <w:numId w:val="18"/>
              </w:numPr>
              <w:spacing w:before="120" w:after="120" w:line="240" w:lineRule="auto"/>
              <w:jc w:val="both"/>
              <w:rPr>
                <w:rFonts w:ascii="Times New Roman" w:hAnsi="Times New Roman" w:cs="Times New Roman"/>
                <w:noProof/>
                <w:sz w:val="20"/>
              </w:rPr>
            </w:pPr>
            <w:r w:rsidRPr="00150ABA">
              <w:rPr>
                <w:rFonts w:ascii="Times New Roman" w:hAnsi="Times New Roman" w:cs="Times New Roman"/>
                <w:noProof/>
                <w:sz w:val="20"/>
              </w:rPr>
              <w:t>to manage meetings of the respective Expert Group;</w:t>
            </w:r>
          </w:p>
          <w:p w14:paraId="4B72EDD7" w14:textId="77777777" w:rsidR="001F2A4B" w:rsidRPr="00150ABA" w:rsidRDefault="001F2A4B" w:rsidP="008326C2">
            <w:pPr>
              <w:pStyle w:val="ListParagraph"/>
              <w:numPr>
                <w:ilvl w:val="0"/>
                <w:numId w:val="18"/>
              </w:numPr>
              <w:spacing w:before="120" w:after="120" w:line="240" w:lineRule="auto"/>
              <w:jc w:val="both"/>
              <w:rPr>
                <w:rFonts w:ascii="Times New Roman" w:hAnsi="Times New Roman" w:cs="Times New Roman"/>
                <w:noProof/>
                <w:sz w:val="20"/>
              </w:rPr>
            </w:pPr>
            <w:r w:rsidRPr="00150ABA">
              <w:rPr>
                <w:rFonts w:ascii="Times New Roman" w:hAnsi="Times New Roman" w:cs="Times New Roman"/>
                <w:noProof/>
                <w:sz w:val="20"/>
              </w:rPr>
              <w:t>to assist eu-LISA throughout the development phase of the project;</w:t>
            </w:r>
          </w:p>
          <w:p w14:paraId="131B2674" w14:textId="77777777" w:rsidR="001F2A4B" w:rsidRPr="00150ABA" w:rsidRDefault="001F2A4B" w:rsidP="008326C2">
            <w:pPr>
              <w:pStyle w:val="ListParagraph"/>
              <w:numPr>
                <w:ilvl w:val="0"/>
                <w:numId w:val="18"/>
              </w:numPr>
              <w:spacing w:before="120" w:after="120" w:line="240" w:lineRule="auto"/>
              <w:jc w:val="both"/>
              <w:rPr>
                <w:noProof/>
                <w:sz w:val="20"/>
              </w:rPr>
            </w:pPr>
            <w:r w:rsidRPr="00150ABA">
              <w:rPr>
                <w:rFonts w:ascii="Times New Roman" w:hAnsi="Times New Roman" w:cs="Times New Roman"/>
                <w:noProof/>
                <w:sz w:val="20"/>
              </w:rPr>
              <w:t>to monitor the platform’s operations and maintenance.</w:t>
            </w:r>
          </w:p>
        </w:tc>
      </w:tr>
      <w:tr w:rsidR="001F2A4B" w:rsidRPr="00150ABA" w14:paraId="21574221" w14:textId="77777777" w:rsidTr="001F2A4B">
        <w:tc>
          <w:tcPr>
            <w:tcW w:w="3240" w:type="dxa"/>
          </w:tcPr>
          <w:p w14:paraId="50EB1D71" w14:textId="77777777" w:rsidR="001F2A4B" w:rsidRPr="00150ABA" w:rsidRDefault="001F2A4B" w:rsidP="001F2A4B">
            <w:pPr>
              <w:spacing w:before="60" w:after="60"/>
              <w:rPr>
                <w:noProof/>
                <w:sz w:val="20"/>
              </w:rPr>
            </w:pPr>
            <w:r w:rsidRPr="00150ABA">
              <w:rPr>
                <w:noProof/>
                <w:sz w:val="20"/>
              </w:rPr>
              <w:t>External staff</w:t>
            </w:r>
          </w:p>
        </w:tc>
        <w:tc>
          <w:tcPr>
            <w:tcW w:w="7200" w:type="dxa"/>
          </w:tcPr>
          <w:p w14:paraId="66D55629" w14:textId="77777777" w:rsidR="001F2A4B" w:rsidRPr="00150ABA" w:rsidRDefault="001F2A4B" w:rsidP="001F2A4B">
            <w:pPr>
              <w:rPr>
                <w:noProof/>
                <w:sz w:val="20"/>
              </w:rPr>
            </w:pPr>
            <w:r w:rsidRPr="00150ABA">
              <w:rPr>
                <w:noProof/>
                <w:sz w:val="20"/>
              </w:rPr>
              <w:t>N/A</w:t>
            </w:r>
          </w:p>
        </w:tc>
      </w:tr>
    </w:tbl>
    <w:p w14:paraId="2B90C0A9" w14:textId="77777777" w:rsidR="001F2A4B" w:rsidRPr="00150ABA" w:rsidRDefault="001F2A4B" w:rsidP="001F2A4B">
      <w:pPr>
        <w:rPr>
          <w:noProof/>
        </w:rPr>
      </w:pPr>
    </w:p>
    <w:p w14:paraId="6B3BD09C" w14:textId="77777777" w:rsidR="001F2A4B" w:rsidRPr="00150ABA" w:rsidRDefault="001F2A4B" w:rsidP="001F2A4B">
      <w:pPr>
        <w:rPr>
          <w:noProof/>
        </w:rPr>
      </w:pPr>
      <w:r w:rsidRPr="00150ABA">
        <w:rPr>
          <w:noProof/>
        </w:rPr>
        <w:t xml:space="preserve">Description of the calculation of cost for FTE units should be included in the Annex V, section 3. </w:t>
      </w:r>
    </w:p>
    <w:p w14:paraId="70BED9DE" w14:textId="10855064" w:rsidR="001F2A4B" w:rsidRPr="00150ABA" w:rsidRDefault="00D76D82" w:rsidP="00D76D82">
      <w:pPr>
        <w:pStyle w:val="ManualHeading3"/>
        <w:rPr>
          <w:bCs/>
          <w:noProof/>
          <w:szCs w:val="24"/>
        </w:rPr>
      </w:pPr>
      <w:bookmarkStart w:id="33" w:name="_Toc85196975"/>
      <w:r w:rsidRPr="00D76D82">
        <w:t>3.2.6.</w:t>
      </w:r>
      <w:r w:rsidRPr="00D76D82">
        <w:tab/>
      </w:r>
      <w:r w:rsidR="001F2A4B" w:rsidRPr="00150ABA">
        <w:rPr>
          <w:noProof/>
        </w:rPr>
        <w:t>Compatibility with the current multiannual financial framework</w:t>
      </w:r>
      <w:bookmarkEnd w:id="33"/>
      <w:r w:rsidR="001F2A4B" w:rsidRPr="00150ABA">
        <w:rPr>
          <w:noProof/>
        </w:rPr>
        <w:t xml:space="preserve"> </w:t>
      </w:r>
    </w:p>
    <w:p w14:paraId="2C441064" w14:textId="639F7F9E" w:rsidR="001F2A4B" w:rsidRPr="00150ABA" w:rsidRDefault="00C768E9" w:rsidP="008326C2">
      <w:pPr>
        <w:pStyle w:val="ListDash1"/>
        <w:numPr>
          <w:ilvl w:val="0"/>
          <w:numId w:val="16"/>
        </w:numPr>
        <w:rPr>
          <w:noProof/>
        </w:rPr>
      </w:pPr>
      <w:r w:rsidRPr="00150ABA">
        <w:rPr>
          <w:noProof/>
        </w:rPr>
        <w:sym w:font="Wingdings" w:char="F0FE"/>
      </w:r>
      <w:r w:rsidR="001F2A4B" w:rsidRPr="00150ABA">
        <w:rPr>
          <w:noProof/>
        </w:rPr>
        <w:tab/>
        <w:t xml:space="preserve">The proposal/initiative </w:t>
      </w:r>
      <w:r w:rsidR="00434820" w:rsidRPr="00150ABA">
        <w:rPr>
          <w:noProof/>
        </w:rPr>
        <w:t xml:space="preserve">can be </w:t>
      </w:r>
      <w:r w:rsidRPr="00150ABA">
        <w:rPr>
          <w:noProof/>
        </w:rPr>
        <w:t>partially</w:t>
      </w:r>
      <w:r w:rsidR="00434820" w:rsidRPr="00150ABA">
        <w:rPr>
          <w:noProof/>
        </w:rPr>
        <w:t xml:space="preserve"> financed through redeployment within the relevant heading of the Multiannual Financial Framework (MFF)</w:t>
      </w:r>
      <w:r w:rsidR="001F2A4B" w:rsidRPr="00150ABA">
        <w:rPr>
          <w:noProof/>
        </w:rPr>
        <w:t>.</w:t>
      </w:r>
    </w:p>
    <w:p w14:paraId="56E5B8FD" w14:textId="7C756583" w:rsidR="005D7DEA" w:rsidRPr="00150ABA" w:rsidRDefault="00C768E9" w:rsidP="004E2EBA">
      <w:pPr>
        <w:pStyle w:val="Text1"/>
        <w:pBdr>
          <w:top w:val="single" w:sz="4" w:space="1" w:color="auto"/>
          <w:left w:val="single" w:sz="4" w:space="4" w:color="auto"/>
          <w:bottom w:val="single" w:sz="4" w:space="1" w:color="auto"/>
          <w:right w:val="single" w:sz="4" w:space="4" w:color="auto"/>
        </w:pBdr>
        <w:rPr>
          <w:noProof/>
          <w:szCs w:val="24"/>
        </w:rPr>
      </w:pPr>
      <w:r w:rsidRPr="00150ABA">
        <w:rPr>
          <w:noProof/>
          <w:szCs w:val="24"/>
        </w:rPr>
        <w:t xml:space="preserve">Concerning appropriations for eu-LISA, the proposal requires use of </w:t>
      </w:r>
      <w:r w:rsidR="005D7DEA" w:rsidRPr="00150ABA">
        <w:rPr>
          <w:noProof/>
          <w:szCs w:val="24"/>
        </w:rPr>
        <w:t xml:space="preserve">heading </w:t>
      </w:r>
      <w:r w:rsidR="009643BD">
        <w:rPr>
          <w:noProof/>
          <w:szCs w:val="24"/>
        </w:rPr>
        <w:t>1</w:t>
      </w:r>
      <w:r w:rsidR="005D7DEA" w:rsidRPr="00150ABA">
        <w:rPr>
          <w:noProof/>
          <w:szCs w:val="24"/>
        </w:rPr>
        <w:t xml:space="preserve"> of MFF - the Digital Europ</w:t>
      </w:r>
      <w:r w:rsidR="004E2EBA" w:rsidRPr="00150ABA">
        <w:rPr>
          <w:noProof/>
          <w:szCs w:val="24"/>
        </w:rPr>
        <w:t xml:space="preserve">e Programme (budget line 02.04) - as well as </w:t>
      </w:r>
      <w:r w:rsidR="005D7DEA" w:rsidRPr="00150ABA">
        <w:rPr>
          <w:noProof/>
          <w:szCs w:val="24"/>
        </w:rPr>
        <w:t>margin under the heading 4 of the MFF.</w:t>
      </w:r>
    </w:p>
    <w:p w14:paraId="3FEF884E" w14:textId="547F0F49" w:rsidR="001F2A4B" w:rsidRPr="00150ABA" w:rsidRDefault="00C768E9" w:rsidP="008326C2">
      <w:pPr>
        <w:pStyle w:val="ListDash1"/>
        <w:numPr>
          <w:ilvl w:val="0"/>
          <w:numId w:val="16"/>
        </w:numPr>
        <w:rPr>
          <w:noProof/>
        </w:rPr>
      </w:pPr>
      <w:r w:rsidRPr="00150ABA">
        <w:rPr>
          <w:noProof/>
        </w:rPr>
        <w:sym w:font="Wingdings" w:char="F0FE"/>
      </w:r>
      <w:r w:rsidR="001F2A4B" w:rsidRPr="00150ABA">
        <w:rPr>
          <w:noProof/>
        </w:rPr>
        <w:tab/>
        <w:t>The proposal/initiative requires</w:t>
      </w:r>
      <w:r w:rsidR="00434820" w:rsidRPr="00150ABA">
        <w:rPr>
          <w:noProof/>
        </w:rPr>
        <w:t>use of the unallocated margin under the relevant heading of the MFF and/or use of the special instruments as defined in the MFF Regulation.</w:t>
      </w:r>
    </w:p>
    <w:p w14:paraId="1A88F34C" w14:textId="797A2A32" w:rsidR="001F2A4B" w:rsidRPr="00150ABA" w:rsidRDefault="00C768E9" w:rsidP="001F2A4B">
      <w:pPr>
        <w:pStyle w:val="Text1"/>
        <w:pBdr>
          <w:top w:val="single" w:sz="4" w:space="1" w:color="auto"/>
          <w:left w:val="single" w:sz="4" w:space="4" w:color="auto"/>
          <w:bottom w:val="single" w:sz="4" w:space="1" w:color="auto"/>
          <w:right w:val="single" w:sz="4" w:space="4" w:color="auto"/>
        </w:pBdr>
        <w:rPr>
          <w:noProof/>
          <w:sz w:val="20"/>
        </w:rPr>
      </w:pPr>
      <w:r w:rsidRPr="00150ABA">
        <w:rPr>
          <w:noProof/>
          <w:szCs w:val="24"/>
        </w:rPr>
        <w:t xml:space="preserve">Concerning appropriations for Eurojust, the </w:t>
      </w:r>
      <w:r w:rsidR="00434820" w:rsidRPr="00150ABA">
        <w:rPr>
          <w:noProof/>
          <w:szCs w:val="24"/>
        </w:rPr>
        <w:t>proposal requires use of the unallocated margin under the heading 2b of the MFF</w:t>
      </w:r>
      <w:r w:rsidRPr="00150ABA">
        <w:rPr>
          <w:noProof/>
          <w:szCs w:val="24"/>
        </w:rPr>
        <w:t>.</w:t>
      </w:r>
    </w:p>
    <w:p w14:paraId="12EA6D86" w14:textId="64A45CB4" w:rsidR="001F2A4B" w:rsidRPr="00150ABA" w:rsidRDefault="00D76D82" w:rsidP="00D76D82">
      <w:pPr>
        <w:pStyle w:val="ManualHeading3"/>
        <w:rPr>
          <w:bCs/>
          <w:noProof/>
          <w:szCs w:val="24"/>
        </w:rPr>
      </w:pPr>
      <w:bookmarkStart w:id="34" w:name="_Toc85196976"/>
      <w:r w:rsidRPr="00D76D82">
        <w:t>3.2.7.</w:t>
      </w:r>
      <w:r w:rsidRPr="00D76D82">
        <w:tab/>
      </w:r>
      <w:r w:rsidR="001F2A4B" w:rsidRPr="00150ABA">
        <w:rPr>
          <w:noProof/>
        </w:rPr>
        <w:t>Third-party contributions</w:t>
      </w:r>
      <w:bookmarkEnd w:id="34"/>
      <w:r w:rsidR="001F2A4B" w:rsidRPr="00150ABA">
        <w:rPr>
          <w:noProof/>
        </w:rPr>
        <w:t xml:space="preserve"> </w:t>
      </w:r>
    </w:p>
    <w:p w14:paraId="46786906" w14:textId="77777777" w:rsidR="001F2A4B" w:rsidRPr="00150ABA" w:rsidRDefault="001F2A4B" w:rsidP="008326C2">
      <w:pPr>
        <w:pStyle w:val="ListDash1"/>
        <w:numPr>
          <w:ilvl w:val="0"/>
          <w:numId w:val="16"/>
        </w:numPr>
        <w:rPr>
          <w:noProof/>
        </w:rPr>
      </w:pPr>
      <w:r w:rsidRPr="00150ABA">
        <w:rPr>
          <w:noProof/>
        </w:rPr>
        <w:sym w:font="Wingdings" w:char="F0FE"/>
      </w:r>
      <w:r w:rsidRPr="00150ABA">
        <w:rPr>
          <w:noProof/>
        </w:rPr>
        <w:t xml:space="preserve"> The proposal/initiative does not provide for co-financing by third parties. </w:t>
      </w:r>
    </w:p>
    <w:p w14:paraId="1461DFA0" w14:textId="77777777" w:rsidR="001F2A4B" w:rsidRPr="00150ABA" w:rsidRDefault="001F2A4B" w:rsidP="008326C2">
      <w:pPr>
        <w:pStyle w:val="ListDash1"/>
        <w:numPr>
          <w:ilvl w:val="0"/>
          <w:numId w:val="16"/>
        </w:numPr>
        <w:rPr>
          <w:noProof/>
        </w:rPr>
      </w:pPr>
      <w:r w:rsidRPr="00150ABA">
        <w:rPr>
          <w:noProof/>
        </w:rPr>
        <w:sym w:font="Wingdings" w:char="F0A8"/>
      </w:r>
      <w:r w:rsidRPr="00150ABA">
        <w:rPr>
          <w:noProof/>
        </w:rPr>
        <w:t xml:space="preserve"> The proposal/initiative provides for the co-financing estimated below:</w:t>
      </w:r>
    </w:p>
    <w:p w14:paraId="09CCCBCE" w14:textId="77777777" w:rsidR="001F2A4B" w:rsidRPr="00150ABA" w:rsidRDefault="001F2A4B" w:rsidP="001F2A4B">
      <w:pPr>
        <w:jc w:val="right"/>
        <w:rPr>
          <w:noProof/>
          <w:sz w:val="20"/>
        </w:rPr>
      </w:pPr>
      <w:r w:rsidRPr="00150ABA">
        <w:rPr>
          <w:noProof/>
          <w:sz w:val="20"/>
        </w:rPr>
        <w:t>EUR million (to three decimal places)</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1F2A4B" w:rsidRPr="00150ABA" w14:paraId="640B9DF6" w14:textId="77777777" w:rsidTr="001F2A4B">
        <w:trPr>
          <w:cantSplit/>
        </w:trPr>
        <w:tc>
          <w:tcPr>
            <w:tcW w:w="2340" w:type="dxa"/>
          </w:tcPr>
          <w:p w14:paraId="10B346AD" w14:textId="77777777" w:rsidR="001F2A4B" w:rsidRPr="00150ABA" w:rsidRDefault="001F2A4B" w:rsidP="001F2A4B">
            <w:pPr>
              <w:spacing w:before="60" w:after="60"/>
              <w:rPr>
                <w:noProof/>
                <w:sz w:val="20"/>
              </w:rPr>
            </w:pPr>
          </w:p>
        </w:tc>
        <w:tc>
          <w:tcPr>
            <w:tcW w:w="964" w:type="dxa"/>
            <w:vAlign w:val="center"/>
          </w:tcPr>
          <w:p w14:paraId="48AB0E19" w14:textId="77777777" w:rsidR="001F2A4B" w:rsidRPr="00150ABA" w:rsidRDefault="001F2A4B" w:rsidP="001F2A4B">
            <w:pPr>
              <w:jc w:val="center"/>
              <w:rPr>
                <w:noProof/>
                <w:sz w:val="20"/>
              </w:rPr>
            </w:pPr>
            <w:r w:rsidRPr="00150ABA">
              <w:rPr>
                <w:noProof/>
                <w:sz w:val="20"/>
              </w:rPr>
              <w:t>Year</w:t>
            </w:r>
            <w:r w:rsidRPr="00150ABA">
              <w:rPr>
                <w:noProof/>
                <w:sz w:val="22"/>
              </w:rPr>
              <w:br/>
            </w:r>
            <w:r w:rsidRPr="00150ABA">
              <w:rPr>
                <w:b/>
                <w:noProof/>
                <w:sz w:val="20"/>
              </w:rPr>
              <w:t>N</w:t>
            </w:r>
          </w:p>
        </w:tc>
        <w:tc>
          <w:tcPr>
            <w:tcW w:w="964" w:type="dxa"/>
            <w:vAlign w:val="center"/>
          </w:tcPr>
          <w:p w14:paraId="6548B836" w14:textId="77777777" w:rsidR="001F2A4B" w:rsidRPr="00150ABA" w:rsidRDefault="001F2A4B" w:rsidP="001F2A4B">
            <w:pPr>
              <w:jc w:val="center"/>
              <w:rPr>
                <w:noProof/>
                <w:sz w:val="20"/>
              </w:rPr>
            </w:pPr>
            <w:r w:rsidRPr="00150ABA">
              <w:rPr>
                <w:noProof/>
                <w:sz w:val="20"/>
              </w:rPr>
              <w:t>Year</w:t>
            </w:r>
            <w:r w:rsidRPr="00150ABA">
              <w:rPr>
                <w:noProof/>
                <w:sz w:val="22"/>
              </w:rPr>
              <w:br/>
            </w:r>
            <w:r w:rsidRPr="00150ABA">
              <w:rPr>
                <w:b/>
                <w:noProof/>
                <w:sz w:val="20"/>
              </w:rPr>
              <w:t>N+1</w:t>
            </w:r>
          </w:p>
        </w:tc>
        <w:tc>
          <w:tcPr>
            <w:tcW w:w="964" w:type="dxa"/>
            <w:vAlign w:val="center"/>
          </w:tcPr>
          <w:p w14:paraId="31CFD55F" w14:textId="77777777" w:rsidR="001F2A4B" w:rsidRPr="00150ABA" w:rsidRDefault="001F2A4B" w:rsidP="001F2A4B">
            <w:pPr>
              <w:jc w:val="center"/>
              <w:rPr>
                <w:noProof/>
                <w:sz w:val="20"/>
              </w:rPr>
            </w:pPr>
            <w:r w:rsidRPr="00150ABA">
              <w:rPr>
                <w:noProof/>
                <w:sz w:val="20"/>
              </w:rPr>
              <w:t>Year</w:t>
            </w:r>
            <w:r w:rsidRPr="00150ABA">
              <w:rPr>
                <w:noProof/>
                <w:sz w:val="22"/>
              </w:rPr>
              <w:br/>
            </w:r>
            <w:r w:rsidRPr="00150ABA">
              <w:rPr>
                <w:b/>
                <w:noProof/>
                <w:sz w:val="20"/>
              </w:rPr>
              <w:t>N+2</w:t>
            </w:r>
          </w:p>
        </w:tc>
        <w:tc>
          <w:tcPr>
            <w:tcW w:w="964" w:type="dxa"/>
            <w:vAlign w:val="center"/>
          </w:tcPr>
          <w:p w14:paraId="0D396A9E" w14:textId="77777777" w:rsidR="001F2A4B" w:rsidRPr="00150ABA" w:rsidRDefault="001F2A4B" w:rsidP="001F2A4B">
            <w:pPr>
              <w:jc w:val="center"/>
              <w:rPr>
                <w:noProof/>
                <w:sz w:val="20"/>
              </w:rPr>
            </w:pPr>
            <w:r w:rsidRPr="00150ABA">
              <w:rPr>
                <w:noProof/>
                <w:sz w:val="20"/>
              </w:rPr>
              <w:t>Year</w:t>
            </w:r>
            <w:r w:rsidRPr="00150ABA">
              <w:rPr>
                <w:noProof/>
                <w:sz w:val="22"/>
              </w:rPr>
              <w:br/>
            </w:r>
            <w:r w:rsidRPr="00150ABA">
              <w:rPr>
                <w:b/>
                <w:noProof/>
                <w:sz w:val="20"/>
              </w:rPr>
              <w:t>N+3</w:t>
            </w:r>
          </w:p>
        </w:tc>
        <w:tc>
          <w:tcPr>
            <w:tcW w:w="2892" w:type="dxa"/>
            <w:gridSpan w:val="3"/>
            <w:vAlign w:val="center"/>
          </w:tcPr>
          <w:p w14:paraId="6EBBDF5A" w14:textId="77777777" w:rsidR="001F2A4B" w:rsidRPr="00150ABA" w:rsidRDefault="001F2A4B" w:rsidP="001F2A4B">
            <w:pPr>
              <w:jc w:val="center"/>
              <w:rPr>
                <w:b/>
                <w:noProof/>
                <w:sz w:val="20"/>
              </w:rPr>
            </w:pPr>
            <w:r w:rsidRPr="00150ABA">
              <w:rPr>
                <w:noProof/>
                <w:sz w:val="20"/>
              </w:rPr>
              <w:t>Enter as many years as necessary to show the duration of the impact (see point 1.6)</w:t>
            </w:r>
          </w:p>
        </w:tc>
        <w:tc>
          <w:tcPr>
            <w:tcW w:w="1158" w:type="dxa"/>
            <w:vAlign w:val="center"/>
          </w:tcPr>
          <w:p w14:paraId="38746320" w14:textId="77777777" w:rsidR="001F2A4B" w:rsidRPr="00150ABA" w:rsidRDefault="001F2A4B" w:rsidP="001F2A4B">
            <w:pPr>
              <w:spacing w:before="60" w:after="60"/>
              <w:jc w:val="center"/>
              <w:rPr>
                <w:noProof/>
                <w:sz w:val="20"/>
              </w:rPr>
            </w:pPr>
            <w:r w:rsidRPr="00150ABA">
              <w:rPr>
                <w:noProof/>
                <w:sz w:val="20"/>
              </w:rPr>
              <w:t>Total</w:t>
            </w:r>
          </w:p>
        </w:tc>
      </w:tr>
      <w:tr w:rsidR="001F2A4B" w:rsidRPr="00150ABA" w14:paraId="7FD80F81" w14:textId="77777777" w:rsidTr="001F2A4B">
        <w:trPr>
          <w:cantSplit/>
        </w:trPr>
        <w:tc>
          <w:tcPr>
            <w:tcW w:w="2340" w:type="dxa"/>
          </w:tcPr>
          <w:p w14:paraId="2CB7D051" w14:textId="77777777" w:rsidR="001F2A4B" w:rsidRPr="00150ABA" w:rsidRDefault="001F2A4B" w:rsidP="001F2A4B">
            <w:pPr>
              <w:rPr>
                <w:noProof/>
              </w:rPr>
            </w:pPr>
            <w:r w:rsidRPr="00150ABA">
              <w:rPr>
                <w:noProof/>
                <w:sz w:val="20"/>
              </w:rPr>
              <w:t>Specify the co-financing body</w:t>
            </w:r>
            <w:r w:rsidRPr="00150ABA">
              <w:rPr>
                <w:i/>
                <w:noProof/>
                <w:sz w:val="20"/>
              </w:rPr>
              <w:t xml:space="preserve"> </w:t>
            </w:r>
          </w:p>
        </w:tc>
        <w:tc>
          <w:tcPr>
            <w:tcW w:w="964" w:type="dxa"/>
            <w:vAlign w:val="center"/>
          </w:tcPr>
          <w:p w14:paraId="22BF871F" w14:textId="77777777" w:rsidR="001F2A4B" w:rsidRPr="00150ABA" w:rsidRDefault="001F2A4B" w:rsidP="001F2A4B">
            <w:pPr>
              <w:spacing w:before="60" w:after="60"/>
              <w:jc w:val="center"/>
              <w:rPr>
                <w:noProof/>
                <w:sz w:val="20"/>
              </w:rPr>
            </w:pPr>
          </w:p>
        </w:tc>
        <w:tc>
          <w:tcPr>
            <w:tcW w:w="964" w:type="dxa"/>
            <w:vAlign w:val="center"/>
          </w:tcPr>
          <w:p w14:paraId="28AF85FB" w14:textId="77777777" w:rsidR="001F2A4B" w:rsidRPr="00150ABA" w:rsidRDefault="001F2A4B" w:rsidP="001F2A4B">
            <w:pPr>
              <w:spacing w:before="60" w:after="60"/>
              <w:jc w:val="center"/>
              <w:rPr>
                <w:noProof/>
                <w:sz w:val="20"/>
              </w:rPr>
            </w:pPr>
          </w:p>
        </w:tc>
        <w:tc>
          <w:tcPr>
            <w:tcW w:w="964" w:type="dxa"/>
            <w:vAlign w:val="center"/>
          </w:tcPr>
          <w:p w14:paraId="70B3C03A" w14:textId="77777777" w:rsidR="001F2A4B" w:rsidRPr="00150ABA" w:rsidRDefault="001F2A4B" w:rsidP="001F2A4B">
            <w:pPr>
              <w:spacing w:before="60" w:after="60"/>
              <w:jc w:val="center"/>
              <w:rPr>
                <w:noProof/>
                <w:sz w:val="20"/>
              </w:rPr>
            </w:pPr>
          </w:p>
        </w:tc>
        <w:tc>
          <w:tcPr>
            <w:tcW w:w="964" w:type="dxa"/>
            <w:vAlign w:val="center"/>
          </w:tcPr>
          <w:p w14:paraId="3AE26D4D" w14:textId="77777777" w:rsidR="001F2A4B" w:rsidRPr="00150ABA" w:rsidRDefault="001F2A4B" w:rsidP="001F2A4B">
            <w:pPr>
              <w:spacing w:before="60" w:after="60"/>
              <w:jc w:val="center"/>
              <w:rPr>
                <w:noProof/>
                <w:sz w:val="20"/>
              </w:rPr>
            </w:pPr>
          </w:p>
        </w:tc>
        <w:tc>
          <w:tcPr>
            <w:tcW w:w="964" w:type="dxa"/>
            <w:vAlign w:val="center"/>
          </w:tcPr>
          <w:p w14:paraId="1B88031C" w14:textId="77777777" w:rsidR="001F2A4B" w:rsidRPr="00150ABA" w:rsidRDefault="001F2A4B" w:rsidP="001F2A4B">
            <w:pPr>
              <w:spacing w:before="60" w:after="60"/>
              <w:jc w:val="center"/>
              <w:rPr>
                <w:noProof/>
                <w:sz w:val="20"/>
              </w:rPr>
            </w:pPr>
          </w:p>
        </w:tc>
        <w:tc>
          <w:tcPr>
            <w:tcW w:w="964" w:type="dxa"/>
            <w:vAlign w:val="center"/>
          </w:tcPr>
          <w:p w14:paraId="4BEBFE5F" w14:textId="77777777" w:rsidR="001F2A4B" w:rsidRPr="00150ABA" w:rsidRDefault="001F2A4B" w:rsidP="001F2A4B">
            <w:pPr>
              <w:spacing w:before="60" w:after="60"/>
              <w:jc w:val="center"/>
              <w:rPr>
                <w:noProof/>
                <w:sz w:val="20"/>
              </w:rPr>
            </w:pPr>
          </w:p>
        </w:tc>
        <w:tc>
          <w:tcPr>
            <w:tcW w:w="964" w:type="dxa"/>
            <w:vAlign w:val="center"/>
          </w:tcPr>
          <w:p w14:paraId="378A5B01" w14:textId="77777777" w:rsidR="001F2A4B" w:rsidRPr="00150ABA" w:rsidRDefault="001F2A4B" w:rsidP="001F2A4B">
            <w:pPr>
              <w:spacing w:before="60" w:after="60"/>
              <w:jc w:val="center"/>
              <w:rPr>
                <w:noProof/>
                <w:sz w:val="20"/>
              </w:rPr>
            </w:pPr>
          </w:p>
        </w:tc>
        <w:tc>
          <w:tcPr>
            <w:tcW w:w="1158" w:type="dxa"/>
            <w:vAlign w:val="center"/>
          </w:tcPr>
          <w:p w14:paraId="51D1FCB2" w14:textId="77777777" w:rsidR="001F2A4B" w:rsidRPr="00150ABA" w:rsidRDefault="001F2A4B" w:rsidP="001F2A4B">
            <w:pPr>
              <w:spacing w:before="60" w:after="60"/>
              <w:jc w:val="center"/>
              <w:rPr>
                <w:noProof/>
                <w:sz w:val="20"/>
              </w:rPr>
            </w:pPr>
          </w:p>
        </w:tc>
      </w:tr>
      <w:tr w:rsidR="001F2A4B" w:rsidRPr="00150ABA" w14:paraId="6AB90C77" w14:textId="77777777" w:rsidTr="001F2A4B">
        <w:trPr>
          <w:cantSplit/>
        </w:trPr>
        <w:tc>
          <w:tcPr>
            <w:tcW w:w="2340" w:type="dxa"/>
          </w:tcPr>
          <w:p w14:paraId="1ED7B5B6" w14:textId="77777777" w:rsidR="001F2A4B" w:rsidRPr="00150ABA" w:rsidRDefault="001F2A4B" w:rsidP="001F2A4B">
            <w:pPr>
              <w:spacing w:before="60" w:after="60"/>
              <w:rPr>
                <w:noProof/>
                <w:sz w:val="20"/>
              </w:rPr>
            </w:pPr>
            <w:r w:rsidRPr="00150ABA">
              <w:rPr>
                <w:noProof/>
                <w:sz w:val="20"/>
              </w:rPr>
              <w:t xml:space="preserve">TOTAL appropriations co-financed </w:t>
            </w:r>
          </w:p>
        </w:tc>
        <w:tc>
          <w:tcPr>
            <w:tcW w:w="964" w:type="dxa"/>
            <w:vAlign w:val="center"/>
          </w:tcPr>
          <w:p w14:paraId="5462C5AE" w14:textId="77777777" w:rsidR="001F2A4B" w:rsidRPr="00150ABA" w:rsidRDefault="001F2A4B" w:rsidP="001F2A4B">
            <w:pPr>
              <w:spacing w:before="60" w:after="60"/>
              <w:jc w:val="center"/>
              <w:rPr>
                <w:noProof/>
                <w:sz w:val="20"/>
              </w:rPr>
            </w:pPr>
          </w:p>
        </w:tc>
        <w:tc>
          <w:tcPr>
            <w:tcW w:w="964" w:type="dxa"/>
            <w:vAlign w:val="center"/>
          </w:tcPr>
          <w:p w14:paraId="6C4697BF" w14:textId="77777777" w:rsidR="001F2A4B" w:rsidRPr="00150ABA" w:rsidRDefault="001F2A4B" w:rsidP="001F2A4B">
            <w:pPr>
              <w:spacing w:before="60" w:after="60"/>
              <w:jc w:val="center"/>
              <w:rPr>
                <w:noProof/>
                <w:sz w:val="20"/>
              </w:rPr>
            </w:pPr>
          </w:p>
        </w:tc>
        <w:tc>
          <w:tcPr>
            <w:tcW w:w="964" w:type="dxa"/>
            <w:vAlign w:val="center"/>
          </w:tcPr>
          <w:p w14:paraId="6B387E09" w14:textId="77777777" w:rsidR="001F2A4B" w:rsidRPr="00150ABA" w:rsidRDefault="001F2A4B" w:rsidP="001F2A4B">
            <w:pPr>
              <w:spacing w:before="60" w:after="60"/>
              <w:jc w:val="center"/>
              <w:rPr>
                <w:noProof/>
                <w:sz w:val="20"/>
              </w:rPr>
            </w:pPr>
          </w:p>
        </w:tc>
        <w:tc>
          <w:tcPr>
            <w:tcW w:w="964" w:type="dxa"/>
            <w:vAlign w:val="center"/>
          </w:tcPr>
          <w:p w14:paraId="7147FEA7" w14:textId="77777777" w:rsidR="001F2A4B" w:rsidRPr="00150ABA" w:rsidRDefault="001F2A4B" w:rsidP="001F2A4B">
            <w:pPr>
              <w:spacing w:before="60" w:after="60"/>
              <w:jc w:val="center"/>
              <w:rPr>
                <w:noProof/>
                <w:sz w:val="20"/>
              </w:rPr>
            </w:pPr>
          </w:p>
        </w:tc>
        <w:tc>
          <w:tcPr>
            <w:tcW w:w="964" w:type="dxa"/>
            <w:vAlign w:val="center"/>
          </w:tcPr>
          <w:p w14:paraId="72012F59" w14:textId="77777777" w:rsidR="001F2A4B" w:rsidRPr="00150ABA" w:rsidRDefault="001F2A4B" w:rsidP="001F2A4B">
            <w:pPr>
              <w:spacing w:before="60" w:after="60"/>
              <w:jc w:val="center"/>
              <w:rPr>
                <w:noProof/>
                <w:sz w:val="20"/>
              </w:rPr>
            </w:pPr>
          </w:p>
        </w:tc>
        <w:tc>
          <w:tcPr>
            <w:tcW w:w="964" w:type="dxa"/>
            <w:vAlign w:val="center"/>
          </w:tcPr>
          <w:p w14:paraId="32824BB7" w14:textId="77777777" w:rsidR="001F2A4B" w:rsidRPr="00150ABA" w:rsidRDefault="001F2A4B" w:rsidP="001F2A4B">
            <w:pPr>
              <w:spacing w:before="60" w:after="60"/>
              <w:jc w:val="center"/>
              <w:rPr>
                <w:noProof/>
                <w:sz w:val="20"/>
              </w:rPr>
            </w:pPr>
          </w:p>
        </w:tc>
        <w:tc>
          <w:tcPr>
            <w:tcW w:w="964" w:type="dxa"/>
            <w:vAlign w:val="center"/>
          </w:tcPr>
          <w:p w14:paraId="4B9F71FD" w14:textId="77777777" w:rsidR="001F2A4B" w:rsidRPr="00150ABA" w:rsidRDefault="001F2A4B" w:rsidP="001F2A4B">
            <w:pPr>
              <w:spacing w:before="60" w:after="60"/>
              <w:jc w:val="center"/>
              <w:rPr>
                <w:noProof/>
                <w:sz w:val="20"/>
              </w:rPr>
            </w:pPr>
          </w:p>
        </w:tc>
        <w:tc>
          <w:tcPr>
            <w:tcW w:w="1158" w:type="dxa"/>
            <w:vAlign w:val="center"/>
          </w:tcPr>
          <w:p w14:paraId="3EE4CDD4" w14:textId="77777777" w:rsidR="001F2A4B" w:rsidRPr="00150ABA" w:rsidRDefault="001F2A4B" w:rsidP="001F2A4B">
            <w:pPr>
              <w:spacing w:before="60" w:after="60"/>
              <w:jc w:val="center"/>
              <w:rPr>
                <w:noProof/>
                <w:sz w:val="20"/>
              </w:rPr>
            </w:pPr>
          </w:p>
        </w:tc>
      </w:tr>
    </w:tbl>
    <w:p w14:paraId="582011E3" w14:textId="77777777" w:rsidR="001F2A4B" w:rsidRPr="00150ABA" w:rsidRDefault="00A728BA" w:rsidP="00451258">
      <w:pPr>
        <w:rPr>
          <w:noProof/>
          <w:szCs w:val="24"/>
        </w:rPr>
      </w:pPr>
      <w:r w:rsidRPr="00150ABA">
        <w:rPr>
          <w:noProof/>
        </w:rPr>
        <w:br w:type="page"/>
      </w:r>
    </w:p>
    <w:p w14:paraId="615B1771" w14:textId="52962208" w:rsidR="001D0AF2" w:rsidRPr="00150ABA" w:rsidRDefault="00D76D82" w:rsidP="00D76D82">
      <w:pPr>
        <w:pStyle w:val="ManualHeading2"/>
        <w:rPr>
          <w:noProof/>
        </w:rPr>
      </w:pPr>
      <w:bookmarkStart w:id="35" w:name="_Toc85196977"/>
      <w:r w:rsidRPr="00D76D82">
        <w:t>3.3.</w:t>
      </w:r>
      <w:r w:rsidRPr="00D76D82">
        <w:tab/>
      </w:r>
      <w:r w:rsidR="00A728BA" w:rsidRPr="00150ABA">
        <w:rPr>
          <w:noProof/>
        </w:rPr>
        <w:t>Estimated impact on revenue</w:t>
      </w:r>
      <w:bookmarkEnd w:id="35"/>
      <w:r w:rsidR="00A728BA" w:rsidRPr="00150ABA">
        <w:rPr>
          <w:noProof/>
        </w:rPr>
        <w:t xml:space="preserve"> </w:t>
      </w:r>
    </w:p>
    <w:p w14:paraId="7E9F2C0E" w14:textId="77777777" w:rsidR="00A728BA" w:rsidRPr="00150ABA" w:rsidRDefault="00827D15" w:rsidP="006F6F3C">
      <w:pPr>
        <w:pStyle w:val="ListDash1"/>
        <w:rPr>
          <w:noProof/>
        </w:rPr>
      </w:pPr>
      <w:r w:rsidRPr="00150ABA">
        <w:rPr>
          <w:noProof/>
        </w:rPr>
        <w:sym w:font="Wingdings" w:char="F0FE"/>
      </w:r>
      <w:r w:rsidR="00A728BA" w:rsidRPr="00150ABA">
        <w:rPr>
          <w:noProof/>
        </w:rPr>
        <w:tab/>
        <w:t>The proposal/initiative has no financial impact on revenue.</w:t>
      </w:r>
    </w:p>
    <w:p w14:paraId="3B6A0567" w14:textId="77777777" w:rsidR="00A728BA" w:rsidRPr="00150ABA" w:rsidRDefault="00A728BA" w:rsidP="006F6F3C">
      <w:pPr>
        <w:pStyle w:val="ListDash1"/>
        <w:rPr>
          <w:noProof/>
        </w:rPr>
      </w:pPr>
      <w:r w:rsidRPr="00150ABA">
        <w:rPr>
          <w:noProof/>
        </w:rPr>
        <w:sym w:font="Wingdings" w:char="F0A8"/>
      </w:r>
      <w:r w:rsidRPr="00150ABA">
        <w:rPr>
          <w:noProof/>
        </w:rPr>
        <w:tab/>
        <w:t>The proposal/initiative has the following financial impact:</w:t>
      </w:r>
    </w:p>
    <w:p w14:paraId="6D5E250B" w14:textId="77777777" w:rsidR="00A728BA" w:rsidRPr="00150ABA" w:rsidRDefault="00A728BA" w:rsidP="00A728BA">
      <w:pPr>
        <w:pStyle w:val="ListNumberLevel3"/>
        <w:rPr>
          <w:noProof/>
        </w:rPr>
      </w:pPr>
      <w:r w:rsidRPr="00150ABA">
        <w:rPr>
          <w:noProof/>
        </w:rPr>
        <w:sym w:font="Wingdings" w:char="F0A8"/>
      </w:r>
      <w:r w:rsidRPr="00150ABA">
        <w:rPr>
          <w:noProof/>
        </w:rPr>
        <w:tab/>
        <w:t xml:space="preserve">on own resources </w:t>
      </w:r>
    </w:p>
    <w:p w14:paraId="4FC01506" w14:textId="77777777" w:rsidR="00A728BA" w:rsidRPr="00150ABA" w:rsidRDefault="00A728BA" w:rsidP="00A728BA">
      <w:pPr>
        <w:pStyle w:val="ListNumberLevel3"/>
        <w:rPr>
          <w:noProof/>
        </w:rPr>
      </w:pPr>
      <w:r w:rsidRPr="00150ABA">
        <w:rPr>
          <w:noProof/>
        </w:rPr>
        <w:sym w:font="Wingdings" w:char="F0A8"/>
      </w:r>
      <w:r w:rsidRPr="00150ABA">
        <w:rPr>
          <w:noProof/>
        </w:rPr>
        <w:tab/>
        <w:t>on other revenue</w:t>
      </w:r>
    </w:p>
    <w:p w14:paraId="16F3751A" w14:textId="77777777" w:rsidR="00A728BA" w:rsidRPr="00150ABA" w:rsidRDefault="00A728BA" w:rsidP="006F6F3C">
      <w:pPr>
        <w:pStyle w:val="ListNumberLevel3"/>
        <w:rPr>
          <w:noProof/>
        </w:rPr>
      </w:pPr>
      <w:r w:rsidRPr="00150ABA">
        <w:rPr>
          <w:noProof/>
        </w:rPr>
        <w:t xml:space="preserve">please indicate, if the revenue is assigned to expenditure lines </w:t>
      </w:r>
      <w:r w:rsidRPr="00150ABA">
        <w:rPr>
          <w:noProof/>
        </w:rPr>
        <w:sym w:font="Wingdings" w:char="F0A8"/>
      </w:r>
      <w:r w:rsidRPr="00150ABA">
        <w:rPr>
          <w:noProof/>
        </w:rPr>
        <w:tab/>
      </w:r>
    </w:p>
    <w:p w14:paraId="14E02BD5" w14:textId="77777777" w:rsidR="00A728BA" w:rsidRPr="00150ABA" w:rsidRDefault="00A728BA" w:rsidP="006F6F3C">
      <w:pPr>
        <w:ind w:left="4320"/>
        <w:rPr>
          <w:i/>
          <w:noProof/>
          <w:sz w:val="20"/>
        </w:rPr>
      </w:pPr>
      <w:r w:rsidRPr="00150ABA">
        <w:rPr>
          <w:noProof/>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A728BA" w:rsidRPr="00150ABA" w14:paraId="59607D8F" w14:textId="77777777" w:rsidTr="006F6F3C">
        <w:trPr>
          <w:trHeight w:val="388"/>
        </w:trPr>
        <w:tc>
          <w:tcPr>
            <w:tcW w:w="2144" w:type="dxa"/>
            <w:vMerge w:val="restart"/>
            <w:vAlign w:val="center"/>
          </w:tcPr>
          <w:p w14:paraId="76FE457F" w14:textId="77777777" w:rsidR="00A728BA" w:rsidRPr="00150ABA" w:rsidRDefault="00A728BA" w:rsidP="006F6F3C">
            <w:pPr>
              <w:spacing w:before="40" w:after="40"/>
              <w:rPr>
                <w:noProof/>
                <w:sz w:val="18"/>
              </w:rPr>
            </w:pPr>
            <w:r w:rsidRPr="00150ABA">
              <w:rPr>
                <w:noProof/>
                <w:sz w:val="18"/>
              </w:rPr>
              <w:t>Budget revenue line:</w:t>
            </w:r>
          </w:p>
        </w:tc>
        <w:tc>
          <w:tcPr>
            <w:tcW w:w="1325" w:type="dxa"/>
            <w:vMerge w:val="restart"/>
            <w:vAlign w:val="center"/>
          </w:tcPr>
          <w:p w14:paraId="13BCFF0B" w14:textId="77777777" w:rsidR="00A728BA" w:rsidRPr="00150ABA" w:rsidRDefault="00A728BA" w:rsidP="006F6F3C">
            <w:pPr>
              <w:jc w:val="center"/>
              <w:rPr>
                <w:noProof/>
                <w:sz w:val="18"/>
              </w:rPr>
            </w:pPr>
            <w:r w:rsidRPr="00150ABA">
              <w:rPr>
                <w:noProof/>
                <w:sz w:val="18"/>
              </w:rPr>
              <w:t>Appropriations available for the current financial year</w:t>
            </w:r>
          </w:p>
        </w:tc>
        <w:tc>
          <w:tcPr>
            <w:tcW w:w="7151" w:type="dxa"/>
            <w:gridSpan w:val="7"/>
            <w:vAlign w:val="center"/>
          </w:tcPr>
          <w:p w14:paraId="5490FDAB" w14:textId="77777777" w:rsidR="00A728BA" w:rsidRPr="00150ABA" w:rsidRDefault="00A728BA" w:rsidP="006F6F3C">
            <w:pPr>
              <w:jc w:val="center"/>
              <w:rPr>
                <w:noProof/>
                <w:sz w:val="18"/>
              </w:rPr>
            </w:pPr>
            <w:r w:rsidRPr="00150ABA">
              <w:rPr>
                <w:noProof/>
                <w:sz w:val="18"/>
              </w:rPr>
              <w:t>Impact of the proposal/initiative</w:t>
            </w:r>
            <w:r w:rsidRPr="00150ABA">
              <w:rPr>
                <w:rStyle w:val="FootnoteReference"/>
                <w:noProof/>
                <w:sz w:val="18"/>
              </w:rPr>
              <w:footnoteReference w:id="47"/>
            </w:r>
          </w:p>
        </w:tc>
      </w:tr>
      <w:tr w:rsidR="00A728BA" w:rsidRPr="00150ABA" w14:paraId="5FC7BC42" w14:textId="77777777" w:rsidTr="006F6F3C">
        <w:trPr>
          <w:trHeight w:val="388"/>
        </w:trPr>
        <w:tc>
          <w:tcPr>
            <w:tcW w:w="2144" w:type="dxa"/>
            <w:vMerge/>
          </w:tcPr>
          <w:p w14:paraId="65BDBB20" w14:textId="77777777" w:rsidR="00A728BA" w:rsidRPr="00150ABA" w:rsidRDefault="00A728BA" w:rsidP="006F6F3C">
            <w:pPr>
              <w:spacing w:before="40" w:after="40"/>
              <w:rPr>
                <w:noProof/>
                <w:sz w:val="18"/>
              </w:rPr>
            </w:pPr>
          </w:p>
        </w:tc>
        <w:tc>
          <w:tcPr>
            <w:tcW w:w="1325" w:type="dxa"/>
            <w:vMerge/>
          </w:tcPr>
          <w:p w14:paraId="3AC0B535" w14:textId="77777777" w:rsidR="00A728BA" w:rsidRPr="00150ABA" w:rsidRDefault="00A728BA" w:rsidP="006F6F3C">
            <w:pPr>
              <w:spacing w:beforeLines="40" w:before="96" w:afterLines="40" w:after="96"/>
              <w:rPr>
                <w:i/>
                <w:noProof/>
                <w:sz w:val="18"/>
              </w:rPr>
            </w:pPr>
          </w:p>
        </w:tc>
        <w:tc>
          <w:tcPr>
            <w:tcW w:w="1031" w:type="dxa"/>
            <w:vAlign w:val="center"/>
          </w:tcPr>
          <w:p w14:paraId="0DF49264" w14:textId="77777777" w:rsidR="00A728BA" w:rsidRPr="00150ABA" w:rsidRDefault="00A728BA" w:rsidP="006F6F3C">
            <w:pPr>
              <w:jc w:val="center"/>
              <w:rPr>
                <w:noProof/>
                <w:sz w:val="18"/>
              </w:rPr>
            </w:pPr>
            <w:r w:rsidRPr="00150ABA">
              <w:rPr>
                <w:noProof/>
                <w:sz w:val="18"/>
              </w:rPr>
              <w:t>Year</w:t>
            </w:r>
            <w:r w:rsidRPr="00150ABA">
              <w:rPr>
                <w:noProof/>
                <w:sz w:val="22"/>
              </w:rPr>
              <w:br/>
            </w:r>
            <w:r w:rsidRPr="00150ABA">
              <w:rPr>
                <w:b/>
                <w:noProof/>
                <w:sz w:val="18"/>
              </w:rPr>
              <w:t>N</w:t>
            </w:r>
          </w:p>
        </w:tc>
        <w:tc>
          <w:tcPr>
            <w:tcW w:w="900" w:type="dxa"/>
            <w:vAlign w:val="center"/>
          </w:tcPr>
          <w:p w14:paraId="7AA0BB86" w14:textId="77777777" w:rsidR="00A728BA" w:rsidRPr="00150ABA" w:rsidRDefault="00A728BA" w:rsidP="006F6F3C">
            <w:pPr>
              <w:jc w:val="center"/>
              <w:rPr>
                <w:noProof/>
                <w:sz w:val="18"/>
              </w:rPr>
            </w:pPr>
            <w:r w:rsidRPr="00150ABA">
              <w:rPr>
                <w:noProof/>
                <w:sz w:val="18"/>
              </w:rPr>
              <w:t>Year</w:t>
            </w:r>
            <w:r w:rsidRPr="00150ABA">
              <w:rPr>
                <w:noProof/>
                <w:sz w:val="22"/>
              </w:rPr>
              <w:br/>
            </w:r>
            <w:r w:rsidRPr="00150ABA">
              <w:rPr>
                <w:b/>
                <w:noProof/>
                <w:sz w:val="18"/>
              </w:rPr>
              <w:t>N+1</w:t>
            </w:r>
          </w:p>
        </w:tc>
        <w:tc>
          <w:tcPr>
            <w:tcW w:w="900" w:type="dxa"/>
            <w:vAlign w:val="center"/>
          </w:tcPr>
          <w:p w14:paraId="0347028A" w14:textId="77777777" w:rsidR="00A728BA" w:rsidRPr="00150ABA" w:rsidRDefault="00A728BA" w:rsidP="006F6F3C">
            <w:pPr>
              <w:jc w:val="center"/>
              <w:rPr>
                <w:noProof/>
                <w:sz w:val="18"/>
              </w:rPr>
            </w:pPr>
            <w:r w:rsidRPr="00150ABA">
              <w:rPr>
                <w:noProof/>
                <w:sz w:val="18"/>
              </w:rPr>
              <w:t>Year</w:t>
            </w:r>
            <w:r w:rsidRPr="00150ABA">
              <w:rPr>
                <w:noProof/>
                <w:sz w:val="22"/>
              </w:rPr>
              <w:br/>
            </w:r>
            <w:r w:rsidRPr="00150ABA">
              <w:rPr>
                <w:b/>
                <w:noProof/>
                <w:sz w:val="18"/>
              </w:rPr>
              <w:t>N+2</w:t>
            </w:r>
          </w:p>
        </w:tc>
        <w:tc>
          <w:tcPr>
            <w:tcW w:w="1080" w:type="dxa"/>
            <w:vAlign w:val="center"/>
          </w:tcPr>
          <w:p w14:paraId="5639092D" w14:textId="77777777" w:rsidR="00A728BA" w:rsidRPr="00150ABA" w:rsidRDefault="00A728BA" w:rsidP="006F6F3C">
            <w:pPr>
              <w:jc w:val="center"/>
              <w:rPr>
                <w:noProof/>
                <w:sz w:val="18"/>
              </w:rPr>
            </w:pPr>
            <w:r w:rsidRPr="00150ABA">
              <w:rPr>
                <w:noProof/>
                <w:sz w:val="18"/>
              </w:rPr>
              <w:t>Year</w:t>
            </w:r>
            <w:r w:rsidRPr="00150ABA">
              <w:rPr>
                <w:noProof/>
                <w:sz w:val="22"/>
              </w:rPr>
              <w:br/>
            </w:r>
            <w:r w:rsidRPr="00150ABA">
              <w:rPr>
                <w:b/>
                <w:noProof/>
                <w:sz w:val="18"/>
              </w:rPr>
              <w:t>N+3</w:t>
            </w:r>
          </w:p>
        </w:tc>
        <w:tc>
          <w:tcPr>
            <w:tcW w:w="3240" w:type="dxa"/>
            <w:gridSpan w:val="3"/>
            <w:vAlign w:val="center"/>
          </w:tcPr>
          <w:p w14:paraId="6521E129" w14:textId="77777777" w:rsidR="00A728BA" w:rsidRPr="00150ABA" w:rsidRDefault="00A728BA" w:rsidP="006F6F3C">
            <w:pPr>
              <w:jc w:val="center"/>
              <w:rPr>
                <w:b/>
                <w:noProof/>
                <w:sz w:val="18"/>
              </w:rPr>
            </w:pPr>
            <w:r w:rsidRPr="00150ABA">
              <w:rPr>
                <w:noProof/>
                <w:sz w:val="18"/>
              </w:rPr>
              <w:t>Enter as many years as necessary to show the duration of the impact (see point 1.6)</w:t>
            </w:r>
          </w:p>
        </w:tc>
      </w:tr>
      <w:tr w:rsidR="00A728BA" w:rsidRPr="00150ABA" w14:paraId="2ACA2DFE" w14:textId="77777777" w:rsidTr="006F6F3C">
        <w:trPr>
          <w:trHeight w:val="388"/>
        </w:trPr>
        <w:tc>
          <w:tcPr>
            <w:tcW w:w="2144" w:type="dxa"/>
            <w:vAlign w:val="center"/>
          </w:tcPr>
          <w:p w14:paraId="0C8E0C11" w14:textId="77777777" w:rsidR="00A728BA" w:rsidRPr="00150ABA" w:rsidRDefault="00A728BA" w:rsidP="006F6F3C">
            <w:pPr>
              <w:spacing w:before="40" w:after="40"/>
              <w:rPr>
                <w:noProof/>
                <w:sz w:val="18"/>
              </w:rPr>
            </w:pPr>
            <w:r w:rsidRPr="00150ABA">
              <w:rPr>
                <w:noProof/>
                <w:sz w:val="18"/>
              </w:rPr>
              <w:t>Article ………….</w:t>
            </w:r>
          </w:p>
        </w:tc>
        <w:tc>
          <w:tcPr>
            <w:tcW w:w="1325" w:type="dxa"/>
          </w:tcPr>
          <w:p w14:paraId="4071A4B8" w14:textId="77777777" w:rsidR="00A728BA" w:rsidRPr="00150ABA" w:rsidRDefault="00A728BA" w:rsidP="006F6F3C">
            <w:pPr>
              <w:spacing w:beforeLines="40" w:before="96" w:afterLines="40" w:after="96"/>
              <w:jc w:val="center"/>
              <w:rPr>
                <w:i/>
                <w:noProof/>
                <w:sz w:val="18"/>
              </w:rPr>
            </w:pPr>
          </w:p>
        </w:tc>
        <w:tc>
          <w:tcPr>
            <w:tcW w:w="1031" w:type="dxa"/>
          </w:tcPr>
          <w:p w14:paraId="62C8F7B1" w14:textId="77777777" w:rsidR="00A728BA" w:rsidRPr="00150ABA" w:rsidRDefault="00A728BA" w:rsidP="006F6F3C">
            <w:pPr>
              <w:spacing w:beforeLines="40" w:before="96" w:afterLines="40" w:after="96"/>
              <w:jc w:val="center"/>
              <w:rPr>
                <w:noProof/>
                <w:sz w:val="18"/>
              </w:rPr>
            </w:pPr>
          </w:p>
        </w:tc>
        <w:tc>
          <w:tcPr>
            <w:tcW w:w="900" w:type="dxa"/>
          </w:tcPr>
          <w:p w14:paraId="52D31AC4" w14:textId="77777777" w:rsidR="00A728BA" w:rsidRPr="00150ABA" w:rsidRDefault="00A728BA" w:rsidP="006F6F3C">
            <w:pPr>
              <w:spacing w:beforeLines="40" w:before="96" w:afterLines="40" w:after="96"/>
              <w:jc w:val="center"/>
              <w:rPr>
                <w:noProof/>
                <w:sz w:val="18"/>
              </w:rPr>
            </w:pPr>
          </w:p>
        </w:tc>
        <w:tc>
          <w:tcPr>
            <w:tcW w:w="900" w:type="dxa"/>
          </w:tcPr>
          <w:p w14:paraId="07B6A666" w14:textId="77777777" w:rsidR="00A728BA" w:rsidRPr="00150ABA" w:rsidRDefault="00A728BA" w:rsidP="006F6F3C">
            <w:pPr>
              <w:spacing w:beforeLines="40" w:before="96" w:afterLines="40" w:after="96"/>
              <w:jc w:val="center"/>
              <w:rPr>
                <w:noProof/>
                <w:sz w:val="18"/>
              </w:rPr>
            </w:pPr>
          </w:p>
        </w:tc>
        <w:tc>
          <w:tcPr>
            <w:tcW w:w="1080" w:type="dxa"/>
          </w:tcPr>
          <w:p w14:paraId="051A5EB1" w14:textId="77777777" w:rsidR="00A728BA" w:rsidRPr="00150ABA" w:rsidRDefault="00A728BA" w:rsidP="006F6F3C">
            <w:pPr>
              <w:spacing w:beforeLines="40" w:before="96" w:afterLines="40" w:after="96"/>
              <w:jc w:val="center"/>
              <w:rPr>
                <w:noProof/>
                <w:sz w:val="18"/>
              </w:rPr>
            </w:pPr>
          </w:p>
        </w:tc>
        <w:tc>
          <w:tcPr>
            <w:tcW w:w="1080" w:type="dxa"/>
          </w:tcPr>
          <w:p w14:paraId="5FAF524A" w14:textId="77777777" w:rsidR="00A728BA" w:rsidRPr="00150ABA" w:rsidRDefault="00A728BA" w:rsidP="006F6F3C">
            <w:pPr>
              <w:spacing w:beforeLines="40" w:before="96" w:afterLines="40" w:after="96"/>
              <w:jc w:val="center"/>
              <w:rPr>
                <w:noProof/>
                <w:sz w:val="18"/>
              </w:rPr>
            </w:pPr>
          </w:p>
        </w:tc>
        <w:tc>
          <w:tcPr>
            <w:tcW w:w="1080" w:type="dxa"/>
          </w:tcPr>
          <w:p w14:paraId="63F4BE3E" w14:textId="77777777" w:rsidR="00A728BA" w:rsidRPr="00150ABA" w:rsidRDefault="00A728BA" w:rsidP="006F6F3C">
            <w:pPr>
              <w:spacing w:beforeLines="40" w:before="96" w:afterLines="40" w:after="96"/>
              <w:jc w:val="center"/>
              <w:rPr>
                <w:noProof/>
                <w:sz w:val="18"/>
              </w:rPr>
            </w:pPr>
          </w:p>
        </w:tc>
        <w:tc>
          <w:tcPr>
            <w:tcW w:w="1080" w:type="dxa"/>
          </w:tcPr>
          <w:p w14:paraId="3F3336CD" w14:textId="77777777" w:rsidR="00A728BA" w:rsidRPr="00150ABA" w:rsidRDefault="00A728BA" w:rsidP="006F6F3C">
            <w:pPr>
              <w:spacing w:beforeLines="40" w:before="96" w:afterLines="40" w:after="96"/>
              <w:jc w:val="center"/>
              <w:rPr>
                <w:noProof/>
                <w:sz w:val="18"/>
              </w:rPr>
            </w:pPr>
          </w:p>
        </w:tc>
      </w:tr>
    </w:tbl>
    <w:p w14:paraId="295322BF" w14:textId="77777777" w:rsidR="00A728BA" w:rsidRPr="00150ABA" w:rsidRDefault="00A728BA" w:rsidP="006F6F3C">
      <w:pPr>
        <w:pStyle w:val="Text1"/>
        <w:rPr>
          <w:noProof/>
          <w:sz w:val="20"/>
        </w:rPr>
      </w:pPr>
      <w:r w:rsidRPr="00150ABA">
        <w:rPr>
          <w:noProof/>
          <w:sz w:val="20"/>
        </w:rPr>
        <w:t>For assigned revenue, specify the budget expenditure line(s) affected.</w:t>
      </w:r>
    </w:p>
    <w:p w14:paraId="7568B913" w14:textId="77777777" w:rsidR="00A728BA" w:rsidRPr="00150ABA" w:rsidRDefault="00A728BA" w:rsidP="006F6F3C">
      <w:pPr>
        <w:pStyle w:val="Text1"/>
        <w:pBdr>
          <w:top w:val="single" w:sz="4" w:space="1" w:color="auto"/>
          <w:left w:val="single" w:sz="4" w:space="4" w:color="auto"/>
          <w:bottom w:val="single" w:sz="4" w:space="1" w:color="auto"/>
          <w:right w:val="single" w:sz="4" w:space="4" w:color="auto"/>
        </w:pBdr>
        <w:rPr>
          <w:noProof/>
        </w:rPr>
      </w:pPr>
    </w:p>
    <w:p w14:paraId="4D90F6E0" w14:textId="77777777" w:rsidR="00A728BA" w:rsidRPr="00150ABA" w:rsidRDefault="00A728BA" w:rsidP="006F6F3C">
      <w:pPr>
        <w:pStyle w:val="Text1"/>
        <w:rPr>
          <w:noProof/>
          <w:sz w:val="20"/>
        </w:rPr>
      </w:pPr>
      <w:r w:rsidRPr="00150ABA">
        <w:rPr>
          <w:noProof/>
          <w:sz w:val="20"/>
        </w:rPr>
        <w:t>Other remarks (e.g. method/formula used for calculating the impact on revenue or any other information).</w:t>
      </w:r>
    </w:p>
    <w:p w14:paraId="4D5BDBA5" w14:textId="77777777" w:rsidR="00A728BA" w:rsidRPr="00150ABA" w:rsidRDefault="00A728BA" w:rsidP="006F6F3C">
      <w:pPr>
        <w:pStyle w:val="Text1"/>
        <w:pBdr>
          <w:top w:val="single" w:sz="4" w:space="1" w:color="auto"/>
          <w:left w:val="single" w:sz="4" w:space="4" w:color="auto"/>
          <w:bottom w:val="single" w:sz="4" w:space="1" w:color="auto"/>
          <w:right w:val="single" w:sz="4" w:space="4" w:color="auto"/>
        </w:pBdr>
        <w:rPr>
          <w:noProof/>
        </w:rPr>
      </w:pPr>
    </w:p>
    <w:sectPr w:rsidR="00A728BA" w:rsidRPr="00150ABA" w:rsidSect="00E45D24">
      <w:headerReference w:type="default" r:id="rId19"/>
      <w:footerReference w:type="default" r:id="rId20"/>
      <w:headerReference w:type="first" r:id="rId21"/>
      <w:footerReference w:type="first" r:id="rId22"/>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554EB" w14:textId="77777777" w:rsidR="004570B2" w:rsidRDefault="004570B2" w:rsidP="00023765">
      <w:pPr>
        <w:spacing w:before="0" w:after="0"/>
      </w:pPr>
      <w:r>
        <w:separator/>
      </w:r>
    </w:p>
  </w:endnote>
  <w:endnote w:type="continuationSeparator" w:id="0">
    <w:p w14:paraId="6C474B94" w14:textId="77777777" w:rsidR="004570B2" w:rsidRDefault="004570B2" w:rsidP="00023765">
      <w:pPr>
        <w:spacing w:before="0" w:after="0"/>
      </w:pPr>
      <w:r>
        <w:continuationSeparator/>
      </w:r>
    </w:p>
  </w:endnote>
  <w:endnote w:type="continuationNotice" w:id="1">
    <w:p w14:paraId="4B5C33B4" w14:textId="77777777" w:rsidR="004570B2" w:rsidRDefault="004570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EUAlbertina">
    <w:altName w:val="Times New Roman"/>
    <w:charset w:val="00"/>
    <w:family w:val="auto"/>
    <w:pitch w:val="variable"/>
    <w:sig w:usb0="00000001" w:usb1="1000E0FB" w:usb2="00000000" w:usb3="00000000" w:csb0="0000009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E71C4" w14:textId="067B88FB" w:rsidR="004570B2" w:rsidRPr="00E45D24" w:rsidRDefault="00E45D24" w:rsidP="00E45D24">
    <w:pPr>
      <w:pStyle w:val="Footer"/>
      <w:rPr>
        <w:rFonts w:ascii="Arial" w:hAnsi="Arial" w:cs="Arial"/>
        <w:b/>
        <w:sz w:val="48"/>
      </w:rPr>
    </w:pPr>
    <w:r w:rsidRPr="00E45D24">
      <w:rPr>
        <w:rFonts w:ascii="Arial" w:hAnsi="Arial" w:cs="Arial"/>
        <w:b/>
        <w:sz w:val="48"/>
      </w:rPr>
      <w:t>EN</w:t>
    </w:r>
    <w:r w:rsidRPr="00E45D24">
      <w:rPr>
        <w:rFonts w:ascii="Arial" w:hAnsi="Arial" w:cs="Arial"/>
        <w:b/>
        <w:sz w:val="48"/>
      </w:rPr>
      <w:tab/>
    </w:r>
    <w:r w:rsidRPr="00E45D24">
      <w:rPr>
        <w:rFonts w:ascii="Arial" w:hAnsi="Arial" w:cs="Arial"/>
        <w:b/>
        <w:sz w:val="48"/>
      </w:rPr>
      <w:tab/>
    </w:r>
    <w:r w:rsidRPr="00E45D24">
      <w:tab/>
    </w:r>
    <w:r w:rsidRPr="00E45D24">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9BF02" w14:textId="38F90EAC" w:rsidR="00E45D24" w:rsidRPr="00E45D24" w:rsidRDefault="00E45D24" w:rsidP="00E45D24">
    <w:pPr>
      <w:pStyle w:val="Footer"/>
      <w:rPr>
        <w:rFonts w:ascii="Arial" w:hAnsi="Arial" w:cs="Arial"/>
        <w:b/>
        <w:sz w:val="48"/>
      </w:rPr>
    </w:pPr>
    <w:r w:rsidRPr="00E45D24">
      <w:rPr>
        <w:rFonts w:ascii="Arial" w:hAnsi="Arial" w:cs="Arial"/>
        <w:b/>
        <w:sz w:val="48"/>
      </w:rPr>
      <w:t>EN</w:t>
    </w:r>
    <w:r w:rsidRPr="00E45D24">
      <w:rPr>
        <w:rFonts w:ascii="Arial" w:hAnsi="Arial" w:cs="Arial"/>
        <w:b/>
        <w:sz w:val="48"/>
      </w:rPr>
      <w:tab/>
    </w:r>
    <w:r>
      <w:fldChar w:fldCharType="begin"/>
    </w:r>
    <w:r>
      <w:instrText xml:space="preserve"> PAGE  \* MERGEFORMAT </w:instrText>
    </w:r>
    <w:r>
      <w:fldChar w:fldCharType="separate"/>
    </w:r>
    <w:r w:rsidR="00143DAF">
      <w:rPr>
        <w:noProof/>
      </w:rPr>
      <w:t>34</w:t>
    </w:r>
    <w:r>
      <w:fldChar w:fldCharType="end"/>
    </w:r>
    <w:r>
      <w:tab/>
    </w:r>
    <w:r w:rsidRPr="00E45D24">
      <w:tab/>
    </w:r>
    <w:r w:rsidRPr="00E45D2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69452" w14:textId="77777777" w:rsidR="00E45D24" w:rsidRPr="00E45D24" w:rsidRDefault="00E45D24" w:rsidP="00E45D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52D6" w14:textId="7E7375E1" w:rsidR="00E45D24" w:rsidRPr="00E45D24" w:rsidRDefault="00E45D24" w:rsidP="00E45D24">
    <w:pPr>
      <w:pStyle w:val="FooterLandscape"/>
      <w:rPr>
        <w:rFonts w:ascii="Arial" w:hAnsi="Arial" w:cs="Arial"/>
        <w:b/>
        <w:sz w:val="48"/>
      </w:rPr>
    </w:pPr>
    <w:r w:rsidRPr="00E45D24">
      <w:rPr>
        <w:rFonts w:ascii="Arial" w:hAnsi="Arial" w:cs="Arial"/>
        <w:b/>
        <w:sz w:val="48"/>
      </w:rPr>
      <w:t>EN</w:t>
    </w:r>
    <w:r w:rsidRPr="00E45D2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45D24">
      <w:tab/>
    </w:r>
    <w:r w:rsidRPr="00E45D24">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26812" w14:textId="77777777" w:rsidR="00E45D24" w:rsidRPr="00E45D24" w:rsidRDefault="00E45D24" w:rsidP="00E45D24">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2207" w14:textId="6E291881" w:rsidR="00E45D24" w:rsidRPr="00E45D24" w:rsidRDefault="00E45D24" w:rsidP="00E45D24">
    <w:pPr>
      <w:pStyle w:val="Footer"/>
      <w:rPr>
        <w:rFonts w:ascii="Arial" w:hAnsi="Arial" w:cs="Arial"/>
        <w:b/>
        <w:sz w:val="48"/>
      </w:rPr>
    </w:pPr>
    <w:r w:rsidRPr="00E45D24">
      <w:rPr>
        <w:rFonts w:ascii="Arial" w:hAnsi="Arial" w:cs="Arial"/>
        <w:b/>
        <w:sz w:val="48"/>
      </w:rPr>
      <w:t>EN</w:t>
    </w:r>
    <w:r w:rsidRPr="00E45D2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45D24">
      <w:tab/>
    </w:r>
    <w:r w:rsidRPr="00E45D24">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E9555" w14:textId="77777777" w:rsidR="00E45D24" w:rsidRPr="00E45D24" w:rsidRDefault="00E45D24" w:rsidP="00E45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A1FF9" w14:textId="77777777" w:rsidR="004570B2" w:rsidRDefault="004570B2" w:rsidP="00023765">
      <w:pPr>
        <w:spacing w:before="0" w:after="0"/>
      </w:pPr>
      <w:r>
        <w:separator/>
      </w:r>
    </w:p>
  </w:footnote>
  <w:footnote w:type="continuationSeparator" w:id="0">
    <w:p w14:paraId="69FA094F" w14:textId="77777777" w:rsidR="004570B2" w:rsidRDefault="004570B2" w:rsidP="00023765">
      <w:pPr>
        <w:spacing w:before="0" w:after="0"/>
      </w:pPr>
      <w:r>
        <w:continuationSeparator/>
      </w:r>
    </w:p>
  </w:footnote>
  <w:footnote w:type="continuationNotice" w:id="1">
    <w:p w14:paraId="24B643B5" w14:textId="77777777" w:rsidR="004570B2" w:rsidRDefault="004570B2">
      <w:pPr>
        <w:spacing w:before="0" w:after="0"/>
      </w:pPr>
    </w:p>
  </w:footnote>
  <w:footnote w:id="2">
    <w:p w14:paraId="7A6AE0CD" w14:textId="77777777" w:rsidR="004570B2" w:rsidRPr="00EB506F" w:rsidRDefault="004570B2" w:rsidP="004B5A3A">
      <w:pPr>
        <w:pStyle w:val="FootnoteText"/>
        <w:rPr>
          <w:lang w:val="pl-PL"/>
        </w:rPr>
      </w:pPr>
      <w:r w:rsidRPr="00EB506F">
        <w:rPr>
          <w:rStyle w:val="FootnoteReference"/>
        </w:rPr>
        <w:footnoteRef/>
      </w:r>
      <w:r w:rsidRPr="00EB506F">
        <w:rPr>
          <w:lang w:val="pl-PL"/>
        </w:rPr>
        <w:tab/>
        <w:t>OJ C 197, 12.7.2000, p. 3–23.</w:t>
      </w:r>
    </w:p>
  </w:footnote>
  <w:footnote w:id="3">
    <w:p w14:paraId="713F23B0" w14:textId="77777777" w:rsidR="004570B2" w:rsidRPr="00EB506F" w:rsidRDefault="004570B2" w:rsidP="004B5A3A">
      <w:pPr>
        <w:pStyle w:val="FootnoteText"/>
        <w:rPr>
          <w:lang w:val="pl-PL"/>
        </w:rPr>
      </w:pPr>
      <w:r w:rsidRPr="00EB506F">
        <w:rPr>
          <w:rStyle w:val="FootnoteReference"/>
        </w:rPr>
        <w:footnoteRef/>
      </w:r>
      <w:r w:rsidRPr="00EB506F">
        <w:rPr>
          <w:lang w:val="pl-PL"/>
        </w:rPr>
        <w:tab/>
        <w:t>OJ L 162, 20.6.2002, p. 1–3.</w:t>
      </w:r>
    </w:p>
  </w:footnote>
  <w:footnote w:id="4">
    <w:p w14:paraId="1E4903A9" w14:textId="77777777" w:rsidR="004570B2" w:rsidRPr="00EB506F" w:rsidRDefault="004570B2" w:rsidP="004B5A3A">
      <w:pPr>
        <w:pStyle w:val="FootnoteText"/>
        <w:rPr>
          <w:lang w:val="pl-PL"/>
        </w:rPr>
      </w:pPr>
      <w:r w:rsidRPr="00EB506F">
        <w:rPr>
          <w:rStyle w:val="FootnoteReference"/>
        </w:rPr>
        <w:footnoteRef/>
      </w:r>
      <w:r w:rsidRPr="00EB506F">
        <w:rPr>
          <w:lang w:val="pl-PL"/>
        </w:rPr>
        <w:tab/>
        <w:t>CET No 182.</w:t>
      </w:r>
    </w:p>
  </w:footnote>
  <w:footnote w:id="5">
    <w:p w14:paraId="721E3372" w14:textId="77777777" w:rsidR="004570B2" w:rsidRPr="00EB506F" w:rsidRDefault="004570B2" w:rsidP="004B5A3A">
      <w:pPr>
        <w:pStyle w:val="FootnoteText"/>
        <w:rPr>
          <w:lang w:val="pl-PL"/>
        </w:rPr>
      </w:pPr>
      <w:r w:rsidRPr="00EB506F">
        <w:rPr>
          <w:rStyle w:val="FootnoteReference"/>
        </w:rPr>
        <w:footnoteRef/>
      </w:r>
      <w:r w:rsidRPr="00EB506F">
        <w:rPr>
          <w:lang w:val="pl-PL"/>
        </w:rPr>
        <w:tab/>
        <w:t>OJ L 181, 19.7.2003, p. 34.</w:t>
      </w:r>
    </w:p>
  </w:footnote>
  <w:footnote w:id="6">
    <w:p w14:paraId="0BA8A071" w14:textId="1F5CAB1D" w:rsidR="004570B2" w:rsidRPr="00EB506F" w:rsidRDefault="004570B2" w:rsidP="004B5A3A">
      <w:pPr>
        <w:pStyle w:val="FootnoteText"/>
        <w:rPr>
          <w:lang w:val="pl-PL"/>
        </w:rPr>
      </w:pPr>
      <w:r w:rsidRPr="00EB506F">
        <w:rPr>
          <w:rStyle w:val="FootnoteReference"/>
        </w:rPr>
        <w:footnoteRef/>
      </w:r>
      <w:r w:rsidRPr="00EB506F">
        <w:rPr>
          <w:lang w:val="es-ES"/>
        </w:rPr>
        <w:tab/>
      </w:r>
      <w:r w:rsidR="009643BD">
        <w:fldChar w:fldCharType="begin"/>
      </w:r>
      <w:r w:rsidR="009643BD" w:rsidRPr="009643BD">
        <w:instrText xml:space="preserve">"https://www.eurojust.europa.eu/sites/default/files/Partners/JITs/2018-02_2nd-Report-JIT-Evaluation_EN.pdf" </w:instrText>
      </w:r>
      <w:r w:rsidR="009643BD">
        <w:fldChar w:fldCharType="separate"/>
      </w:r>
      <w:r w:rsidRPr="00EB506F">
        <w:rPr>
          <w:rStyle w:val="Hyperlink"/>
          <w:lang w:val="pl-PL"/>
        </w:rPr>
        <w:t>https://www.eurojust.europa.eu/sites/default/files/Partners/JITs/2018-02_2nd-Report-JIT-Evaluation_EN.pdf</w:t>
      </w:r>
      <w:r w:rsidR="009643BD">
        <w:rPr>
          <w:rStyle w:val="Hyperlink"/>
          <w:lang w:val="pl-PL"/>
        </w:rPr>
        <w:fldChar w:fldCharType="end"/>
      </w:r>
    </w:p>
  </w:footnote>
  <w:footnote w:id="7">
    <w:p w14:paraId="5F1FC49F" w14:textId="75D2F6ED" w:rsidR="004570B2" w:rsidRPr="00EB506F" w:rsidRDefault="004570B2" w:rsidP="004B5A3A">
      <w:pPr>
        <w:pStyle w:val="FootnoteText"/>
        <w:rPr>
          <w:lang w:val="pl-PL"/>
        </w:rPr>
      </w:pPr>
      <w:r w:rsidRPr="00EB506F">
        <w:rPr>
          <w:rStyle w:val="FootnoteReference"/>
        </w:rPr>
        <w:footnoteRef/>
      </w:r>
      <w:r w:rsidRPr="00EB506F">
        <w:rPr>
          <w:lang w:val="pl-PL"/>
        </w:rPr>
        <w:tab/>
      </w:r>
      <w:hyperlink r:id="rId1" w:history="1">
        <w:r w:rsidR="009643BD" w:rsidRPr="004050A7">
          <w:rPr>
            <w:rStyle w:val="Hyperlink"/>
            <w:lang w:val="pl-PL"/>
          </w:rPr>
          <w:t>https://op.europa.eu/en/publication-detail/-/publication/e38795b5-f633-11ea-991b-01aa75ed71a1</w:t>
        </w:r>
      </w:hyperlink>
    </w:p>
  </w:footnote>
  <w:footnote w:id="8">
    <w:p w14:paraId="1385524A" w14:textId="77777777" w:rsidR="004570B2" w:rsidRPr="00EB506F" w:rsidRDefault="004570B2" w:rsidP="006C5E83">
      <w:pPr>
        <w:pStyle w:val="FootnoteText"/>
        <w:rPr>
          <w:lang w:val="en-US"/>
        </w:rPr>
      </w:pPr>
      <w:r w:rsidRPr="00EB506F">
        <w:rPr>
          <w:rStyle w:val="FootnoteReference"/>
        </w:rPr>
        <w:footnoteRef/>
      </w:r>
      <w:r w:rsidRPr="00EB506F">
        <w:tab/>
        <w:t>Commission Communication on the Digitalisation of justice in the European Union - A toolbox of opportunities, COM (2020) 710 final, 2.12.2020.</w:t>
      </w:r>
    </w:p>
  </w:footnote>
  <w:footnote w:id="9">
    <w:p w14:paraId="60C70318" w14:textId="77777777" w:rsidR="004570B2" w:rsidRPr="00EB506F" w:rsidRDefault="004570B2" w:rsidP="00D05E41">
      <w:pPr>
        <w:pStyle w:val="FootnoteText"/>
      </w:pPr>
      <w:r w:rsidRPr="00EB506F">
        <w:rPr>
          <w:rStyle w:val="FootnoteReference"/>
        </w:rPr>
        <w:footnoteRef/>
      </w:r>
      <w:r w:rsidRPr="00EB506F">
        <w:tab/>
        <w:t>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w:t>
      </w:r>
    </w:p>
  </w:footnote>
  <w:footnote w:id="10">
    <w:p w14:paraId="4DCE88CF" w14:textId="77777777" w:rsidR="004570B2" w:rsidRPr="00EB506F" w:rsidRDefault="004570B2" w:rsidP="0005122E">
      <w:pPr>
        <w:pStyle w:val="FootnoteText"/>
        <w:rPr>
          <w:lang w:val="en-US"/>
        </w:rPr>
      </w:pPr>
      <w:r w:rsidRPr="00EB506F">
        <w:rPr>
          <w:rStyle w:val="FootnoteReference"/>
        </w:rPr>
        <w:footnoteRef/>
      </w:r>
      <w:r w:rsidRPr="00EB506F">
        <w:tab/>
        <w:t>Commission Communication on the Digitalisation of justice in the European Union - A toolbox of opportunities, COM (2020) 710 final, 2.12.2020.</w:t>
      </w:r>
    </w:p>
  </w:footnote>
  <w:footnote w:id="11">
    <w:p w14:paraId="4120EA23" w14:textId="77777777" w:rsidR="004570B2" w:rsidRPr="00EB506F" w:rsidRDefault="004570B2" w:rsidP="006C5E83">
      <w:pPr>
        <w:pStyle w:val="FootnoteText"/>
        <w:rPr>
          <w:lang w:val="en-US"/>
        </w:rPr>
      </w:pPr>
      <w:r w:rsidRPr="00EB506F">
        <w:rPr>
          <w:rStyle w:val="FootnoteReference"/>
        </w:rPr>
        <w:footnoteRef/>
      </w:r>
      <w:r w:rsidRPr="00EB506F">
        <w:rPr>
          <w:lang w:val="en-US"/>
        </w:rPr>
        <w:tab/>
        <w:t xml:space="preserve">Commission Communication Commission </w:t>
      </w:r>
      <w:r w:rsidRPr="00EB506F">
        <w:t>Work Programme 2021</w:t>
      </w:r>
      <w:r w:rsidRPr="00EB506F">
        <w:rPr>
          <w:lang w:val="en-US"/>
        </w:rPr>
        <w:t>, A Union of vitality in a world of fragility, COM(2020) 690 final.</w:t>
      </w:r>
    </w:p>
  </w:footnote>
  <w:footnote w:id="12">
    <w:p w14:paraId="76A02FB0" w14:textId="77777777" w:rsidR="004570B2" w:rsidRPr="00EB506F" w:rsidRDefault="004570B2" w:rsidP="006C5E83">
      <w:pPr>
        <w:pStyle w:val="FootnoteText"/>
        <w:rPr>
          <w:lang w:val="en-US"/>
        </w:rPr>
      </w:pPr>
      <w:r w:rsidRPr="00EB506F">
        <w:rPr>
          <w:rStyle w:val="FootnoteReference"/>
        </w:rPr>
        <w:footnoteRef/>
      </w:r>
      <w:r w:rsidRPr="00EB506F">
        <w:rPr>
          <w:lang w:val="en-US"/>
        </w:rPr>
        <w:tab/>
      </w:r>
      <w:r w:rsidRPr="00EB506F">
        <w:t>Commission Communication on the EU Security Union strategy, COM(2020) 605 final.</w:t>
      </w:r>
    </w:p>
  </w:footnote>
  <w:footnote w:id="13">
    <w:p w14:paraId="27ADB104" w14:textId="296B8451" w:rsidR="004570B2" w:rsidRPr="00EB506F" w:rsidRDefault="004570B2" w:rsidP="006C5E83">
      <w:pPr>
        <w:pStyle w:val="FootnoteText"/>
        <w:rPr>
          <w:lang w:val="en-US"/>
        </w:rPr>
      </w:pPr>
      <w:r w:rsidRPr="00EB506F">
        <w:rPr>
          <w:rStyle w:val="FootnoteReference"/>
        </w:rPr>
        <w:footnoteRef/>
      </w:r>
      <w:r w:rsidRPr="00EB506F">
        <w:rPr>
          <w:lang w:val="en-US"/>
        </w:rPr>
        <w:tab/>
      </w:r>
      <w:r w:rsidRPr="00EB506F">
        <w:t>Commission Communication on a counter-terrorism agenda for the EU, COM(2020) 795 final.</w:t>
      </w:r>
    </w:p>
  </w:footnote>
  <w:footnote w:id="14">
    <w:p w14:paraId="058B0F01" w14:textId="19C94F24" w:rsidR="004570B2" w:rsidRPr="00EB506F" w:rsidRDefault="004570B2" w:rsidP="006C5E83">
      <w:pPr>
        <w:pStyle w:val="FootnoteText"/>
        <w:rPr>
          <w:lang w:val="en-US"/>
        </w:rPr>
      </w:pPr>
      <w:r w:rsidRPr="00EB506F">
        <w:rPr>
          <w:rStyle w:val="FootnoteReference"/>
        </w:rPr>
        <w:footnoteRef/>
      </w:r>
      <w:r w:rsidRPr="00EB506F">
        <w:rPr>
          <w:lang w:val="en-US"/>
        </w:rPr>
        <w:tab/>
      </w:r>
      <w:r w:rsidRPr="00EB506F">
        <w:t xml:space="preserve">Commission Communication on the EU strategy to tackle organised crime 2021-2025, </w:t>
      </w:r>
      <w:r w:rsidRPr="00EB506F">
        <w:rPr>
          <w:lang w:val="en-US"/>
        </w:rPr>
        <w:t>COM(2021) 170 final.</w:t>
      </w:r>
    </w:p>
  </w:footnote>
  <w:footnote w:id="15">
    <w:p w14:paraId="076345EB" w14:textId="0F231431" w:rsidR="004570B2" w:rsidRPr="00013007" w:rsidRDefault="004570B2" w:rsidP="0005122E">
      <w:pPr>
        <w:pStyle w:val="FootnoteText"/>
      </w:pPr>
      <w:r w:rsidRPr="002E1FF3">
        <w:rPr>
          <w:rStyle w:val="FootnoteReference"/>
        </w:rPr>
        <w:footnoteRef/>
      </w:r>
      <w:r>
        <w:rPr>
          <w:lang w:val="en-US"/>
        </w:rPr>
        <w:tab/>
      </w:r>
      <w:r w:rsidRPr="00013007">
        <w:t xml:space="preserve">Cross-border Digital Criminal Justice, Final </w:t>
      </w:r>
      <w:r>
        <w:t>r</w:t>
      </w:r>
      <w:r w:rsidRPr="00013007">
        <w:t xml:space="preserve">eport, </w:t>
      </w:r>
      <w:hyperlink r:id="rId2" w:history="1">
        <w:r w:rsidRPr="00013007">
          <w:rPr>
            <w:rStyle w:val="Hyperlink"/>
          </w:rPr>
          <w:t>https://op.europa.eu/en/publication-detail/-/publication/e38795b5-f633-11ea-991b-01aa75ed71a1/language-en</w:t>
        </w:r>
      </w:hyperlink>
      <w:r w:rsidRPr="00013007">
        <w:t>.</w:t>
      </w:r>
    </w:p>
  </w:footnote>
  <w:footnote w:id="16">
    <w:p w14:paraId="7AFD5AB8" w14:textId="3EC43B91" w:rsidR="004570B2" w:rsidRDefault="004570B2">
      <w:pPr>
        <w:pStyle w:val="FootnoteText"/>
      </w:pPr>
      <w:r w:rsidRPr="005D7DEA">
        <w:rPr>
          <w:rStyle w:val="FootnoteReference"/>
        </w:rPr>
        <w:footnoteRef/>
      </w:r>
      <w:r>
        <w:tab/>
      </w:r>
      <w:r w:rsidRPr="00B93D26">
        <w:t>SWD(2021)</w:t>
      </w:r>
      <w:r>
        <w:t xml:space="preserve"> </w:t>
      </w:r>
      <w:r w:rsidRPr="00B93D26">
        <w:t>390</w:t>
      </w:r>
    </w:p>
  </w:footnote>
  <w:footnote w:id="17">
    <w:p w14:paraId="067DFE40" w14:textId="77777777" w:rsidR="004570B2" w:rsidRPr="00124055" w:rsidRDefault="004570B2" w:rsidP="0005122E">
      <w:pPr>
        <w:pStyle w:val="FootnoteText"/>
      </w:pPr>
      <w:r w:rsidRPr="002E1FF3">
        <w:rPr>
          <w:rStyle w:val="FootnoteReference"/>
        </w:rPr>
        <w:footnoteRef/>
      </w:r>
      <w:r>
        <w:tab/>
      </w:r>
      <w:r w:rsidRPr="00124055">
        <w:t>OJ C 326, 26.10.2012, p. 391–407</w:t>
      </w:r>
      <w:r>
        <w:t>.</w:t>
      </w:r>
    </w:p>
  </w:footnote>
  <w:footnote w:id="18">
    <w:p w14:paraId="2A8F815E" w14:textId="004FC7EA" w:rsidR="004570B2" w:rsidRPr="00584271" w:rsidRDefault="004570B2">
      <w:pPr>
        <w:pStyle w:val="FootnoteText"/>
        <w:rPr>
          <w:lang w:val="en-IE"/>
        </w:rPr>
      </w:pPr>
      <w:r w:rsidRPr="002E1FF3">
        <w:rPr>
          <w:rStyle w:val="FootnoteReference"/>
        </w:rPr>
        <w:footnoteRef/>
      </w:r>
      <w:r>
        <w:tab/>
        <w:t xml:space="preserve">COM (2021) 21 Final - </w:t>
      </w:r>
      <w:r w:rsidRPr="00584271">
        <w:t>Proposal for a DIRECTIVE OF THE EUROPEAN PARLIAMENT AND OF THE COUNCIL amending Directive 2014/41/EU, as regards its alignment with EU rules on the protection of personal data</w:t>
      </w:r>
      <w:r>
        <w:t>.</w:t>
      </w:r>
    </w:p>
  </w:footnote>
  <w:footnote w:id="19">
    <w:p w14:paraId="7FF09666" w14:textId="77777777" w:rsidR="004570B2" w:rsidRPr="00F4410A" w:rsidRDefault="004570B2" w:rsidP="00AA7946">
      <w:pPr>
        <w:pStyle w:val="FootnoteText"/>
        <w:rPr>
          <w:lang w:val="en-IE"/>
        </w:rPr>
      </w:pPr>
      <w:r w:rsidRPr="00BE7C1D">
        <w:rPr>
          <w:rStyle w:val="FootnoteReference"/>
        </w:rPr>
        <w:footnoteRef/>
      </w:r>
      <w:r w:rsidRPr="00F4410A">
        <w:rPr>
          <w:lang w:val="en-IE"/>
        </w:rPr>
        <w:tab/>
      </w:r>
      <w:hyperlink r:id="rId3" w:history="1">
        <w:r w:rsidRPr="00F4410A">
          <w:rPr>
            <w:rStyle w:val="Hyperlink"/>
            <w:lang w:val="en-IE"/>
          </w:rPr>
          <w:t>https://europa.eu/european-union/sites/default/files/docs/body/joint_statement_and_common_approach_2012_en.pdf</w:t>
        </w:r>
      </w:hyperlink>
      <w:r w:rsidRPr="00F4410A">
        <w:rPr>
          <w:lang w:val="en-IE"/>
        </w:rPr>
        <w:t xml:space="preserve">. </w:t>
      </w:r>
    </w:p>
  </w:footnote>
  <w:footnote w:id="20">
    <w:p w14:paraId="1BECC6AD" w14:textId="5F7B705E" w:rsidR="004570B2" w:rsidRPr="00F4410A" w:rsidRDefault="004570B2" w:rsidP="007F1E96">
      <w:pPr>
        <w:pStyle w:val="FootnoteText"/>
      </w:pPr>
      <w:r w:rsidRPr="002900F8">
        <w:rPr>
          <w:rStyle w:val="FootnoteReference"/>
        </w:rPr>
        <w:footnoteRef/>
      </w:r>
      <w:r w:rsidRPr="00F4410A">
        <w:tab/>
        <w:t>Council Framework Decision 2002/465/JHA of 13 June 2002 on joint investigation teams (OJ L 162, 20.6.2002, p. 1).</w:t>
      </w:r>
    </w:p>
  </w:footnote>
  <w:footnote w:id="21">
    <w:p w14:paraId="658E8927" w14:textId="452FED13" w:rsidR="004570B2" w:rsidRPr="003F78E5" w:rsidRDefault="004570B2" w:rsidP="00305EAE">
      <w:pPr>
        <w:pStyle w:val="FootnoteText"/>
        <w:rPr>
          <w:lang w:val="pl-PL"/>
        </w:rPr>
      </w:pPr>
      <w:r w:rsidRPr="002900F8">
        <w:rPr>
          <w:rStyle w:val="FootnoteReference"/>
        </w:rPr>
        <w:footnoteRef/>
      </w:r>
      <w:r>
        <w:rPr>
          <w:lang w:val="pl-PL"/>
        </w:rPr>
        <w:tab/>
      </w:r>
      <w:r w:rsidRPr="003F78E5">
        <w:rPr>
          <w:lang w:val="pl-PL"/>
        </w:rPr>
        <w:t xml:space="preserve">OJ C 197, 12.7.2000, p. </w:t>
      </w:r>
      <w:r>
        <w:rPr>
          <w:lang w:val="mt-MT"/>
        </w:rPr>
        <w:t>3</w:t>
      </w:r>
      <w:r w:rsidRPr="003F78E5">
        <w:rPr>
          <w:lang w:val="pl-PL"/>
        </w:rPr>
        <w:t>.</w:t>
      </w:r>
    </w:p>
  </w:footnote>
  <w:footnote w:id="22">
    <w:p w14:paraId="283080C0" w14:textId="77777777" w:rsidR="004570B2" w:rsidRPr="003F78E5" w:rsidRDefault="004570B2">
      <w:pPr>
        <w:pStyle w:val="FootnoteText"/>
        <w:rPr>
          <w:lang w:val="pl-PL"/>
        </w:rPr>
      </w:pPr>
      <w:r w:rsidRPr="002900F8">
        <w:rPr>
          <w:rStyle w:val="FootnoteReference"/>
        </w:rPr>
        <w:footnoteRef/>
      </w:r>
      <w:r>
        <w:rPr>
          <w:lang w:val="pl-PL"/>
        </w:rPr>
        <w:tab/>
      </w:r>
      <w:r w:rsidRPr="003F78E5">
        <w:rPr>
          <w:lang w:val="pl-PL"/>
        </w:rPr>
        <w:t>CET No 182</w:t>
      </w:r>
    </w:p>
  </w:footnote>
  <w:footnote w:id="23">
    <w:p w14:paraId="67C80895" w14:textId="77777777" w:rsidR="004570B2" w:rsidRPr="0013349A" w:rsidRDefault="004570B2">
      <w:pPr>
        <w:pStyle w:val="FootnoteText"/>
        <w:rPr>
          <w:lang w:val="pl-PL"/>
        </w:rPr>
      </w:pPr>
      <w:r w:rsidRPr="002900F8">
        <w:rPr>
          <w:rStyle w:val="FootnoteReference"/>
        </w:rPr>
        <w:footnoteRef/>
      </w:r>
      <w:r w:rsidRPr="0013349A">
        <w:rPr>
          <w:lang w:val="pl-PL"/>
        </w:rPr>
        <w:tab/>
        <w:t>OJ L 181, 19.7.2003, p. 34.</w:t>
      </w:r>
    </w:p>
  </w:footnote>
  <w:footnote w:id="24">
    <w:p w14:paraId="3C9AD0F9" w14:textId="73C64C12" w:rsidR="004570B2" w:rsidRPr="00953CA7" w:rsidRDefault="004570B2" w:rsidP="00953CA7">
      <w:pPr>
        <w:pStyle w:val="FootnoteText"/>
      </w:pPr>
      <w:r w:rsidRPr="00D036FA">
        <w:rPr>
          <w:rStyle w:val="FootnoteReference"/>
        </w:rPr>
        <w:footnoteRef/>
      </w:r>
      <w:r>
        <w:tab/>
        <w:t>Regulation (EU) 2018/1726 of the European Parliament and of the Council of 14 November 2018 on the European Union Agency for the Operational Management of Large-Scale IT Systems in the Area of Freedom, Security and Justice (eu-LISA), and amending Regulation (EC) No 1987/2006 and Council Decision 2007/533/JHA and repealing Regulation (EU) No 1077/2011 (OJ L 295, 21.11.2018, p. 99).</w:t>
      </w:r>
    </w:p>
  </w:footnote>
  <w:footnote w:id="25">
    <w:p w14:paraId="21F8EBD1" w14:textId="58DFF05E" w:rsidR="004570B2" w:rsidRDefault="004570B2" w:rsidP="001D502A">
      <w:pPr>
        <w:pStyle w:val="FootnoteText"/>
      </w:pPr>
      <w:r w:rsidRPr="002900F8">
        <w:rPr>
          <w:rStyle w:val="FootnoteReference"/>
        </w:rPr>
        <w:footnoteRef/>
      </w:r>
      <w:r>
        <w:tab/>
        <w:t xml:space="preserve">Council of the European Union, Outcome of Proceedings of Article Art 36 Committee on 7 and 8 July 2005, Item 7 of the Agenda: Joint Investigation Teams - Proposal for designation of national experts, 11037/05. </w:t>
      </w:r>
    </w:p>
  </w:footnote>
  <w:footnote w:id="26">
    <w:p w14:paraId="3BC29FBF" w14:textId="41D7E638" w:rsidR="004570B2" w:rsidRDefault="004570B2" w:rsidP="00360CE8">
      <w:pPr>
        <w:pStyle w:val="FootnoteText"/>
      </w:pPr>
      <w:r w:rsidRPr="00D036FA">
        <w:rPr>
          <w:rStyle w:val="FootnoteReference"/>
        </w:rPr>
        <w:footnoteRef/>
      </w:r>
      <w:r>
        <w:tab/>
        <w:t>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(OJ L 119, 4.5.2016, p. 89).</w:t>
      </w:r>
    </w:p>
  </w:footnote>
  <w:footnote w:id="27">
    <w:p w14:paraId="54DAA02E" w14:textId="4C987E7E" w:rsidR="004570B2" w:rsidRDefault="004570B2" w:rsidP="00772464">
      <w:pPr>
        <w:pStyle w:val="FootnoteText"/>
      </w:pPr>
      <w:r w:rsidRPr="00D036FA">
        <w:rPr>
          <w:rStyle w:val="FootnoteReference"/>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28">
    <w:p w14:paraId="25429C01" w14:textId="673989AD" w:rsidR="004570B2" w:rsidRPr="009E5224" w:rsidRDefault="004570B2" w:rsidP="009E5224">
      <w:pPr>
        <w:pStyle w:val="FootnoteText"/>
      </w:pPr>
      <w:r w:rsidRPr="00D036FA">
        <w:rPr>
          <w:rStyle w:val="FootnoteReference"/>
        </w:rPr>
        <w:footnoteRef/>
      </w:r>
      <w:r>
        <w:tab/>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 w:id="29">
    <w:p w14:paraId="6D22F364" w14:textId="08C9F4DE" w:rsidR="004570B2" w:rsidRPr="00DB335F" w:rsidRDefault="004570B2" w:rsidP="00521C02">
      <w:pPr>
        <w:pStyle w:val="FootnoteText"/>
        <w:rPr>
          <w:lang w:val="en-IE"/>
        </w:rPr>
      </w:pPr>
      <w:r w:rsidRPr="008E2911">
        <w:rPr>
          <w:rStyle w:val="FootnoteReference"/>
        </w:rPr>
        <w:footnoteRef/>
      </w:r>
      <w:r>
        <w:tab/>
      </w:r>
      <w:r w:rsidRPr="00DB335F">
        <w:t>Regulation (EEC, Euratom, ECSC) No 259/68 of the Council of 29 February 1968 laying down the Staff Regulations of Officials and the Conditions of Employment of Other Servants of the European Communities and instituting special measures temporarily applicable to officials of the Commission</w:t>
      </w:r>
      <w:r>
        <w:t>,(</w:t>
      </w:r>
      <w:r w:rsidRPr="00DB335F">
        <w:t>OJ L 56, 4.3.1968, p. 1</w:t>
      </w:r>
      <w:r>
        <w:t>).</w:t>
      </w:r>
    </w:p>
  </w:footnote>
  <w:footnote w:id="30">
    <w:p w14:paraId="70E03D15" w14:textId="4B24C247" w:rsidR="004570B2" w:rsidRPr="00EA7B3D" w:rsidRDefault="004570B2" w:rsidP="00521C02">
      <w:pPr>
        <w:pStyle w:val="FootnoteText"/>
      </w:pPr>
      <w:r w:rsidRPr="009D4563">
        <w:rPr>
          <w:rStyle w:val="FootnoteReference"/>
        </w:rPr>
        <w:footnoteRef/>
      </w:r>
      <w:r>
        <w:tab/>
        <w:t>Regulation (EU) 2018/1727 of the European Parliament and of the Council of 14 November 2018 on the European Union Agency for Criminal Justice Cooperation (Eurojust) (OJ L 295, 21.11.2018, p. 138).</w:t>
      </w:r>
    </w:p>
  </w:footnote>
  <w:footnote w:id="31">
    <w:p w14:paraId="4EFE48F8" w14:textId="7CAF8E85" w:rsidR="004570B2" w:rsidRDefault="004570B2">
      <w:pPr>
        <w:pStyle w:val="FootnoteText"/>
      </w:pPr>
      <w:r w:rsidRPr="00D036FA">
        <w:rPr>
          <w:rStyle w:val="FootnoteReference"/>
        </w:rPr>
        <w:footnoteRef/>
      </w:r>
      <w:r>
        <w:tab/>
        <w:t>Regulation (EU) 2016/794 of the European Parliament and of the Council of 11 May 2016 on the European Union Agency for Law Enforcement Cooperation (Europol) (OJ L 135, 24.5.2016, p. 53)</w:t>
      </w:r>
    </w:p>
  </w:footnote>
  <w:footnote w:id="32">
    <w:p w14:paraId="06984802" w14:textId="1861FC52" w:rsidR="004570B2" w:rsidRPr="00EA7B3D" w:rsidRDefault="004570B2" w:rsidP="00521C02">
      <w:pPr>
        <w:pStyle w:val="FootnoteText"/>
      </w:pPr>
      <w:r w:rsidRPr="009D4563">
        <w:rPr>
          <w:rStyle w:val="FootnoteReference"/>
        </w:rPr>
        <w:footnoteRef/>
      </w:r>
      <w:r>
        <w:ta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18.9.2013, p. 1).</w:t>
      </w:r>
    </w:p>
  </w:footnote>
  <w:footnote w:id="33">
    <w:p w14:paraId="1B0F2595" w14:textId="57BA36B1" w:rsidR="004570B2" w:rsidRDefault="004570B2" w:rsidP="006F6F3C">
      <w:pPr>
        <w:pStyle w:val="FootnoteText"/>
        <w:rPr>
          <w:szCs w:val="24"/>
        </w:rPr>
      </w:pPr>
      <w:r>
        <w:rPr>
          <w:rStyle w:val="FootnoteReference"/>
        </w:rPr>
        <w:footnoteRef/>
      </w:r>
      <w:r>
        <w:tab/>
        <w:t>As referred to in Article 58(2) (a) or (b) of the Financial Regulation.</w:t>
      </w:r>
    </w:p>
  </w:footnote>
  <w:footnote w:id="34">
    <w:p w14:paraId="34950788" w14:textId="77777777" w:rsidR="004570B2" w:rsidRDefault="004570B2" w:rsidP="006F6F3C">
      <w:pPr>
        <w:pStyle w:val="FootnoteText"/>
        <w:rPr>
          <w:szCs w:val="24"/>
        </w:rPr>
      </w:pPr>
      <w:r>
        <w:rPr>
          <w:rStyle w:val="FootnoteReference"/>
        </w:rPr>
        <w:footnoteRef/>
      </w:r>
      <w:r>
        <w:tab/>
        <w:t>Diff. = Differentiated appropriations / Non-diff. = Non-differentiated appropriations.</w:t>
      </w:r>
    </w:p>
  </w:footnote>
  <w:footnote w:id="35">
    <w:p w14:paraId="544EAD85" w14:textId="77777777" w:rsidR="004570B2" w:rsidRDefault="004570B2" w:rsidP="006F6F3C">
      <w:pPr>
        <w:pStyle w:val="FootnoteText"/>
        <w:rPr>
          <w:szCs w:val="24"/>
        </w:rPr>
      </w:pPr>
      <w:r>
        <w:rPr>
          <w:rStyle w:val="FootnoteReference"/>
        </w:rPr>
        <w:footnoteRef/>
      </w:r>
      <w:r>
        <w:tab/>
        <w:t xml:space="preserve">EFTA: European Free Trade Association. </w:t>
      </w:r>
    </w:p>
  </w:footnote>
  <w:footnote w:id="36">
    <w:p w14:paraId="69639B3C" w14:textId="77777777" w:rsidR="004570B2" w:rsidRDefault="004570B2" w:rsidP="006F6F3C">
      <w:pPr>
        <w:pStyle w:val="FootnoteText"/>
        <w:rPr>
          <w:szCs w:val="24"/>
        </w:rPr>
      </w:pPr>
      <w:r>
        <w:rPr>
          <w:rStyle w:val="FootnoteReference"/>
        </w:rPr>
        <w:footnoteRef/>
      </w:r>
      <w:r>
        <w:tab/>
        <w:t>Candidate countries and, where applicable, potential candidates from the Western Balkans.</w:t>
      </w:r>
    </w:p>
  </w:footnote>
  <w:footnote w:id="37">
    <w:p w14:paraId="37DF1F46" w14:textId="77777777" w:rsidR="004570B2" w:rsidRDefault="004570B2" w:rsidP="00BA350C">
      <w:pPr>
        <w:pStyle w:val="FootnoteText"/>
        <w:rPr>
          <w:szCs w:val="24"/>
        </w:rPr>
      </w:pPr>
      <w:r>
        <w:rPr>
          <w:rStyle w:val="FootnoteReference"/>
        </w:rPr>
        <w:footnoteRef/>
      </w:r>
      <w:r>
        <w:tab/>
        <w:t>Year 2024 is the year in which implementation of the proposal starts – following the planned adoption in 2023.</w:t>
      </w:r>
    </w:p>
  </w:footnote>
  <w:footnote w:id="38">
    <w:p w14:paraId="2D47376C" w14:textId="77777777" w:rsidR="004570B2" w:rsidRDefault="004570B2" w:rsidP="007D0D6D">
      <w:pPr>
        <w:pStyle w:val="FootnoteText"/>
        <w:rPr>
          <w:szCs w:val="24"/>
        </w:rPr>
      </w:pPr>
      <w:r>
        <w:rPr>
          <w:rStyle w:val="FootnoteReference"/>
        </w:rPr>
        <w:footnoteRef/>
      </w:r>
      <w:r>
        <w:tab/>
      </w:r>
      <w:r w:rsidRPr="005E1965">
        <w:t>Year 2024 is the year in which implementation of the proposal starts – following the planned adoption in 2023.</w:t>
      </w:r>
    </w:p>
  </w:footnote>
  <w:footnote w:id="39">
    <w:p w14:paraId="4E169720" w14:textId="77777777" w:rsidR="004570B2" w:rsidRDefault="004570B2" w:rsidP="00BA350C">
      <w:pPr>
        <w:pStyle w:val="FootnoteText"/>
        <w:rPr>
          <w:szCs w:val="24"/>
        </w:rPr>
      </w:pPr>
      <w:r>
        <w:rPr>
          <w:rStyle w:val="FootnoteReference"/>
        </w:rPr>
        <w:footnoteRef/>
      </w:r>
      <w:r>
        <w:tab/>
        <w:t>Year 2024 is the year in which implementation of the proposal starts – following the planned adoption in 2023.</w:t>
      </w:r>
    </w:p>
  </w:footnote>
  <w:footnote w:id="40">
    <w:p w14:paraId="650C0AB6" w14:textId="4E92ADFD" w:rsidR="004570B2" w:rsidRPr="0044799B" w:rsidRDefault="004570B2" w:rsidP="007C6231">
      <w:pPr>
        <w:pStyle w:val="FootnoteText"/>
        <w:rPr>
          <w:lang w:val="en-US"/>
        </w:rPr>
      </w:pPr>
      <w:r w:rsidRPr="00BE7C1D">
        <w:rPr>
          <w:rStyle w:val="FootnoteReference"/>
        </w:rPr>
        <w:footnoteRef/>
      </w:r>
      <w:r>
        <w:tab/>
      </w:r>
      <w:r w:rsidRPr="0044799B">
        <w:rPr>
          <w:lang w:val="en-US"/>
        </w:rPr>
        <w:t>The costs estimates for staff are cumulative and have been made on the basis of the average costs for temporary staff, indexed to the correction coefficient applicable for the Netherlands as of 07/2020 (113,9%).</w:t>
      </w:r>
    </w:p>
  </w:footnote>
  <w:footnote w:id="41">
    <w:p w14:paraId="4DC48BC0" w14:textId="2ED49E02" w:rsidR="004570B2" w:rsidRPr="0044799B" w:rsidRDefault="004570B2" w:rsidP="007C6231">
      <w:pPr>
        <w:pStyle w:val="FootnoteText"/>
        <w:rPr>
          <w:lang w:val="en-US"/>
        </w:rPr>
      </w:pPr>
      <w:r w:rsidRPr="00BE7C1D">
        <w:rPr>
          <w:rStyle w:val="FootnoteReference"/>
        </w:rPr>
        <w:footnoteRef/>
      </w:r>
      <w:r>
        <w:tab/>
      </w:r>
      <w:r>
        <w:rPr>
          <w:lang w:val="en-US"/>
        </w:rPr>
        <w:t>C</w:t>
      </w:r>
      <w:r w:rsidRPr="0044799B">
        <w:rPr>
          <w:lang w:val="en-US"/>
        </w:rPr>
        <w:t xml:space="preserve">umulative. The number indicated under each year is the number of </w:t>
      </w:r>
      <w:r>
        <w:rPr>
          <w:lang w:val="en-US"/>
        </w:rPr>
        <w:t xml:space="preserve">old staff from the previous year(s) and </w:t>
      </w:r>
      <w:r w:rsidRPr="0044799B">
        <w:rPr>
          <w:lang w:val="en-US"/>
        </w:rPr>
        <w:t>newly recruited staff</w:t>
      </w:r>
      <w:r>
        <w:rPr>
          <w:lang w:val="en-US"/>
        </w:rPr>
        <w:t>.</w:t>
      </w:r>
    </w:p>
  </w:footnote>
  <w:footnote w:id="42">
    <w:p w14:paraId="445BE9CC" w14:textId="703BD5F2" w:rsidR="004570B2" w:rsidRPr="0044799B" w:rsidRDefault="004570B2" w:rsidP="007C6231">
      <w:pPr>
        <w:pStyle w:val="FootnoteText"/>
        <w:rPr>
          <w:lang w:val="en-US"/>
        </w:rPr>
      </w:pPr>
      <w:r w:rsidRPr="00BE7C1D">
        <w:rPr>
          <w:rStyle w:val="FootnoteReference"/>
        </w:rPr>
        <w:footnoteRef/>
      </w:r>
      <w:r>
        <w:tab/>
      </w:r>
      <w:r w:rsidRPr="0044799B">
        <w:rPr>
          <w:lang w:val="en-US"/>
        </w:rPr>
        <w:t xml:space="preserve">The costs estimates for staff are cumulative and have been made on the basis of the average costs for temporary </w:t>
      </w:r>
      <w:r>
        <w:rPr>
          <w:lang w:val="en-US"/>
        </w:rPr>
        <w:t xml:space="preserve">and contract </w:t>
      </w:r>
      <w:r w:rsidRPr="0044799B">
        <w:rPr>
          <w:lang w:val="en-US"/>
        </w:rPr>
        <w:t>staff</w:t>
      </w:r>
      <w:r>
        <w:rPr>
          <w:lang w:val="en-US"/>
        </w:rPr>
        <w:t>.</w:t>
      </w:r>
    </w:p>
  </w:footnote>
  <w:footnote w:id="43">
    <w:p w14:paraId="4CE6363D" w14:textId="77777777" w:rsidR="004570B2" w:rsidRPr="0044799B" w:rsidRDefault="004570B2" w:rsidP="007C6231">
      <w:pPr>
        <w:pStyle w:val="FootnoteText"/>
        <w:rPr>
          <w:lang w:val="en-US"/>
        </w:rPr>
      </w:pPr>
      <w:r w:rsidRPr="00BE7C1D">
        <w:rPr>
          <w:rStyle w:val="FootnoteReference"/>
        </w:rPr>
        <w:footnoteRef/>
      </w:r>
      <w:r>
        <w:tab/>
      </w:r>
      <w:r>
        <w:rPr>
          <w:lang w:val="en-US"/>
        </w:rPr>
        <w:t>C</w:t>
      </w:r>
      <w:r w:rsidRPr="0044799B">
        <w:rPr>
          <w:lang w:val="en-US"/>
        </w:rPr>
        <w:t xml:space="preserve">umulative. The number indicated under each year is the number of </w:t>
      </w:r>
      <w:r>
        <w:rPr>
          <w:lang w:val="en-US"/>
        </w:rPr>
        <w:t xml:space="preserve">old staff from the previous year(s) and </w:t>
      </w:r>
      <w:r w:rsidRPr="0044799B">
        <w:rPr>
          <w:lang w:val="en-US"/>
        </w:rPr>
        <w:t>newly recruited staff</w:t>
      </w:r>
      <w:r>
        <w:rPr>
          <w:lang w:val="en-US"/>
        </w:rPr>
        <w:t>.</w:t>
      </w:r>
    </w:p>
  </w:footnote>
  <w:footnote w:id="44">
    <w:p w14:paraId="6A71E15C" w14:textId="77777777" w:rsidR="004570B2" w:rsidRDefault="004570B2" w:rsidP="001F2A4B">
      <w:pPr>
        <w:pStyle w:val="FootnoteText"/>
        <w:rPr>
          <w:szCs w:val="24"/>
        </w:rPr>
      </w:pPr>
      <w:r>
        <w:rPr>
          <w:rStyle w:val="FootnoteReference"/>
        </w:rPr>
        <w:footnoteRef/>
      </w:r>
      <w:r>
        <w:tab/>
        <w:t xml:space="preserve">AC = Contract Staff; AL = Local Staff; END = Seconded National Expert; INT = agency staff; JPD = Junior </w:t>
      </w:r>
      <w:r w:rsidRPr="00547C99">
        <w:t>Professional</w:t>
      </w:r>
      <w:r>
        <w:t>s</w:t>
      </w:r>
      <w:r w:rsidRPr="00547C99">
        <w:t xml:space="preserve"> </w:t>
      </w:r>
      <w:r>
        <w:t xml:space="preserve">in Delegations. </w:t>
      </w:r>
    </w:p>
  </w:footnote>
  <w:footnote w:id="45">
    <w:p w14:paraId="2DDF8234" w14:textId="77777777" w:rsidR="004570B2" w:rsidRDefault="004570B2" w:rsidP="001F2A4B">
      <w:pPr>
        <w:pStyle w:val="FootnoteText"/>
        <w:rPr>
          <w:szCs w:val="24"/>
        </w:rPr>
      </w:pPr>
      <w:r>
        <w:rPr>
          <w:rStyle w:val="FootnoteReference"/>
        </w:rPr>
        <w:footnoteRef/>
      </w:r>
      <w:r>
        <w:tab/>
        <w:t>Sub-ceiling for external staff covered by operational appropriations (former ‘BA’ lines).</w:t>
      </w:r>
    </w:p>
  </w:footnote>
  <w:footnote w:id="46">
    <w:p w14:paraId="7292E16D" w14:textId="77777777" w:rsidR="004570B2" w:rsidRDefault="004570B2" w:rsidP="001F2A4B">
      <w:pPr>
        <w:pStyle w:val="FootnoteText"/>
      </w:pPr>
      <w:r>
        <w:rPr>
          <w:rStyle w:val="FootnoteReference"/>
        </w:rPr>
        <w:footnoteRef/>
      </w:r>
      <w:r>
        <w:tab/>
        <w:t xml:space="preserve">Mainly for the EU Cohesion Policy Funds, the European Agricultural Fund for Rural Development (EAFRD) and the European Maritime Fisheries and Aquaculture Fund (EMFAF).  </w:t>
      </w:r>
    </w:p>
    <w:p w14:paraId="07DEF8F4" w14:textId="77777777" w:rsidR="004570B2" w:rsidRPr="001D4F31" w:rsidRDefault="004570B2" w:rsidP="001F2A4B">
      <w:pPr>
        <w:pStyle w:val="FootnoteText"/>
        <w:rPr>
          <w:szCs w:val="24"/>
          <w:lang w:val="en-IE"/>
        </w:rPr>
      </w:pPr>
    </w:p>
  </w:footnote>
  <w:footnote w:id="47">
    <w:p w14:paraId="1FEFB44C" w14:textId="77777777" w:rsidR="004570B2" w:rsidRDefault="004570B2" w:rsidP="006F6F3C">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190B" w14:textId="77777777" w:rsidR="00E45D24" w:rsidRPr="00E45D24" w:rsidRDefault="00E45D24" w:rsidP="00E45D24">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F441B" w14:textId="77777777" w:rsidR="00E45D24" w:rsidRPr="00E45D24" w:rsidRDefault="00E45D24" w:rsidP="00E45D24">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7F05" w14:textId="77777777" w:rsidR="00E45D24" w:rsidRPr="00E45D24" w:rsidRDefault="00E45D24" w:rsidP="00E45D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DBBA" w14:textId="77777777" w:rsidR="00E45D24" w:rsidRPr="00E45D24" w:rsidRDefault="00E45D24" w:rsidP="00E45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AC02B3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DBE9A4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76866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3901F7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37163A"/>
    <w:multiLevelType w:val="hybridMultilevel"/>
    <w:tmpl w:val="BC98C4B6"/>
    <w:lvl w:ilvl="0" w:tplc="0A0CAFFE">
      <w:numFmt w:val="bullet"/>
      <w:lvlText w:val="•"/>
      <w:lvlJc w:val="left"/>
      <w:pPr>
        <w:ind w:left="720" w:hanging="72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3"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5"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1"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2"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8" w15:restartNumberingAfterBreak="0">
    <w:nsid w:val="62A8042C"/>
    <w:multiLevelType w:val="singleLevel"/>
    <w:tmpl w:val="CCF20C06"/>
    <w:lvl w:ilvl="0">
      <w:start w:val="1"/>
      <w:numFmt w:val="bullet"/>
      <w:lvlText w:val="–"/>
      <w:lvlJc w:val="left"/>
      <w:pPr>
        <w:tabs>
          <w:tab w:val="num" w:pos="1134"/>
        </w:tabs>
        <w:ind w:left="1134" w:hanging="283"/>
      </w:pPr>
      <w:rPr>
        <w:rFonts w:ascii="Times New Roman" w:hAnsi="Times New Roman"/>
      </w:rPr>
    </w:lvl>
  </w:abstractNum>
  <w:abstractNum w:abstractNumId="29"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1"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num>
  <w:num w:numId="6">
    <w:abstractNumId w:val="12"/>
  </w:num>
  <w:num w:numId="7">
    <w:abstractNumId w:val="21"/>
  </w:num>
  <w:num w:numId="8">
    <w:abstractNumId w:val="20"/>
  </w:num>
  <w:num w:numId="9">
    <w:abstractNumId w:val="31"/>
  </w:num>
  <w:num w:numId="10">
    <w:abstractNumId w:val="5"/>
  </w:num>
  <w:num w:numId="11">
    <w:abstractNumId w:val="14"/>
  </w:num>
  <w:num w:numId="12">
    <w:abstractNumId w:val="6"/>
  </w:num>
  <w:num w:numId="13">
    <w:abstractNumId w:val="15"/>
  </w:num>
  <w:num w:numId="14">
    <w:abstractNumId w:val="13"/>
  </w:num>
  <w:num w:numId="15">
    <w:abstractNumId w:val="22"/>
  </w:num>
  <w:num w:numId="16">
    <w:abstractNumId w:val="28"/>
  </w:num>
  <w:num w:numId="17">
    <w:abstractNumId w:val="27"/>
  </w:num>
  <w:num w:numId="18">
    <w:abstractNumId w:val="9"/>
  </w:num>
  <w:num w:numId="19">
    <w:abstractNumId w:val="32"/>
    <w:lvlOverride w:ilvl="0">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num>
  <w:num w:numId="59">
    <w:abstractNumId w:val="16"/>
  </w:num>
  <w:num w:numId="60">
    <w:abstractNumId w:val="30"/>
  </w:num>
  <w:num w:numId="61">
    <w:abstractNumId w:val="11"/>
  </w:num>
  <w:num w:numId="62">
    <w:abstractNumId w:val="17"/>
  </w:num>
  <w:num w:numId="63">
    <w:abstractNumId w:val="8"/>
  </w:num>
  <w:num w:numId="64">
    <w:abstractNumId w:val="29"/>
  </w:num>
  <w:num w:numId="65">
    <w:abstractNumId w:val="7"/>
  </w:num>
  <w:num w:numId="66">
    <w:abstractNumId w:val="19"/>
  </w:num>
  <w:num w:numId="67">
    <w:abstractNumId w:val="24"/>
  </w:num>
  <w:num w:numId="68">
    <w:abstractNumId w:val="25"/>
  </w:num>
  <w:num w:numId="69">
    <w:abstractNumId w:val="10"/>
  </w:num>
  <w:num w:numId="70">
    <w:abstractNumId w:val="23"/>
  </w:num>
  <w:num w:numId="71">
    <w:abstractNumId w:val="32"/>
  </w:num>
  <w:num w:numId="72">
    <w:abstractNumId w:val="29"/>
  </w:num>
  <w:num w:numId="73">
    <w:abstractNumId w:val="29"/>
  </w:num>
  <w:num w:numId="74">
    <w:abstractNumId w:val="29"/>
  </w:num>
  <w:num w:numId="75">
    <w:abstractNumId w:val="18"/>
  </w:num>
  <w:num w:numId="76">
    <w:abstractNumId w:val="8"/>
  </w:num>
  <w:num w:numId="77">
    <w:abstractNumId w:val="8"/>
  </w:num>
  <w:num w:numId="78">
    <w:abstractNumId w:val="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s-CR" w:vendorID="64" w:dllVersion="131078" w:nlCheck="1" w:checkStyle="0"/>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26 13:28:39"/>
    <w:docVar w:name="DQCResult_Distribution" w:val="0;2"/>
    <w:docVar w:name="DQCResult_DocumentContent" w:val="0;0"/>
    <w:docVar w:name="DQCResult_DocumentSize" w:val="0;0"/>
    <w:docVar w:name="DQCResult_DocumentVersions" w:val="0;0"/>
    <w:docVar w:name="DQCResult_InvalidFootnotes" w:val="0;0"/>
    <w:docVar w:name="DQCResult_LinkedStyles" w:val="0;0"/>
    <w:docVar w:name="DQCResult_ModifiedMargins" w:val="0;53"/>
    <w:docVar w:name="DQCResult_ModifiedMarkers" w:val="0;0"/>
    <w:docVar w:name="DQCResult_ModifiedNumbering" w:val="0;0"/>
    <w:docVar w:name="DQCResult_Objects" w:val="0;0"/>
    <w:docVar w:name="DQCResult_Sections" w:val="0;0"/>
    <w:docVar w:name="DQCResult_StructureCheck" w:val="0;0"/>
    <w:docVar w:name="DQCResult_SuperfluousWhitespace" w:val="0;40"/>
    <w:docVar w:name="DQCResult_UnknownFonts" w:val="0;0"/>
    <w:docVar w:name="DQCResult_UnknownStyles" w:val="0;6"/>
    <w:docVar w:name="DQCStatus" w:val="Yellow"/>
    <w:docVar w:name="DQCVersion" w:val="3"/>
    <w:docVar w:name="DQCWithWarnings" w:val="0"/>
    <w:docVar w:name="LW_CORRIGENDUM" w:val="&lt;UNUSED&gt;"/>
    <w:docVar w:name="LW_COVERPAGE_EXISTS" w:val="True"/>
    <w:docVar w:name="LW_COVERPAGE_GUID" w:val="94318F38-1956-4D44-BD76-4D040AF483C8"/>
    <w:docVar w:name="LW_COVERPAGE_TYPE" w:val="1"/>
    <w:docVar w:name="LW_CROSSREFERENCE" w:val="{SWD(2021) 390 final}"/>
    <w:docVar w:name="LW_DocType" w:val="COM"/>
    <w:docVar w:name="LW_EMISSION" w:val="1.12.2021"/>
    <w:docVar w:name="LW_EMISSION_ISODATE" w:val="2021-12-01"/>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91"/>
    <w:docVar w:name="LW_REF.II.NEW.CP_YEAR" w:val="2021"/>
    <w:docVar w:name="LW_REF.INST.NEW" w:val="COM"/>
    <w:docVar w:name="LW_REF.INST.NEW_ADOPTED" w:val="final"/>
    <w:docVar w:name="LW_REF.INST.NEW_TEXT" w:val="(2021) 7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establishing a collaboration platform to support the functioning of Joint Investigation Teams and amending Regulation (EU) 2018/1726_x000b_"/>
    <w:docVar w:name="LW_TYPE.DOC.CP" w:val="REGULATION OF THE EUROPEAN PARLIAMENT AND OF THE COUNCIL"/>
    <w:docVar w:name="LwApiVersions" w:val="LW4CoDe 1.23.2.0; LW 8.0, Build 20211117"/>
  </w:docVars>
  <w:rsids>
    <w:rsidRoot w:val="00023765"/>
    <w:rsid w:val="000020FA"/>
    <w:rsid w:val="00002AC9"/>
    <w:rsid w:val="000068B5"/>
    <w:rsid w:val="00007E7F"/>
    <w:rsid w:val="00010EF6"/>
    <w:rsid w:val="00023350"/>
    <w:rsid w:val="00023765"/>
    <w:rsid w:val="00026F71"/>
    <w:rsid w:val="00031F5E"/>
    <w:rsid w:val="0004403A"/>
    <w:rsid w:val="0004758C"/>
    <w:rsid w:val="0005122E"/>
    <w:rsid w:val="00061D20"/>
    <w:rsid w:val="00063235"/>
    <w:rsid w:val="00065D0D"/>
    <w:rsid w:val="0007123C"/>
    <w:rsid w:val="00082910"/>
    <w:rsid w:val="00082C22"/>
    <w:rsid w:val="0009049E"/>
    <w:rsid w:val="0009491D"/>
    <w:rsid w:val="000A0847"/>
    <w:rsid w:val="000A6303"/>
    <w:rsid w:val="000A7517"/>
    <w:rsid w:val="000A7A97"/>
    <w:rsid w:val="000B24FB"/>
    <w:rsid w:val="000C0B18"/>
    <w:rsid w:val="000C27B7"/>
    <w:rsid w:val="000C61BC"/>
    <w:rsid w:val="000C6893"/>
    <w:rsid w:val="000D1376"/>
    <w:rsid w:val="000D1CE7"/>
    <w:rsid w:val="000D35A5"/>
    <w:rsid w:val="000D617F"/>
    <w:rsid w:val="000D6C36"/>
    <w:rsid w:val="000D6EAD"/>
    <w:rsid w:val="000D7CD2"/>
    <w:rsid w:val="000E1154"/>
    <w:rsid w:val="000E133A"/>
    <w:rsid w:val="000E198E"/>
    <w:rsid w:val="000E57BD"/>
    <w:rsid w:val="00102D67"/>
    <w:rsid w:val="00104556"/>
    <w:rsid w:val="00124055"/>
    <w:rsid w:val="0013349A"/>
    <w:rsid w:val="00133B4C"/>
    <w:rsid w:val="00134EFC"/>
    <w:rsid w:val="00137D6B"/>
    <w:rsid w:val="00137E27"/>
    <w:rsid w:val="00140823"/>
    <w:rsid w:val="00141429"/>
    <w:rsid w:val="0014350F"/>
    <w:rsid w:val="00143DAF"/>
    <w:rsid w:val="00150ABA"/>
    <w:rsid w:val="00150B76"/>
    <w:rsid w:val="00150CA7"/>
    <w:rsid w:val="001558C0"/>
    <w:rsid w:val="00157B46"/>
    <w:rsid w:val="00160ED8"/>
    <w:rsid w:val="00164410"/>
    <w:rsid w:val="00175330"/>
    <w:rsid w:val="00180D75"/>
    <w:rsid w:val="0018394E"/>
    <w:rsid w:val="00184DD7"/>
    <w:rsid w:val="00184F66"/>
    <w:rsid w:val="001852F8"/>
    <w:rsid w:val="0018580B"/>
    <w:rsid w:val="0019066F"/>
    <w:rsid w:val="00196025"/>
    <w:rsid w:val="0019688C"/>
    <w:rsid w:val="001A2D31"/>
    <w:rsid w:val="001B36C5"/>
    <w:rsid w:val="001C2816"/>
    <w:rsid w:val="001C3781"/>
    <w:rsid w:val="001C4687"/>
    <w:rsid w:val="001C4D4F"/>
    <w:rsid w:val="001C5856"/>
    <w:rsid w:val="001D0AF2"/>
    <w:rsid w:val="001D502A"/>
    <w:rsid w:val="001E3418"/>
    <w:rsid w:val="001E42E9"/>
    <w:rsid w:val="001F00D4"/>
    <w:rsid w:val="001F2A4B"/>
    <w:rsid w:val="001F2AA5"/>
    <w:rsid w:val="001F3B6E"/>
    <w:rsid w:val="001F4F9C"/>
    <w:rsid w:val="00203B0D"/>
    <w:rsid w:val="00204DB4"/>
    <w:rsid w:val="00210E5C"/>
    <w:rsid w:val="00216F9F"/>
    <w:rsid w:val="00217BF4"/>
    <w:rsid w:val="00220EB4"/>
    <w:rsid w:val="0022495D"/>
    <w:rsid w:val="00232E98"/>
    <w:rsid w:val="00234292"/>
    <w:rsid w:val="00237CBC"/>
    <w:rsid w:val="00240975"/>
    <w:rsid w:val="00241A92"/>
    <w:rsid w:val="00243EE0"/>
    <w:rsid w:val="002457C2"/>
    <w:rsid w:val="00246491"/>
    <w:rsid w:val="00247059"/>
    <w:rsid w:val="002576ED"/>
    <w:rsid w:val="00261621"/>
    <w:rsid w:val="00262615"/>
    <w:rsid w:val="00267396"/>
    <w:rsid w:val="00271736"/>
    <w:rsid w:val="00273D4C"/>
    <w:rsid w:val="00274D75"/>
    <w:rsid w:val="00282425"/>
    <w:rsid w:val="00283965"/>
    <w:rsid w:val="00285CDB"/>
    <w:rsid w:val="002900F8"/>
    <w:rsid w:val="00290ECE"/>
    <w:rsid w:val="00297503"/>
    <w:rsid w:val="002A1B02"/>
    <w:rsid w:val="002A4E9C"/>
    <w:rsid w:val="002B6A65"/>
    <w:rsid w:val="002B6DC7"/>
    <w:rsid w:val="002C0D43"/>
    <w:rsid w:val="002C0F8B"/>
    <w:rsid w:val="002C155B"/>
    <w:rsid w:val="002C7FD4"/>
    <w:rsid w:val="002D400B"/>
    <w:rsid w:val="002D7511"/>
    <w:rsid w:val="002E0B09"/>
    <w:rsid w:val="002E1FF3"/>
    <w:rsid w:val="002E2814"/>
    <w:rsid w:val="002F002D"/>
    <w:rsid w:val="0030009B"/>
    <w:rsid w:val="00303F00"/>
    <w:rsid w:val="00305EAE"/>
    <w:rsid w:val="00307794"/>
    <w:rsid w:val="00323A91"/>
    <w:rsid w:val="00323D6F"/>
    <w:rsid w:val="003300B8"/>
    <w:rsid w:val="0033049C"/>
    <w:rsid w:val="00340C88"/>
    <w:rsid w:val="003430CA"/>
    <w:rsid w:val="003459E0"/>
    <w:rsid w:val="00346631"/>
    <w:rsid w:val="003521F6"/>
    <w:rsid w:val="00352767"/>
    <w:rsid w:val="00353EB3"/>
    <w:rsid w:val="0035675B"/>
    <w:rsid w:val="003572FD"/>
    <w:rsid w:val="00357952"/>
    <w:rsid w:val="00360CE8"/>
    <w:rsid w:val="00362E57"/>
    <w:rsid w:val="00371F63"/>
    <w:rsid w:val="00375910"/>
    <w:rsid w:val="00384D5C"/>
    <w:rsid w:val="00386822"/>
    <w:rsid w:val="00390D14"/>
    <w:rsid w:val="00391272"/>
    <w:rsid w:val="00397079"/>
    <w:rsid w:val="00397886"/>
    <w:rsid w:val="003A2B85"/>
    <w:rsid w:val="003A4CD0"/>
    <w:rsid w:val="003B4555"/>
    <w:rsid w:val="003B7958"/>
    <w:rsid w:val="003C3678"/>
    <w:rsid w:val="003D13A4"/>
    <w:rsid w:val="003D3D11"/>
    <w:rsid w:val="003E216B"/>
    <w:rsid w:val="003E401D"/>
    <w:rsid w:val="003F09F6"/>
    <w:rsid w:val="003F5CBB"/>
    <w:rsid w:val="003F78E5"/>
    <w:rsid w:val="004006A2"/>
    <w:rsid w:val="00401712"/>
    <w:rsid w:val="00405D79"/>
    <w:rsid w:val="00406463"/>
    <w:rsid w:val="004100F5"/>
    <w:rsid w:val="004129CA"/>
    <w:rsid w:val="00412EFD"/>
    <w:rsid w:val="00413943"/>
    <w:rsid w:val="00414091"/>
    <w:rsid w:val="00420CBA"/>
    <w:rsid w:val="0042623A"/>
    <w:rsid w:val="004308EC"/>
    <w:rsid w:val="00430F58"/>
    <w:rsid w:val="00433B71"/>
    <w:rsid w:val="00434820"/>
    <w:rsid w:val="00434D59"/>
    <w:rsid w:val="00435107"/>
    <w:rsid w:val="004357E3"/>
    <w:rsid w:val="00440A1A"/>
    <w:rsid w:val="00440C06"/>
    <w:rsid w:val="00441844"/>
    <w:rsid w:val="00444961"/>
    <w:rsid w:val="0045101D"/>
    <w:rsid w:val="00451258"/>
    <w:rsid w:val="00454590"/>
    <w:rsid w:val="00454897"/>
    <w:rsid w:val="00454ED0"/>
    <w:rsid w:val="004552EA"/>
    <w:rsid w:val="00456CE1"/>
    <w:rsid w:val="00456CFE"/>
    <w:rsid w:val="00456D6B"/>
    <w:rsid w:val="004570B2"/>
    <w:rsid w:val="004611C4"/>
    <w:rsid w:val="00462FE9"/>
    <w:rsid w:val="004631A6"/>
    <w:rsid w:val="0046361E"/>
    <w:rsid w:val="00467301"/>
    <w:rsid w:val="0047059E"/>
    <w:rsid w:val="00470859"/>
    <w:rsid w:val="0047179C"/>
    <w:rsid w:val="00474597"/>
    <w:rsid w:val="004806FA"/>
    <w:rsid w:val="00481ACA"/>
    <w:rsid w:val="004835AD"/>
    <w:rsid w:val="0048469F"/>
    <w:rsid w:val="004927F4"/>
    <w:rsid w:val="00493A4A"/>
    <w:rsid w:val="0049520D"/>
    <w:rsid w:val="00495478"/>
    <w:rsid w:val="004955F6"/>
    <w:rsid w:val="00496D4D"/>
    <w:rsid w:val="004A5FE2"/>
    <w:rsid w:val="004A6023"/>
    <w:rsid w:val="004B17A7"/>
    <w:rsid w:val="004B461A"/>
    <w:rsid w:val="004B5A3A"/>
    <w:rsid w:val="004B610A"/>
    <w:rsid w:val="004C1102"/>
    <w:rsid w:val="004C1E38"/>
    <w:rsid w:val="004C496F"/>
    <w:rsid w:val="004C574E"/>
    <w:rsid w:val="004D3BB6"/>
    <w:rsid w:val="004D6540"/>
    <w:rsid w:val="004D7086"/>
    <w:rsid w:val="004E0628"/>
    <w:rsid w:val="004E2EBA"/>
    <w:rsid w:val="004F0CD2"/>
    <w:rsid w:val="004F3897"/>
    <w:rsid w:val="004F40F5"/>
    <w:rsid w:val="005069E9"/>
    <w:rsid w:val="0050768A"/>
    <w:rsid w:val="00510586"/>
    <w:rsid w:val="00510836"/>
    <w:rsid w:val="005108EE"/>
    <w:rsid w:val="00511BCB"/>
    <w:rsid w:val="00513AEA"/>
    <w:rsid w:val="00513CBE"/>
    <w:rsid w:val="005176A8"/>
    <w:rsid w:val="00517B27"/>
    <w:rsid w:val="00520756"/>
    <w:rsid w:val="00521C02"/>
    <w:rsid w:val="00526BA8"/>
    <w:rsid w:val="00527709"/>
    <w:rsid w:val="005329C8"/>
    <w:rsid w:val="00532C40"/>
    <w:rsid w:val="00533A71"/>
    <w:rsid w:val="00533EB2"/>
    <w:rsid w:val="00534A42"/>
    <w:rsid w:val="005369AB"/>
    <w:rsid w:val="0054088F"/>
    <w:rsid w:val="00541FDA"/>
    <w:rsid w:val="00545B34"/>
    <w:rsid w:val="00554B15"/>
    <w:rsid w:val="00554BC8"/>
    <w:rsid w:val="00555151"/>
    <w:rsid w:val="00557702"/>
    <w:rsid w:val="00562648"/>
    <w:rsid w:val="00563428"/>
    <w:rsid w:val="005635A6"/>
    <w:rsid w:val="00564055"/>
    <w:rsid w:val="005641B5"/>
    <w:rsid w:val="00564436"/>
    <w:rsid w:val="005660D1"/>
    <w:rsid w:val="00575002"/>
    <w:rsid w:val="005816C7"/>
    <w:rsid w:val="00584271"/>
    <w:rsid w:val="005875EE"/>
    <w:rsid w:val="00591527"/>
    <w:rsid w:val="005924CB"/>
    <w:rsid w:val="005A08A0"/>
    <w:rsid w:val="005A34B4"/>
    <w:rsid w:val="005A6282"/>
    <w:rsid w:val="005A76C0"/>
    <w:rsid w:val="005B6A42"/>
    <w:rsid w:val="005B75AF"/>
    <w:rsid w:val="005C2C7A"/>
    <w:rsid w:val="005C551F"/>
    <w:rsid w:val="005C6307"/>
    <w:rsid w:val="005C68FE"/>
    <w:rsid w:val="005C731D"/>
    <w:rsid w:val="005C75ED"/>
    <w:rsid w:val="005D395B"/>
    <w:rsid w:val="005D45FE"/>
    <w:rsid w:val="005D7DEA"/>
    <w:rsid w:val="005E1965"/>
    <w:rsid w:val="005E3C23"/>
    <w:rsid w:val="005E52D2"/>
    <w:rsid w:val="005E6576"/>
    <w:rsid w:val="005F1357"/>
    <w:rsid w:val="005F154C"/>
    <w:rsid w:val="006012BC"/>
    <w:rsid w:val="0060277D"/>
    <w:rsid w:val="00603F42"/>
    <w:rsid w:val="00613DCA"/>
    <w:rsid w:val="0061472E"/>
    <w:rsid w:val="0061713F"/>
    <w:rsid w:val="006215DF"/>
    <w:rsid w:val="00623173"/>
    <w:rsid w:val="0062592F"/>
    <w:rsid w:val="006259C1"/>
    <w:rsid w:val="00631AC1"/>
    <w:rsid w:val="006341AB"/>
    <w:rsid w:val="00635AB7"/>
    <w:rsid w:val="006370A6"/>
    <w:rsid w:val="006464B1"/>
    <w:rsid w:val="00653AD2"/>
    <w:rsid w:val="00654838"/>
    <w:rsid w:val="0066059C"/>
    <w:rsid w:val="00662FF1"/>
    <w:rsid w:val="006640FC"/>
    <w:rsid w:val="00664895"/>
    <w:rsid w:val="00666DCD"/>
    <w:rsid w:val="00670F7E"/>
    <w:rsid w:val="00672C67"/>
    <w:rsid w:val="00675B4B"/>
    <w:rsid w:val="00676834"/>
    <w:rsid w:val="00682B89"/>
    <w:rsid w:val="006866DC"/>
    <w:rsid w:val="00696B34"/>
    <w:rsid w:val="006A2F8A"/>
    <w:rsid w:val="006A5B31"/>
    <w:rsid w:val="006A71D0"/>
    <w:rsid w:val="006A71F8"/>
    <w:rsid w:val="006B5B92"/>
    <w:rsid w:val="006B7969"/>
    <w:rsid w:val="006C1B56"/>
    <w:rsid w:val="006C3A4F"/>
    <w:rsid w:val="006C5E83"/>
    <w:rsid w:val="006C7C24"/>
    <w:rsid w:val="006C7F91"/>
    <w:rsid w:val="006D1DF0"/>
    <w:rsid w:val="006D4B18"/>
    <w:rsid w:val="006D5852"/>
    <w:rsid w:val="006D62E2"/>
    <w:rsid w:val="006D6771"/>
    <w:rsid w:val="006E14A7"/>
    <w:rsid w:val="006E16B8"/>
    <w:rsid w:val="006E5F33"/>
    <w:rsid w:val="006F064E"/>
    <w:rsid w:val="006F6196"/>
    <w:rsid w:val="006F67F4"/>
    <w:rsid w:val="006F6F3C"/>
    <w:rsid w:val="00700D35"/>
    <w:rsid w:val="0070128F"/>
    <w:rsid w:val="00703A73"/>
    <w:rsid w:val="0070791F"/>
    <w:rsid w:val="00711890"/>
    <w:rsid w:val="0071711A"/>
    <w:rsid w:val="00720867"/>
    <w:rsid w:val="00721049"/>
    <w:rsid w:val="00722F5D"/>
    <w:rsid w:val="0073437D"/>
    <w:rsid w:val="00736DD4"/>
    <w:rsid w:val="00737E58"/>
    <w:rsid w:val="00747AE5"/>
    <w:rsid w:val="007500D8"/>
    <w:rsid w:val="007556AF"/>
    <w:rsid w:val="00755E87"/>
    <w:rsid w:val="0075687F"/>
    <w:rsid w:val="00761DF5"/>
    <w:rsid w:val="00762B7E"/>
    <w:rsid w:val="00762BE7"/>
    <w:rsid w:val="0076379A"/>
    <w:rsid w:val="00765958"/>
    <w:rsid w:val="007720B6"/>
    <w:rsid w:val="00772464"/>
    <w:rsid w:val="00774094"/>
    <w:rsid w:val="00774EDA"/>
    <w:rsid w:val="00775937"/>
    <w:rsid w:val="00776399"/>
    <w:rsid w:val="00777794"/>
    <w:rsid w:val="00783B21"/>
    <w:rsid w:val="007851CD"/>
    <w:rsid w:val="007852F7"/>
    <w:rsid w:val="007915C4"/>
    <w:rsid w:val="0079536D"/>
    <w:rsid w:val="007B292E"/>
    <w:rsid w:val="007B551B"/>
    <w:rsid w:val="007B599B"/>
    <w:rsid w:val="007C05CE"/>
    <w:rsid w:val="007C06F6"/>
    <w:rsid w:val="007C2B62"/>
    <w:rsid w:val="007C48D0"/>
    <w:rsid w:val="007C59AC"/>
    <w:rsid w:val="007C6231"/>
    <w:rsid w:val="007D0C2F"/>
    <w:rsid w:val="007D0D6D"/>
    <w:rsid w:val="007D23C1"/>
    <w:rsid w:val="007D29A9"/>
    <w:rsid w:val="007D5107"/>
    <w:rsid w:val="007D53C1"/>
    <w:rsid w:val="007E3A9D"/>
    <w:rsid w:val="007E46C5"/>
    <w:rsid w:val="007F1961"/>
    <w:rsid w:val="007F1D3F"/>
    <w:rsid w:val="007F1E96"/>
    <w:rsid w:val="007F2EF5"/>
    <w:rsid w:val="007F399E"/>
    <w:rsid w:val="007F468D"/>
    <w:rsid w:val="007F6A55"/>
    <w:rsid w:val="007F7644"/>
    <w:rsid w:val="00801A82"/>
    <w:rsid w:val="008028AE"/>
    <w:rsid w:val="00804AAC"/>
    <w:rsid w:val="008062B0"/>
    <w:rsid w:val="0080767A"/>
    <w:rsid w:val="008126BC"/>
    <w:rsid w:val="00812835"/>
    <w:rsid w:val="00820692"/>
    <w:rsid w:val="008211C3"/>
    <w:rsid w:val="00821B97"/>
    <w:rsid w:val="00823869"/>
    <w:rsid w:val="00825F8E"/>
    <w:rsid w:val="00826D6D"/>
    <w:rsid w:val="0082782B"/>
    <w:rsid w:val="00827D15"/>
    <w:rsid w:val="0083016B"/>
    <w:rsid w:val="00830C1A"/>
    <w:rsid w:val="00830C5B"/>
    <w:rsid w:val="0083161E"/>
    <w:rsid w:val="008326C2"/>
    <w:rsid w:val="00834BB6"/>
    <w:rsid w:val="00835FF1"/>
    <w:rsid w:val="0084051F"/>
    <w:rsid w:val="008406B8"/>
    <w:rsid w:val="008408C2"/>
    <w:rsid w:val="00840CC4"/>
    <w:rsid w:val="00842863"/>
    <w:rsid w:val="00844440"/>
    <w:rsid w:val="00846C88"/>
    <w:rsid w:val="00847A12"/>
    <w:rsid w:val="00853827"/>
    <w:rsid w:val="00854FD3"/>
    <w:rsid w:val="008608A7"/>
    <w:rsid w:val="008619FF"/>
    <w:rsid w:val="00867725"/>
    <w:rsid w:val="00870C87"/>
    <w:rsid w:val="00871A61"/>
    <w:rsid w:val="00873355"/>
    <w:rsid w:val="00874F12"/>
    <w:rsid w:val="00877CE9"/>
    <w:rsid w:val="0088487B"/>
    <w:rsid w:val="00891299"/>
    <w:rsid w:val="00893BEC"/>
    <w:rsid w:val="008A09E7"/>
    <w:rsid w:val="008A4348"/>
    <w:rsid w:val="008B31CD"/>
    <w:rsid w:val="008B70A9"/>
    <w:rsid w:val="008D147D"/>
    <w:rsid w:val="008D443E"/>
    <w:rsid w:val="008D537D"/>
    <w:rsid w:val="008E0CA7"/>
    <w:rsid w:val="008E12C9"/>
    <w:rsid w:val="008E1B20"/>
    <w:rsid w:val="008E2629"/>
    <w:rsid w:val="008E2911"/>
    <w:rsid w:val="008E2BB8"/>
    <w:rsid w:val="008E2D5F"/>
    <w:rsid w:val="008E4C48"/>
    <w:rsid w:val="008E6433"/>
    <w:rsid w:val="008E66C7"/>
    <w:rsid w:val="008E6CA9"/>
    <w:rsid w:val="008E7EBE"/>
    <w:rsid w:val="008F03B6"/>
    <w:rsid w:val="008F1E59"/>
    <w:rsid w:val="008F4959"/>
    <w:rsid w:val="008F6492"/>
    <w:rsid w:val="00900F4E"/>
    <w:rsid w:val="009113C5"/>
    <w:rsid w:val="009153CF"/>
    <w:rsid w:val="00916885"/>
    <w:rsid w:val="00920E47"/>
    <w:rsid w:val="009236FF"/>
    <w:rsid w:val="00923F69"/>
    <w:rsid w:val="0092448E"/>
    <w:rsid w:val="00930B28"/>
    <w:rsid w:val="00932315"/>
    <w:rsid w:val="00934885"/>
    <w:rsid w:val="00936578"/>
    <w:rsid w:val="00942A57"/>
    <w:rsid w:val="00945506"/>
    <w:rsid w:val="0095117C"/>
    <w:rsid w:val="00953CA7"/>
    <w:rsid w:val="00957E49"/>
    <w:rsid w:val="009628E7"/>
    <w:rsid w:val="009643BD"/>
    <w:rsid w:val="009721F4"/>
    <w:rsid w:val="009821D2"/>
    <w:rsid w:val="00984BBF"/>
    <w:rsid w:val="00986B33"/>
    <w:rsid w:val="00987AD5"/>
    <w:rsid w:val="00995061"/>
    <w:rsid w:val="00995AC2"/>
    <w:rsid w:val="009A013D"/>
    <w:rsid w:val="009A0645"/>
    <w:rsid w:val="009A229C"/>
    <w:rsid w:val="009A4645"/>
    <w:rsid w:val="009A4BCC"/>
    <w:rsid w:val="009B7138"/>
    <w:rsid w:val="009B774E"/>
    <w:rsid w:val="009C3751"/>
    <w:rsid w:val="009C40B5"/>
    <w:rsid w:val="009C7292"/>
    <w:rsid w:val="009D4563"/>
    <w:rsid w:val="009D79B9"/>
    <w:rsid w:val="009E00D6"/>
    <w:rsid w:val="009E050B"/>
    <w:rsid w:val="009E5224"/>
    <w:rsid w:val="009E7B10"/>
    <w:rsid w:val="009F1E5B"/>
    <w:rsid w:val="009F38B5"/>
    <w:rsid w:val="00A0346D"/>
    <w:rsid w:val="00A1011C"/>
    <w:rsid w:val="00A10366"/>
    <w:rsid w:val="00A12D6F"/>
    <w:rsid w:val="00A13626"/>
    <w:rsid w:val="00A17714"/>
    <w:rsid w:val="00A23CC3"/>
    <w:rsid w:val="00A2464B"/>
    <w:rsid w:val="00A31EEB"/>
    <w:rsid w:val="00A33E0D"/>
    <w:rsid w:val="00A368BD"/>
    <w:rsid w:val="00A45C71"/>
    <w:rsid w:val="00A47AA8"/>
    <w:rsid w:val="00A5040E"/>
    <w:rsid w:val="00A51C30"/>
    <w:rsid w:val="00A528FE"/>
    <w:rsid w:val="00A57240"/>
    <w:rsid w:val="00A64C46"/>
    <w:rsid w:val="00A6636D"/>
    <w:rsid w:val="00A66506"/>
    <w:rsid w:val="00A67E8D"/>
    <w:rsid w:val="00A70E68"/>
    <w:rsid w:val="00A71DFF"/>
    <w:rsid w:val="00A728BA"/>
    <w:rsid w:val="00A72E34"/>
    <w:rsid w:val="00A75F7F"/>
    <w:rsid w:val="00A928B4"/>
    <w:rsid w:val="00A96509"/>
    <w:rsid w:val="00AA1970"/>
    <w:rsid w:val="00AA34E7"/>
    <w:rsid w:val="00AA506F"/>
    <w:rsid w:val="00AA7946"/>
    <w:rsid w:val="00AB0524"/>
    <w:rsid w:val="00AB5596"/>
    <w:rsid w:val="00AC3496"/>
    <w:rsid w:val="00AC3666"/>
    <w:rsid w:val="00AC5F9D"/>
    <w:rsid w:val="00AD2FC4"/>
    <w:rsid w:val="00AD558C"/>
    <w:rsid w:val="00AE0E7E"/>
    <w:rsid w:val="00AE2A52"/>
    <w:rsid w:val="00AE5BAA"/>
    <w:rsid w:val="00AE6740"/>
    <w:rsid w:val="00AF0B66"/>
    <w:rsid w:val="00AF3F0A"/>
    <w:rsid w:val="00AF41E6"/>
    <w:rsid w:val="00AF55A6"/>
    <w:rsid w:val="00B01DFB"/>
    <w:rsid w:val="00B01E83"/>
    <w:rsid w:val="00B027C1"/>
    <w:rsid w:val="00B03198"/>
    <w:rsid w:val="00B139D0"/>
    <w:rsid w:val="00B177D9"/>
    <w:rsid w:val="00B21503"/>
    <w:rsid w:val="00B34BC4"/>
    <w:rsid w:val="00B40203"/>
    <w:rsid w:val="00B4196E"/>
    <w:rsid w:val="00B42E09"/>
    <w:rsid w:val="00B473AA"/>
    <w:rsid w:val="00B61B1C"/>
    <w:rsid w:val="00B61C37"/>
    <w:rsid w:val="00B649FF"/>
    <w:rsid w:val="00B65981"/>
    <w:rsid w:val="00B66B33"/>
    <w:rsid w:val="00B67BB1"/>
    <w:rsid w:val="00B70CA4"/>
    <w:rsid w:val="00B71157"/>
    <w:rsid w:val="00B75B85"/>
    <w:rsid w:val="00B76F83"/>
    <w:rsid w:val="00B84289"/>
    <w:rsid w:val="00B87889"/>
    <w:rsid w:val="00B93D26"/>
    <w:rsid w:val="00B942F8"/>
    <w:rsid w:val="00B94F2D"/>
    <w:rsid w:val="00BA0496"/>
    <w:rsid w:val="00BA0FD4"/>
    <w:rsid w:val="00BA1C03"/>
    <w:rsid w:val="00BA350C"/>
    <w:rsid w:val="00BA5EB3"/>
    <w:rsid w:val="00BC0AC8"/>
    <w:rsid w:val="00BD1F32"/>
    <w:rsid w:val="00BD40A2"/>
    <w:rsid w:val="00BD47C4"/>
    <w:rsid w:val="00BD5DC3"/>
    <w:rsid w:val="00BE246D"/>
    <w:rsid w:val="00BE600C"/>
    <w:rsid w:val="00BE6C41"/>
    <w:rsid w:val="00BF17AA"/>
    <w:rsid w:val="00BF1DE1"/>
    <w:rsid w:val="00BF4CDC"/>
    <w:rsid w:val="00C0180C"/>
    <w:rsid w:val="00C01E5F"/>
    <w:rsid w:val="00C04941"/>
    <w:rsid w:val="00C10BDA"/>
    <w:rsid w:val="00C1246E"/>
    <w:rsid w:val="00C136A6"/>
    <w:rsid w:val="00C1410D"/>
    <w:rsid w:val="00C16FC0"/>
    <w:rsid w:val="00C200BA"/>
    <w:rsid w:val="00C23E2A"/>
    <w:rsid w:val="00C23F5D"/>
    <w:rsid w:val="00C24556"/>
    <w:rsid w:val="00C24D2B"/>
    <w:rsid w:val="00C2677A"/>
    <w:rsid w:val="00C300EC"/>
    <w:rsid w:val="00C349D6"/>
    <w:rsid w:val="00C3576B"/>
    <w:rsid w:val="00C35D4F"/>
    <w:rsid w:val="00C4379A"/>
    <w:rsid w:val="00C46B81"/>
    <w:rsid w:val="00C476F4"/>
    <w:rsid w:val="00C52B23"/>
    <w:rsid w:val="00C6019E"/>
    <w:rsid w:val="00C61BC1"/>
    <w:rsid w:val="00C61DB6"/>
    <w:rsid w:val="00C63A20"/>
    <w:rsid w:val="00C66019"/>
    <w:rsid w:val="00C664CF"/>
    <w:rsid w:val="00C66DA9"/>
    <w:rsid w:val="00C72249"/>
    <w:rsid w:val="00C73098"/>
    <w:rsid w:val="00C73FE6"/>
    <w:rsid w:val="00C75CE5"/>
    <w:rsid w:val="00C768E9"/>
    <w:rsid w:val="00C801A6"/>
    <w:rsid w:val="00C90F04"/>
    <w:rsid w:val="00C9325C"/>
    <w:rsid w:val="00C93450"/>
    <w:rsid w:val="00C950B9"/>
    <w:rsid w:val="00C968BB"/>
    <w:rsid w:val="00C97019"/>
    <w:rsid w:val="00CA22C6"/>
    <w:rsid w:val="00CA2C7C"/>
    <w:rsid w:val="00CA4FEC"/>
    <w:rsid w:val="00CB0EC3"/>
    <w:rsid w:val="00CC21BF"/>
    <w:rsid w:val="00CC3969"/>
    <w:rsid w:val="00CD1A82"/>
    <w:rsid w:val="00CD2820"/>
    <w:rsid w:val="00CD4C4B"/>
    <w:rsid w:val="00CD62D3"/>
    <w:rsid w:val="00CD6FBB"/>
    <w:rsid w:val="00CE5799"/>
    <w:rsid w:val="00CF090D"/>
    <w:rsid w:val="00CF4FB9"/>
    <w:rsid w:val="00CF6773"/>
    <w:rsid w:val="00D007B7"/>
    <w:rsid w:val="00D00A0E"/>
    <w:rsid w:val="00D01C13"/>
    <w:rsid w:val="00D0296E"/>
    <w:rsid w:val="00D02CB0"/>
    <w:rsid w:val="00D03109"/>
    <w:rsid w:val="00D036FA"/>
    <w:rsid w:val="00D05E41"/>
    <w:rsid w:val="00D10D3F"/>
    <w:rsid w:val="00D12BC9"/>
    <w:rsid w:val="00D20AE8"/>
    <w:rsid w:val="00D22923"/>
    <w:rsid w:val="00D244B0"/>
    <w:rsid w:val="00D31EE3"/>
    <w:rsid w:val="00D355D3"/>
    <w:rsid w:val="00D35927"/>
    <w:rsid w:val="00D373D5"/>
    <w:rsid w:val="00D40DD1"/>
    <w:rsid w:val="00D4222F"/>
    <w:rsid w:val="00D5180D"/>
    <w:rsid w:val="00D66604"/>
    <w:rsid w:val="00D67AFD"/>
    <w:rsid w:val="00D7622C"/>
    <w:rsid w:val="00D76D82"/>
    <w:rsid w:val="00D80610"/>
    <w:rsid w:val="00D80D6E"/>
    <w:rsid w:val="00D815AA"/>
    <w:rsid w:val="00D822B0"/>
    <w:rsid w:val="00D8293E"/>
    <w:rsid w:val="00D83B97"/>
    <w:rsid w:val="00D845CA"/>
    <w:rsid w:val="00D927AD"/>
    <w:rsid w:val="00D93C9D"/>
    <w:rsid w:val="00D96D70"/>
    <w:rsid w:val="00DA1192"/>
    <w:rsid w:val="00DA228C"/>
    <w:rsid w:val="00DA4A72"/>
    <w:rsid w:val="00DB0D69"/>
    <w:rsid w:val="00DB4D5B"/>
    <w:rsid w:val="00DB7D8F"/>
    <w:rsid w:val="00DB7E84"/>
    <w:rsid w:val="00DC0E9F"/>
    <w:rsid w:val="00DD006B"/>
    <w:rsid w:val="00DD33A2"/>
    <w:rsid w:val="00DD5AE5"/>
    <w:rsid w:val="00DE04AA"/>
    <w:rsid w:val="00DE07FA"/>
    <w:rsid w:val="00DE0B30"/>
    <w:rsid w:val="00DE20A1"/>
    <w:rsid w:val="00DE241C"/>
    <w:rsid w:val="00DE6312"/>
    <w:rsid w:val="00DF4900"/>
    <w:rsid w:val="00DF6212"/>
    <w:rsid w:val="00DF6809"/>
    <w:rsid w:val="00DF78AA"/>
    <w:rsid w:val="00E00C2B"/>
    <w:rsid w:val="00E059AA"/>
    <w:rsid w:val="00E12601"/>
    <w:rsid w:val="00E13F8D"/>
    <w:rsid w:val="00E2148B"/>
    <w:rsid w:val="00E21F7D"/>
    <w:rsid w:val="00E236FB"/>
    <w:rsid w:val="00E24090"/>
    <w:rsid w:val="00E245B5"/>
    <w:rsid w:val="00E26DA1"/>
    <w:rsid w:val="00E27052"/>
    <w:rsid w:val="00E272F5"/>
    <w:rsid w:val="00E274F4"/>
    <w:rsid w:val="00E30D38"/>
    <w:rsid w:val="00E36A9E"/>
    <w:rsid w:val="00E40458"/>
    <w:rsid w:val="00E40992"/>
    <w:rsid w:val="00E42E6B"/>
    <w:rsid w:val="00E448D2"/>
    <w:rsid w:val="00E45304"/>
    <w:rsid w:val="00E45D24"/>
    <w:rsid w:val="00E45E3F"/>
    <w:rsid w:val="00E46217"/>
    <w:rsid w:val="00E46CE3"/>
    <w:rsid w:val="00E5115A"/>
    <w:rsid w:val="00E550BA"/>
    <w:rsid w:val="00E655E4"/>
    <w:rsid w:val="00E66111"/>
    <w:rsid w:val="00E70012"/>
    <w:rsid w:val="00E70CE7"/>
    <w:rsid w:val="00E7216E"/>
    <w:rsid w:val="00E80969"/>
    <w:rsid w:val="00E81D0D"/>
    <w:rsid w:val="00E85BBB"/>
    <w:rsid w:val="00E87075"/>
    <w:rsid w:val="00E87992"/>
    <w:rsid w:val="00E900EC"/>
    <w:rsid w:val="00E90FA0"/>
    <w:rsid w:val="00EB0217"/>
    <w:rsid w:val="00EB3036"/>
    <w:rsid w:val="00EB3C7D"/>
    <w:rsid w:val="00EB3E40"/>
    <w:rsid w:val="00EB506F"/>
    <w:rsid w:val="00EB635B"/>
    <w:rsid w:val="00EC1BF8"/>
    <w:rsid w:val="00ED2CDE"/>
    <w:rsid w:val="00ED382A"/>
    <w:rsid w:val="00ED7130"/>
    <w:rsid w:val="00ED7685"/>
    <w:rsid w:val="00EE1E01"/>
    <w:rsid w:val="00EE2BED"/>
    <w:rsid w:val="00EF1D08"/>
    <w:rsid w:val="00EF5991"/>
    <w:rsid w:val="00F05290"/>
    <w:rsid w:val="00F13475"/>
    <w:rsid w:val="00F144C3"/>
    <w:rsid w:val="00F15FAF"/>
    <w:rsid w:val="00F17AC3"/>
    <w:rsid w:val="00F17E54"/>
    <w:rsid w:val="00F20062"/>
    <w:rsid w:val="00F20CDA"/>
    <w:rsid w:val="00F21606"/>
    <w:rsid w:val="00F26D6C"/>
    <w:rsid w:val="00F27E70"/>
    <w:rsid w:val="00F32AA6"/>
    <w:rsid w:val="00F3452D"/>
    <w:rsid w:val="00F37046"/>
    <w:rsid w:val="00F40134"/>
    <w:rsid w:val="00F417D0"/>
    <w:rsid w:val="00F426BD"/>
    <w:rsid w:val="00F4410A"/>
    <w:rsid w:val="00F44AE3"/>
    <w:rsid w:val="00F54DD9"/>
    <w:rsid w:val="00F60235"/>
    <w:rsid w:val="00F61B7B"/>
    <w:rsid w:val="00F61DC5"/>
    <w:rsid w:val="00F644E8"/>
    <w:rsid w:val="00F6632E"/>
    <w:rsid w:val="00F77216"/>
    <w:rsid w:val="00F80966"/>
    <w:rsid w:val="00F817D1"/>
    <w:rsid w:val="00F82140"/>
    <w:rsid w:val="00F82EBF"/>
    <w:rsid w:val="00F8301F"/>
    <w:rsid w:val="00F84240"/>
    <w:rsid w:val="00F85DA8"/>
    <w:rsid w:val="00F93057"/>
    <w:rsid w:val="00F94233"/>
    <w:rsid w:val="00F94D64"/>
    <w:rsid w:val="00F9519D"/>
    <w:rsid w:val="00F9758E"/>
    <w:rsid w:val="00FA151B"/>
    <w:rsid w:val="00FA347D"/>
    <w:rsid w:val="00FA5B70"/>
    <w:rsid w:val="00FB1F4F"/>
    <w:rsid w:val="00FB4073"/>
    <w:rsid w:val="00FC23F9"/>
    <w:rsid w:val="00FC3EF9"/>
    <w:rsid w:val="00FC6F47"/>
    <w:rsid w:val="00FD0C57"/>
    <w:rsid w:val="00FD1072"/>
    <w:rsid w:val="00FD4E1E"/>
    <w:rsid w:val="00FD59AC"/>
    <w:rsid w:val="00FE33A7"/>
    <w:rsid w:val="00FE57F7"/>
    <w:rsid w:val="00FF2D19"/>
    <w:rsid w:val="00FF3B47"/>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C99C987"/>
  <w15:docId w15:val="{BEC0CAD6-9F0B-45CE-8756-87DF8085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7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7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74"/>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7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C93450"/>
    <w:pPr>
      <w:keepNext/>
      <w:numPr>
        <w:ilvl w:val="4"/>
        <w:numId w:val="74"/>
      </w:numPr>
      <w:outlineLvl w:val="4"/>
    </w:pPr>
    <w:rPr>
      <w:rFonts w:eastAsiaTheme="majorEastAsia"/>
    </w:rPr>
  </w:style>
  <w:style w:type="paragraph" w:styleId="Heading6">
    <w:name w:val="heading 6"/>
    <w:basedOn w:val="Normal"/>
    <w:next w:val="Text2"/>
    <w:link w:val="Heading6Char"/>
    <w:uiPriority w:val="9"/>
    <w:semiHidden/>
    <w:unhideWhenUsed/>
    <w:qFormat/>
    <w:rsid w:val="00C93450"/>
    <w:pPr>
      <w:keepNext/>
      <w:numPr>
        <w:ilvl w:val="5"/>
        <w:numId w:val="74"/>
      </w:numPr>
      <w:outlineLvl w:val="5"/>
    </w:pPr>
    <w:rPr>
      <w:rFonts w:eastAsiaTheme="majorEastAsia"/>
      <w:iCs/>
    </w:rPr>
  </w:style>
  <w:style w:type="paragraph" w:styleId="Heading7">
    <w:name w:val="heading 7"/>
    <w:basedOn w:val="Normal"/>
    <w:next w:val="Text2"/>
    <w:link w:val="Heading7Char"/>
    <w:uiPriority w:val="9"/>
    <w:semiHidden/>
    <w:unhideWhenUsed/>
    <w:qFormat/>
    <w:rsid w:val="00C93450"/>
    <w:pPr>
      <w:keepNext/>
      <w:numPr>
        <w:ilvl w:val="6"/>
        <w:numId w:val="7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6B5B92"/>
    <w:pPr>
      <w:numPr>
        <w:numId w:val="1"/>
      </w:numPr>
      <w:contextualSpacing/>
    </w:pPr>
  </w:style>
  <w:style w:type="paragraph" w:styleId="ListBullet2">
    <w:name w:val="List Bullet 2"/>
    <w:basedOn w:val="Normal"/>
    <w:unhideWhenUsed/>
    <w:rsid w:val="006B5B92"/>
    <w:pPr>
      <w:numPr>
        <w:numId w:val="2"/>
      </w:numPr>
      <w:contextualSpacing/>
    </w:pPr>
  </w:style>
  <w:style w:type="paragraph" w:styleId="ListBullet3">
    <w:name w:val="List Bullet 3"/>
    <w:basedOn w:val="Normal"/>
    <w:unhideWhenUsed/>
    <w:rsid w:val="006B5B92"/>
    <w:pPr>
      <w:numPr>
        <w:numId w:val="3"/>
      </w:numPr>
      <w:contextualSpacing/>
    </w:pPr>
  </w:style>
  <w:style w:type="paragraph" w:styleId="ListBullet4">
    <w:name w:val="List Bullet 4"/>
    <w:basedOn w:val="Normal"/>
    <w:unhideWhenUsed/>
    <w:rsid w:val="006B5B92"/>
    <w:pPr>
      <w:numPr>
        <w:numId w:val="4"/>
      </w:numPr>
      <w:contextualSpacing/>
    </w:pPr>
  </w:style>
  <w:style w:type="paragraph" w:customStyle="1" w:styleId="ti-section-1">
    <w:name w:val="ti-section-1"/>
    <w:basedOn w:val="Normal"/>
    <w:rsid w:val="00521C02"/>
    <w:pPr>
      <w:spacing w:before="100" w:beforeAutospacing="1" w:after="100" w:afterAutospacing="1"/>
      <w:jc w:val="left"/>
    </w:pPr>
    <w:rPr>
      <w:rFonts w:eastAsia="Times New Roman"/>
      <w:szCs w:val="24"/>
      <w:lang w:eastAsia="en-GB"/>
    </w:rPr>
  </w:style>
  <w:style w:type="paragraph" w:customStyle="1" w:styleId="sti-art">
    <w:name w:val="sti-art"/>
    <w:basedOn w:val="Normal"/>
    <w:rsid w:val="00521C02"/>
    <w:pPr>
      <w:spacing w:before="100" w:beforeAutospacing="1" w:after="100" w:afterAutospacing="1"/>
      <w:jc w:val="left"/>
    </w:pPr>
    <w:rPr>
      <w:rFonts w:eastAsia="Times New Roman"/>
      <w:szCs w:val="24"/>
      <w:lang w:eastAsia="en-GB"/>
    </w:rPr>
  </w:style>
  <w:style w:type="paragraph" w:styleId="ListParagraph">
    <w:name w:val="List Paragraph"/>
    <w:aliases w:val="List,List1,List11,List111,List1111,1st level - Bullet List Paragraph,List Paragraph1,Lettre d'introduction,Paragrafo elenco,Normal bullet 2,Medium Grid 1 - Accent 21,List Paragraph11,FooterText,Paragraphe de liste1,Bullet list,List11111"/>
    <w:basedOn w:val="Normal"/>
    <w:link w:val="ListParagraphChar"/>
    <w:uiPriority w:val="34"/>
    <w:qFormat/>
    <w:rsid w:val="00521C02"/>
    <w:pPr>
      <w:spacing w:before="0" w:after="160" w:line="259" w:lineRule="auto"/>
      <w:ind w:left="720"/>
      <w:contextualSpacing/>
      <w:jc w:val="left"/>
    </w:pPr>
    <w:rPr>
      <w:rFonts w:asciiTheme="minorHAnsi" w:hAnsiTheme="minorHAnsi" w:cstheme="minorBidi"/>
      <w:sz w:val="22"/>
    </w:rPr>
  </w:style>
  <w:style w:type="character" w:styleId="CommentReference">
    <w:name w:val="annotation reference"/>
    <w:basedOn w:val="DefaultParagraphFont"/>
    <w:unhideWhenUsed/>
    <w:rsid w:val="00521C02"/>
    <w:rPr>
      <w:sz w:val="16"/>
      <w:szCs w:val="16"/>
    </w:rPr>
  </w:style>
  <w:style w:type="paragraph" w:styleId="CommentText">
    <w:name w:val="annotation text"/>
    <w:basedOn w:val="Normal"/>
    <w:link w:val="CommentTextChar"/>
    <w:unhideWhenUsed/>
    <w:rsid w:val="00521C02"/>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rsid w:val="00521C02"/>
    <w:rPr>
      <w:sz w:val="20"/>
      <w:szCs w:val="20"/>
      <w:lang w:val="en-GB"/>
    </w:rPr>
  </w:style>
  <w:style w:type="paragraph" w:customStyle="1" w:styleId="Normal2">
    <w:name w:val="Normal2"/>
    <w:basedOn w:val="Normal"/>
    <w:rsid w:val="00521C02"/>
    <w:pPr>
      <w:spacing w:before="100" w:beforeAutospacing="1" w:after="100" w:afterAutospacing="1"/>
      <w:jc w:val="left"/>
    </w:pPr>
    <w:rPr>
      <w:rFonts w:eastAsia="Times New Roman"/>
      <w:szCs w:val="24"/>
      <w:lang w:val="en-US"/>
    </w:rPr>
  </w:style>
  <w:style w:type="paragraph" w:styleId="BalloonText">
    <w:name w:val="Balloon Text"/>
    <w:basedOn w:val="Normal"/>
    <w:link w:val="BalloonTextChar"/>
    <w:unhideWhenUsed/>
    <w:rsid w:val="00521C02"/>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521C02"/>
    <w:rPr>
      <w:rFonts w:ascii="Segoe UI" w:hAnsi="Segoe UI" w:cs="Segoe UI"/>
      <w:sz w:val="18"/>
      <w:szCs w:val="18"/>
      <w:lang w:val="en-GB"/>
    </w:rPr>
  </w:style>
  <w:style w:type="paragraph" w:styleId="CommentSubject">
    <w:name w:val="annotation subject"/>
    <w:basedOn w:val="CommentText"/>
    <w:next w:val="CommentText"/>
    <w:link w:val="CommentSubjectChar"/>
    <w:unhideWhenUsed/>
    <w:rsid w:val="00DA228C"/>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rsid w:val="00DA228C"/>
    <w:rPr>
      <w:rFonts w:ascii="Times New Roman" w:hAnsi="Times New Roman" w:cs="Times New Roman"/>
      <w:b/>
      <w:bCs/>
      <w:sz w:val="20"/>
      <w:szCs w:val="20"/>
      <w:lang w:val="en-GB"/>
    </w:rPr>
  </w:style>
  <w:style w:type="paragraph" w:styleId="Revision">
    <w:name w:val="Revision"/>
    <w:hidden/>
    <w:uiPriority w:val="99"/>
    <w:semiHidden/>
    <w:rsid w:val="0033049C"/>
    <w:pPr>
      <w:spacing w:after="0" w:line="240" w:lineRule="auto"/>
    </w:pPr>
    <w:rPr>
      <w:rFonts w:ascii="Times New Roman" w:hAnsi="Times New Roman" w:cs="Times New Roman"/>
      <w:sz w:val="24"/>
      <w:lang w:val="en-GB"/>
    </w:rPr>
  </w:style>
  <w:style w:type="character" w:styleId="Hyperlink">
    <w:name w:val="Hyperlink"/>
    <w:basedOn w:val="DefaultParagraphFont"/>
    <w:uiPriority w:val="99"/>
    <w:rsid w:val="00FE57F7"/>
    <w:rPr>
      <w:color w:val="0000FF" w:themeColor="hyperlink"/>
      <w:u w:val="single"/>
    </w:rPr>
  </w:style>
  <w:style w:type="paragraph" w:customStyle="1" w:styleId="ListBullet3Level4">
    <w:name w:val="List Bullet 3 (Level 4)"/>
    <w:basedOn w:val="Text3"/>
    <w:uiPriority w:val="1"/>
    <w:semiHidden/>
    <w:unhideWhenUsed/>
    <w:rsid w:val="00662FF1"/>
    <w:pPr>
      <w:tabs>
        <w:tab w:val="num" w:pos="3050"/>
      </w:tabs>
      <w:spacing w:before="0" w:after="240"/>
      <w:ind w:left="3050" w:hanging="283"/>
    </w:pPr>
    <w:rPr>
      <w:rFonts w:eastAsia="Times New Roman"/>
      <w:szCs w:val="20"/>
    </w:rPr>
  </w:style>
  <w:style w:type="paragraph" w:customStyle="1" w:styleId="ListBullet3Level3">
    <w:name w:val="List Bullet 3 (Level 3)"/>
    <w:basedOn w:val="Text3"/>
    <w:uiPriority w:val="1"/>
    <w:semiHidden/>
    <w:unhideWhenUsed/>
    <w:rsid w:val="00662FF1"/>
    <w:pPr>
      <w:tabs>
        <w:tab w:val="num" w:pos="2767"/>
      </w:tabs>
      <w:spacing w:before="0" w:after="240"/>
      <w:ind w:left="2767" w:hanging="284"/>
    </w:pPr>
    <w:rPr>
      <w:rFonts w:eastAsia="Times New Roman"/>
      <w:szCs w:val="20"/>
    </w:rPr>
  </w:style>
  <w:style w:type="paragraph" w:customStyle="1" w:styleId="ListBullet3Level2">
    <w:name w:val="List Bullet 3 (Level 2)"/>
    <w:basedOn w:val="Text3"/>
    <w:uiPriority w:val="1"/>
    <w:rsid w:val="00662FF1"/>
    <w:pPr>
      <w:tabs>
        <w:tab w:val="num" w:pos="2483"/>
      </w:tabs>
      <w:spacing w:before="0" w:after="240"/>
      <w:ind w:left="2483" w:hanging="283"/>
    </w:pPr>
    <w:rPr>
      <w:rFonts w:eastAsia="Times New Roman"/>
      <w:szCs w:val="20"/>
    </w:rPr>
  </w:style>
  <w:style w:type="paragraph" w:styleId="NormalWeb">
    <w:name w:val="Normal (Web)"/>
    <w:basedOn w:val="Normal"/>
    <w:uiPriority w:val="99"/>
    <w:semiHidden/>
    <w:unhideWhenUsed/>
    <w:rsid w:val="003F09F6"/>
    <w:rPr>
      <w:szCs w:val="24"/>
    </w:rPr>
  </w:style>
  <w:style w:type="paragraph" w:styleId="EndnoteText">
    <w:name w:val="endnote text"/>
    <w:basedOn w:val="Normal"/>
    <w:link w:val="EndnoteTextChar"/>
    <w:uiPriority w:val="99"/>
    <w:semiHidden/>
    <w:unhideWhenUsed/>
    <w:rsid w:val="00776399"/>
    <w:pPr>
      <w:spacing w:before="0" w:after="0"/>
    </w:pPr>
    <w:rPr>
      <w:sz w:val="20"/>
      <w:szCs w:val="20"/>
    </w:rPr>
  </w:style>
  <w:style w:type="character" w:customStyle="1" w:styleId="EndnoteTextChar">
    <w:name w:val="Endnote Text Char"/>
    <w:basedOn w:val="DefaultParagraphFont"/>
    <w:link w:val="EndnoteText"/>
    <w:uiPriority w:val="99"/>
    <w:semiHidden/>
    <w:rsid w:val="00776399"/>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776399"/>
    <w:rPr>
      <w:vertAlign w:val="superscript"/>
    </w:rPr>
  </w:style>
  <w:style w:type="character" w:styleId="FollowedHyperlink">
    <w:name w:val="FollowedHyperlink"/>
    <w:basedOn w:val="DefaultParagraphFont"/>
    <w:unhideWhenUsed/>
    <w:rsid w:val="00CD1A82"/>
    <w:rPr>
      <w:color w:val="800080" w:themeColor="followedHyperlink"/>
      <w:u w:val="single"/>
    </w:rPr>
  </w:style>
  <w:style w:type="character" w:customStyle="1" w:styleId="ListParagraphChar">
    <w:name w:val="List Paragraph Char"/>
    <w:aliases w:val="List Char,List1 Char,List11 Char,List111 Char,List1111 Char,1st level - Bullet List Paragraph Char,List Paragraph1 Char,Lettre d'introduction Char,Paragrafo elenco Char,Normal bullet 2 Char,Medium Grid 1 - Accent 21 Char"/>
    <w:basedOn w:val="DefaultParagraphFont"/>
    <w:link w:val="ListParagraph"/>
    <w:uiPriority w:val="34"/>
    <w:qFormat/>
    <w:rsid w:val="004C496F"/>
    <w:rPr>
      <w:lang w:val="en-GB"/>
    </w:rPr>
  </w:style>
  <w:style w:type="character" w:customStyle="1" w:styleId="Text2Char1">
    <w:name w:val="Text 2 Char1"/>
    <w:rsid w:val="0005122E"/>
    <w:rPr>
      <w:rFonts w:ascii="Times New Roman" w:hAnsi="Times New Roman" w:cs="Times New Roman"/>
      <w:sz w:val="24"/>
      <w:lang w:val="en-GB"/>
    </w:rPr>
  </w:style>
  <w:style w:type="paragraph" w:styleId="ListNumber">
    <w:name w:val="List Number"/>
    <w:basedOn w:val="Normal"/>
    <w:rsid w:val="00A728BA"/>
    <w:pPr>
      <w:numPr>
        <w:numId w:val="9"/>
      </w:numPr>
    </w:pPr>
    <w:rPr>
      <w:rFonts w:eastAsia="Times New Roman"/>
      <w:lang w:eastAsia="de-DE"/>
    </w:rPr>
  </w:style>
  <w:style w:type="paragraph" w:customStyle="1" w:styleId="ListBullet1">
    <w:name w:val="List Bullet 1"/>
    <w:basedOn w:val="Normal"/>
    <w:rsid w:val="00A728BA"/>
    <w:pPr>
      <w:numPr>
        <w:numId w:val="5"/>
      </w:numPr>
    </w:pPr>
    <w:rPr>
      <w:rFonts w:eastAsia="Times New Roman"/>
      <w:lang w:eastAsia="de-DE"/>
    </w:rPr>
  </w:style>
  <w:style w:type="paragraph" w:customStyle="1" w:styleId="ListDash">
    <w:name w:val="List Dash"/>
    <w:basedOn w:val="Normal"/>
    <w:rsid w:val="00A728BA"/>
    <w:pPr>
      <w:numPr>
        <w:numId w:val="6"/>
      </w:numPr>
    </w:pPr>
    <w:rPr>
      <w:rFonts w:eastAsia="Times New Roman"/>
      <w:lang w:eastAsia="de-DE"/>
    </w:rPr>
  </w:style>
  <w:style w:type="paragraph" w:customStyle="1" w:styleId="ListDash1">
    <w:name w:val="List Dash 1"/>
    <w:basedOn w:val="Normal"/>
    <w:rsid w:val="00A728BA"/>
    <w:pPr>
      <w:numPr>
        <w:numId w:val="7"/>
      </w:numPr>
    </w:pPr>
    <w:rPr>
      <w:rFonts w:eastAsia="Times New Roman"/>
      <w:lang w:eastAsia="de-DE"/>
    </w:rPr>
  </w:style>
  <w:style w:type="paragraph" w:customStyle="1" w:styleId="ListDash2">
    <w:name w:val="List Dash 2"/>
    <w:basedOn w:val="Normal"/>
    <w:rsid w:val="00A728BA"/>
    <w:pPr>
      <w:numPr>
        <w:numId w:val="8"/>
      </w:numPr>
    </w:pPr>
    <w:rPr>
      <w:rFonts w:eastAsia="Times New Roman"/>
      <w:lang w:eastAsia="de-DE"/>
    </w:rPr>
  </w:style>
  <w:style w:type="paragraph" w:customStyle="1" w:styleId="ListNumberLevel2">
    <w:name w:val="List Number (Level 2)"/>
    <w:basedOn w:val="Normal"/>
    <w:rsid w:val="00A728BA"/>
    <w:pPr>
      <w:numPr>
        <w:ilvl w:val="1"/>
        <w:numId w:val="9"/>
      </w:numPr>
    </w:pPr>
    <w:rPr>
      <w:rFonts w:eastAsia="Times New Roman"/>
      <w:lang w:eastAsia="de-DE"/>
    </w:rPr>
  </w:style>
  <w:style w:type="paragraph" w:customStyle="1" w:styleId="ListNumberLevel3">
    <w:name w:val="List Number (Level 3)"/>
    <w:basedOn w:val="Normal"/>
    <w:rsid w:val="00A728BA"/>
    <w:pPr>
      <w:numPr>
        <w:ilvl w:val="2"/>
        <w:numId w:val="9"/>
      </w:numPr>
    </w:pPr>
    <w:rPr>
      <w:rFonts w:eastAsia="Times New Roman"/>
      <w:lang w:eastAsia="de-DE"/>
    </w:rPr>
  </w:style>
  <w:style w:type="paragraph" w:customStyle="1" w:styleId="ListNumberLevel4">
    <w:name w:val="List Number (Level 4)"/>
    <w:basedOn w:val="Normal"/>
    <w:rsid w:val="00A728BA"/>
    <w:pPr>
      <w:numPr>
        <w:ilvl w:val="3"/>
        <w:numId w:val="9"/>
      </w:numPr>
    </w:pPr>
    <w:rPr>
      <w:rFonts w:eastAsia="Times New Roman"/>
      <w:lang w:eastAsia="de-DE"/>
    </w:rPr>
  </w:style>
  <w:style w:type="table" w:styleId="TableGrid">
    <w:name w:val="Table Grid"/>
    <w:basedOn w:val="TableNormal"/>
    <w:uiPriority w:val="39"/>
    <w:rsid w:val="00A728BA"/>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A728BA"/>
    <w:pPr>
      <w:numPr>
        <w:numId w:val="13"/>
      </w:numPr>
    </w:pPr>
    <w:rPr>
      <w:rFonts w:eastAsia="Times New Roman"/>
      <w:lang w:val="fr-FR" w:eastAsia="en-GB"/>
    </w:rPr>
  </w:style>
  <w:style w:type="paragraph" w:styleId="ListNumber3">
    <w:name w:val="List Number 3"/>
    <w:basedOn w:val="Normal"/>
    <w:rsid w:val="00A728BA"/>
    <w:pPr>
      <w:numPr>
        <w:numId w:val="14"/>
      </w:numPr>
    </w:pPr>
    <w:rPr>
      <w:rFonts w:eastAsia="Times New Roman"/>
      <w:lang w:val="fr-FR" w:eastAsia="en-GB"/>
    </w:rPr>
  </w:style>
  <w:style w:type="paragraph" w:styleId="ListNumber4">
    <w:name w:val="List Number 4"/>
    <w:basedOn w:val="Normal"/>
    <w:rsid w:val="00A728BA"/>
    <w:pPr>
      <w:numPr>
        <w:numId w:val="15"/>
      </w:numPr>
    </w:pPr>
    <w:rPr>
      <w:rFonts w:eastAsia="Times New Roman"/>
      <w:lang w:val="fr-FR" w:eastAsia="en-GB"/>
    </w:rPr>
  </w:style>
  <w:style w:type="paragraph" w:customStyle="1" w:styleId="ListDash3">
    <w:name w:val="List Dash 3"/>
    <w:basedOn w:val="Normal"/>
    <w:rsid w:val="00A728BA"/>
    <w:pPr>
      <w:numPr>
        <w:numId w:val="10"/>
      </w:numPr>
    </w:pPr>
    <w:rPr>
      <w:rFonts w:eastAsia="Times New Roman"/>
      <w:lang w:val="fr-FR" w:eastAsia="en-GB"/>
    </w:rPr>
  </w:style>
  <w:style w:type="paragraph" w:customStyle="1" w:styleId="ListDash4">
    <w:name w:val="List Dash 4"/>
    <w:basedOn w:val="Normal"/>
    <w:rsid w:val="00A728BA"/>
    <w:pPr>
      <w:numPr>
        <w:numId w:val="11"/>
      </w:numPr>
    </w:pPr>
    <w:rPr>
      <w:rFonts w:eastAsia="Times New Roman"/>
      <w:lang w:val="fr-FR" w:eastAsia="en-GB"/>
    </w:rPr>
  </w:style>
  <w:style w:type="paragraph" w:customStyle="1" w:styleId="ListNumber1">
    <w:name w:val="List Number 1"/>
    <w:basedOn w:val="Text1"/>
    <w:rsid w:val="00A728BA"/>
    <w:pPr>
      <w:numPr>
        <w:numId w:val="12"/>
      </w:numPr>
    </w:pPr>
    <w:rPr>
      <w:rFonts w:eastAsia="Times New Roman"/>
      <w:lang w:val="fr-FR" w:eastAsia="en-GB"/>
    </w:rPr>
  </w:style>
  <w:style w:type="paragraph" w:customStyle="1" w:styleId="ListNumber1Level2">
    <w:name w:val="List Number 1 (Level 2)"/>
    <w:basedOn w:val="Text1"/>
    <w:rsid w:val="00A728BA"/>
    <w:pPr>
      <w:numPr>
        <w:ilvl w:val="1"/>
        <w:numId w:val="12"/>
      </w:numPr>
    </w:pPr>
    <w:rPr>
      <w:rFonts w:eastAsia="Times New Roman"/>
      <w:lang w:val="fr-FR" w:eastAsia="en-GB"/>
    </w:rPr>
  </w:style>
  <w:style w:type="paragraph" w:customStyle="1" w:styleId="ListNumber2Level2">
    <w:name w:val="List Number 2 (Level 2)"/>
    <w:basedOn w:val="Text2"/>
    <w:rsid w:val="00A728BA"/>
    <w:pPr>
      <w:numPr>
        <w:ilvl w:val="1"/>
        <w:numId w:val="13"/>
      </w:numPr>
    </w:pPr>
    <w:rPr>
      <w:rFonts w:eastAsia="Times New Roman"/>
      <w:lang w:val="fr-FR" w:eastAsia="en-GB"/>
    </w:rPr>
  </w:style>
  <w:style w:type="paragraph" w:customStyle="1" w:styleId="ListNumber3Level2">
    <w:name w:val="List Number 3 (Level 2)"/>
    <w:basedOn w:val="Text3"/>
    <w:rsid w:val="00A728BA"/>
    <w:pPr>
      <w:numPr>
        <w:ilvl w:val="1"/>
        <w:numId w:val="14"/>
      </w:numPr>
    </w:pPr>
    <w:rPr>
      <w:rFonts w:eastAsia="Times New Roman"/>
      <w:lang w:val="fr-FR" w:eastAsia="en-GB"/>
    </w:rPr>
  </w:style>
  <w:style w:type="paragraph" w:customStyle="1" w:styleId="ListNumber4Level2">
    <w:name w:val="List Number 4 (Level 2)"/>
    <w:basedOn w:val="Text4"/>
    <w:rsid w:val="00A728BA"/>
    <w:pPr>
      <w:numPr>
        <w:ilvl w:val="1"/>
        <w:numId w:val="15"/>
      </w:numPr>
    </w:pPr>
    <w:rPr>
      <w:rFonts w:eastAsia="Times New Roman"/>
      <w:lang w:val="fr-FR" w:eastAsia="en-GB"/>
    </w:rPr>
  </w:style>
  <w:style w:type="paragraph" w:customStyle="1" w:styleId="ListNumber1Level3">
    <w:name w:val="List Number 1 (Level 3)"/>
    <w:basedOn w:val="Text1"/>
    <w:rsid w:val="00A728BA"/>
    <w:pPr>
      <w:numPr>
        <w:ilvl w:val="2"/>
        <w:numId w:val="12"/>
      </w:numPr>
    </w:pPr>
    <w:rPr>
      <w:rFonts w:eastAsia="Times New Roman"/>
      <w:lang w:val="fr-FR" w:eastAsia="en-GB"/>
    </w:rPr>
  </w:style>
  <w:style w:type="paragraph" w:customStyle="1" w:styleId="ListNumber2Level3">
    <w:name w:val="List Number 2 (Level 3)"/>
    <w:basedOn w:val="Text2"/>
    <w:rsid w:val="00A728BA"/>
    <w:pPr>
      <w:numPr>
        <w:ilvl w:val="2"/>
        <w:numId w:val="13"/>
      </w:numPr>
    </w:pPr>
    <w:rPr>
      <w:rFonts w:eastAsia="Times New Roman"/>
      <w:lang w:val="fr-FR" w:eastAsia="en-GB"/>
    </w:rPr>
  </w:style>
  <w:style w:type="paragraph" w:customStyle="1" w:styleId="ListNumber3Level3">
    <w:name w:val="List Number 3 (Level 3)"/>
    <w:basedOn w:val="Text3"/>
    <w:rsid w:val="00A728BA"/>
    <w:pPr>
      <w:numPr>
        <w:ilvl w:val="2"/>
        <w:numId w:val="14"/>
      </w:numPr>
    </w:pPr>
    <w:rPr>
      <w:rFonts w:eastAsia="Times New Roman"/>
      <w:lang w:val="fr-FR" w:eastAsia="en-GB"/>
    </w:rPr>
  </w:style>
  <w:style w:type="paragraph" w:customStyle="1" w:styleId="ListNumber4Level3">
    <w:name w:val="List Number 4 (Level 3)"/>
    <w:basedOn w:val="Text4"/>
    <w:rsid w:val="00A728BA"/>
    <w:pPr>
      <w:numPr>
        <w:ilvl w:val="2"/>
        <w:numId w:val="15"/>
      </w:numPr>
    </w:pPr>
    <w:rPr>
      <w:rFonts w:eastAsia="Times New Roman"/>
      <w:lang w:val="fr-FR" w:eastAsia="en-GB"/>
    </w:rPr>
  </w:style>
  <w:style w:type="paragraph" w:customStyle="1" w:styleId="ListNumber1Level4">
    <w:name w:val="List Number 1 (Level 4)"/>
    <w:basedOn w:val="Text1"/>
    <w:rsid w:val="00A728BA"/>
    <w:pPr>
      <w:numPr>
        <w:ilvl w:val="3"/>
        <w:numId w:val="12"/>
      </w:numPr>
    </w:pPr>
    <w:rPr>
      <w:rFonts w:eastAsia="Times New Roman"/>
      <w:lang w:val="fr-FR" w:eastAsia="en-GB"/>
    </w:rPr>
  </w:style>
  <w:style w:type="paragraph" w:customStyle="1" w:styleId="ListNumber2Level4">
    <w:name w:val="List Number 2 (Level 4)"/>
    <w:basedOn w:val="Text2"/>
    <w:rsid w:val="00A728BA"/>
    <w:pPr>
      <w:numPr>
        <w:ilvl w:val="3"/>
        <w:numId w:val="13"/>
      </w:numPr>
    </w:pPr>
    <w:rPr>
      <w:rFonts w:eastAsia="Times New Roman"/>
      <w:lang w:val="fr-FR" w:eastAsia="en-GB"/>
    </w:rPr>
  </w:style>
  <w:style w:type="paragraph" w:customStyle="1" w:styleId="ListNumber3Level4">
    <w:name w:val="List Number 3 (Level 4)"/>
    <w:basedOn w:val="Text3"/>
    <w:rsid w:val="00A728BA"/>
    <w:pPr>
      <w:numPr>
        <w:ilvl w:val="3"/>
        <w:numId w:val="14"/>
      </w:numPr>
    </w:pPr>
    <w:rPr>
      <w:rFonts w:eastAsia="Times New Roman"/>
      <w:lang w:val="fr-FR" w:eastAsia="en-GB"/>
    </w:rPr>
  </w:style>
  <w:style w:type="paragraph" w:customStyle="1" w:styleId="ListNumber4Level4">
    <w:name w:val="List Number 4 (Level 4)"/>
    <w:basedOn w:val="Text4"/>
    <w:rsid w:val="00A728BA"/>
    <w:pPr>
      <w:numPr>
        <w:ilvl w:val="3"/>
        <w:numId w:val="15"/>
      </w:numPr>
    </w:pPr>
    <w:rPr>
      <w:rFonts w:eastAsia="Times New Roman"/>
      <w:lang w:val="fr-FR" w:eastAsia="en-GB"/>
    </w:rPr>
  </w:style>
  <w:style w:type="paragraph" w:customStyle="1" w:styleId="Annexetitreacte">
    <w:name w:val="Annexe titre (acte)"/>
    <w:basedOn w:val="Normal"/>
    <w:next w:val="Normal"/>
    <w:rsid w:val="00A728BA"/>
    <w:pPr>
      <w:jc w:val="center"/>
    </w:pPr>
    <w:rPr>
      <w:rFonts w:eastAsia="Times New Roman"/>
      <w:b/>
      <w:u w:val="single"/>
      <w:lang w:val="fr-FR" w:eastAsia="en-GB"/>
    </w:rPr>
  </w:style>
  <w:style w:type="paragraph" w:customStyle="1" w:styleId="Annexetitreexposglobal">
    <w:name w:val="Annexe titre (exposé global)"/>
    <w:basedOn w:val="Normal"/>
    <w:next w:val="Normal"/>
    <w:rsid w:val="00A728BA"/>
    <w:pPr>
      <w:jc w:val="center"/>
    </w:pPr>
    <w:rPr>
      <w:rFonts w:eastAsia="Times New Roman"/>
      <w:b/>
      <w:u w:val="single"/>
      <w:lang w:val="fr-FR" w:eastAsia="en-GB"/>
    </w:rPr>
  </w:style>
  <w:style w:type="paragraph" w:customStyle="1" w:styleId="Annexetitrefichefinacte">
    <w:name w:val="Annexe titre (fiche fin. acte)"/>
    <w:basedOn w:val="Normal"/>
    <w:next w:val="Normal"/>
    <w:rsid w:val="00A728BA"/>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A728BA"/>
    <w:pPr>
      <w:jc w:val="center"/>
    </w:pPr>
    <w:rPr>
      <w:rFonts w:eastAsia="Times New Roman"/>
      <w:b/>
      <w:u w:val="single"/>
      <w:lang w:val="fr-FR" w:eastAsia="en-GB"/>
    </w:rPr>
  </w:style>
  <w:style w:type="paragraph" w:customStyle="1" w:styleId="Annexetitreglobale">
    <w:name w:val="Annexe titre (globale)"/>
    <w:basedOn w:val="Normal"/>
    <w:next w:val="Normal"/>
    <w:rsid w:val="00A728BA"/>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A728BA"/>
    <w:pPr>
      <w:jc w:val="center"/>
    </w:pPr>
    <w:rPr>
      <w:rFonts w:eastAsia="Times New Roman"/>
      <w:b/>
      <w:u w:val="single"/>
      <w:lang w:val="fr-FR" w:eastAsia="en-GB"/>
    </w:rPr>
  </w:style>
  <w:style w:type="paragraph" w:customStyle="1" w:styleId="Langueoriginale">
    <w:name w:val="Langue originale"/>
    <w:basedOn w:val="Normal"/>
    <w:rsid w:val="00A728BA"/>
    <w:pPr>
      <w:spacing w:before="360"/>
      <w:jc w:val="center"/>
    </w:pPr>
    <w:rPr>
      <w:rFonts w:eastAsia="Times New Roman"/>
      <w:caps/>
      <w:lang w:val="fr-FR" w:eastAsia="en-GB"/>
    </w:rPr>
  </w:style>
  <w:style w:type="paragraph" w:customStyle="1" w:styleId="Phrasefinale">
    <w:name w:val="Phrase finale"/>
    <w:basedOn w:val="Normal"/>
    <w:next w:val="Normal"/>
    <w:rsid w:val="00A728BA"/>
    <w:pPr>
      <w:spacing w:before="360" w:after="0"/>
      <w:jc w:val="center"/>
    </w:pPr>
    <w:rPr>
      <w:rFonts w:eastAsia="Times New Roman"/>
      <w:lang w:val="fr-FR" w:eastAsia="en-GB"/>
    </w:rPr>
  </w:style>
  <w:style w:type="paragraph" w:customStyle="1" w:styleId="Prliminairetitre">
    <w:name w:val="Préliminaire titre"/>
    <w:basedOn w:val="Normal"/>
    <w:next w:val="Normal"/>
    <w:rsid w:val="00A728BA"/>
    <w:pPr>
      <w:spacing w:before="360" w:after="360"/>
      <w:jc w:val="center"/>
    </w:pPr>
    <w:rPr>
      <w:rFonts w:eastAsia="Times New Roman"/>
      <w:b/>
      <w:lang w:val="fr-FR" w:eastAsia="en-GB"/>
    </w:rPr>
  </w:style>
  <w:style w:type="paragraph" w:customStyle="1" w:styleId="Prliminairetype">
    <w:name w:val="Préliminaire type"/>
    <w:basedOn w:val="Normal"/>
    <w:next w:val="Normal"/>
    <w:rsid w:val="00A728BA"/>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A728BA"/>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A728BA"/>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A728BA"/>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A728BA"/>
    <w:pPr>
      <w:spacing w:before="0" w:after="0"/>
      <w:jc w:val="center"/>
    </w:pPr>
    <w:rPr>
      <w:rFonts w:eastAsia="Times New Roman"/>
      <w:b/>
      <w:lang w:val="fr-FR" w:eastAsia="en-GB"/>
    </w:rPr>
  </w:style>
  <w:style w:type="paragraph" w:customStyle="1" w:styleId="Statutprliminaire">
    <w:name w:val="Statut (préliminaire)"/>
    <w:basedOn w:val="Normal"/>
    <w:next w:val="Normal"/>
    <w:rsid w:val="00A728BA"/>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A728BA"/>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A728BA"/>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A728BA"/>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A728BA"/>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A728BA"/>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A728BA"/>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A728BA"/>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A728BA"/>
    <w:pPr>
      <w:jc w:val="center"/>
    </w:pPr>
    <w:rPr>
      <w:rFonts w:eastAsia="Times New Roman"/>
      <w:b/>
      <w:u w:val="single"/>
      <w:lang w:val="fr-FR" w:eastAsia="en-GB"/>
    </w:rPr>
  </w:style>
  <w:style w:type="paragraph" w:styleId="Caption">
    <w:name w:val="caption"/>
    <w:basedOn w:val="Normal"/>
    <w:next w:val="Normal"/>
    <w:qFormat/>
    <w:rsid w:val="00A728BA"/>
    <w:rPr>
      <w:rFonts w:eastAsia="Times New Roman"/>
      <w:b/>
      <w:bCs/>
      <w:sz w:val="20"/>
      <w:szCs w:val="20"/>
      <w:lang w:val="fr-FR" w:eastAsia="en-GB"/>
    </w:rPr>
  </w:style>
  <w:style w:type="paragraph" w:styleId="TableofFigures">
    <w:name w:val="table of figures"/>
    <w:basedOn w:val="Normal"/>
    <w:next w:val="Normal"/>
    <w:rsid w:val="00A728BA"/>
    <w:rPr>
      <w:rFonts w:eastAsia="Times New Roman"/>
      <w:lang w:val="fr-FR" w:eastAsia="en-GB"/>
    </w:rPr>
  </w:style>
  <w:style w:type="character" w:styleId="PageNumber">
    <w:name w:val="page number"/>
    <w:rsid w:val="00A728BA"/>
  </w:style>
  <w:style w:type="character" w:customStyle="1" w:styleId="tw4winMark">
    <w:name w:val="tw4winMark"/>
    <w:rsid w:val="00A728BA"/>
    <w:rPr>
      <w:vanish/>
      <w:color w:val="800080"/>
      <w:vertAlign w:val="subscript"/>
    </w:rPr>
  </w:style>
  <w:style w:type="paragraph" w:customStyle="1" w:styleId="Sous-titreobjet">
    <w:name w:val="Sous-titre objet"/>
    <w:basedOn w:val="Normal"/>
    <w:rsid w:val="00A728BA"/>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A728BA"/>
  </w:style>
  <w:style w:type="paragraph" w:customStyle="1" w:styleId="FooterCoverPage">
    <w:name w:val="Footer Cover Page"/>
    <w:basedOn w:val="Normal"/>
    <w:link w:val="FooterCoverPageChar"/>
    <w:rsid w:val="00A728BA"/>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A728BA"/>
    <w:rPr>
      <w:rFonts w:ascii="Times New Roman" w:hAnsi="Times New Roman" w:cs="Times New Roman"/>
      <w:b/>
      <w:sz w:val="28"/>
      <w:lang w:val="en-GB"/>
    </w:rPr>
  </w:style>
  <w:style w:type="character" w:customStyle="1" w:styleId="FooterCoverPageChar">
    <w:name w:val="Footer Cover Page Char"/>
    <w:link w:val="FooterCoverPage"/>
    <w:rsid w:val="00A728BA"/>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A728BA"/>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A728BA"/>
    <w:rPr>
      <w:rFonts w:ascii="Times New Roman" w:eastAsia="Calibri" w:hAnsi="Times New Roman" w:cs="Times New Roman"/>
      <w:sz w:val="24"/>
      <w:lang w:val="en-GB" w:eastAsia="en-GB"/>
    </w:rPr>
  </w:style>
  <w:style w:type="paragraph" w:customStyle="1" w:styleId="Numpar">
    <w:name w:val="Num par"/>
    <w:basedOn w:val="Point0number"/>
    <w:rsid w:val="00C9325C"/>
    <w:rPr>
      <w:lang w:eastAsia="en-GB"/>
    </w:rPr>
  </w:style>
  <w:style w:type="paragraph" w:styleId="Header">
    <w:name w:val="header"/>
    <w:basedOn w:val="Normal"/>
    <w:link w:val="HeaderChar"/>
    <w:uiPriority w:val="99"/>
    <w:unhideWhenUsed/>
    <w:rsid w:val="00E45D24"/>
    <w:pPr>
      <w:tabs>
        <w:tab w:val="center" w:pos="4535"/>
        <w:tab w:val="right" w:pos="9071"/>
      </w:tabs>
      <w:spacing w:before="0"/>
    </w:pPr>
  </w:style>
  <w:style w:type="character" w:customStyle="1" w:styleId="HeaderChar">
    <w:name w:val="Header Char"/>
    <w:basedOn w:val="DefaultParagraphFont"/>
    <w:link w:val="Header"/>
    <w:uiPriority w:val="99"/>
    <w:rsid w:val="00E45D24"/>
    <w:rPr>
      <w:rFonts w:ascii="Times New Roman" w:hAnsi="Times New Roman" w:cs="Times New Roman"/>
      <w:sz w:val="24"/>
      <w:lang w:val="en-GB"/>
    </w:rPr>
  </w:style>
  <w:style w:type="paragraph" w:styleId="Footer">
    <w:name w:val="footer"/>
    <w:basedOn w:val="Normal"/>
    <w:link w:val="FooterChar"/>
    <w:uiPriority w:val="99"/>
    <w:unhideWhenUsed/>
    <w:rsid w:val="00E45D2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45D24"/>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E45D24"/>
    <w:pPr>
      <w:tabs>
        <w:tab w:val="center" w:pos="7285"/>
        <w:tab w:val="right" w:pos="14003"/>
      </w:tabs>
      <w:spacing w:before="0"/>
    </w:pPr>
  </w:style>
  <w:style w:type="paragraph" w:customStyle="1" w:styleId="FooterLandscape">
    <w:name w:val="FooterLandscape"/>
    <w:basedOn w:val="Normal"/>
    <w:rsid w:val="00E45D2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E45D2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45D24"/>
    <w:pPr>
      <w:spacing w:before="0"/>
      <w:jc w:val="right"/>
    </w:pPr>
    <w:rPr>
      <w:sz w:val="28"/>
    </w:rPr>
  </w:style>
  <w:style w:type="paragraph" w:customStyle="1" w:styleId="FooterSensitivity">
    <w:name w:val="Footer Sensitivity"/>
    <w:basedOn w:val="Normal"/>
    <w:rsid w:val="00E45D2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58"/>
      </w:numPr>
    </w:pPr>
  </w:style>
  <w:style w:type="paragraph" w:customStyle="1" w:styleId="Tiret1">
    <w:name w:val="Tiret 1"/>
    <w:basedOn w:val="Point1"/>
    <w:rsid w:val="009B7138"/>
    <w:pPr>
      <w:numPr>
        <w:numId w:val="59"/>
      </w:numPr>
    </w:pPr>
  </w:style>
  <w:style w:type="paragraph" w:customStyle="1" w:styleId="Tiret2">
    <w:name w:val="Tiret 2"/>
    <w:basedOn w:val="Point2"/>
    <w:rsid w:val="009B7138"/>
    <w:pPr>
      <w:numPr>
        <w:numId w:val="60"/>
      </w:numPr>
    </w:pPr>
  </w:style>
  <w:style w:type="paragraph" w:customStyle="1" w:styleId="Tiret3">
    <w:name w:val="Tiret 3"/>
    <w:basedOn w:val="Point3"/>
    <w:rsid w:val="009B7138"/>
    <w:pPr>
      <w:numPr>
        <w:numId w:val="61"/>
      </w:numPr>
    </w:pPr>
  </w:style>
  <w:style w:type="paragraph" w:customStyle="1" w:styleId="Tiret4">
    <w:name w:val="Tiret 4"/>
    <w:basedOn w:val="Point4"/>
    <w:rsid w:val="009B7138"/>
    <w:pPr>
      <w:numPr>
        <w:numId w:val="62"/>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78"/>
      </w:numPr>
    </w:pPr>
  </w:style>
  <w:style w:type="paragraph" w:customStyle="1" w:styleId="NumPar2">
    <w:name w:val="NumPar 2"/>
    <w:basedOn w:val="Normal"/>
    <w:next w:val="Text1"/>
    <w:rsid w:val="009B7138"/>
    <w:pPr>
      <w:numPr>
        <w:ilvl w:val="1"/>
        <w:numId w:val="78"/>
      </w:numPr>
    </w:pPr>
  </w:style>
  <w:style w:type="paragraph" w:customStyle="1" w:styleId="NumPar3">
    <w:name w:val="NumPar 3"/>
    <w:basedOn w:val="Normal"/>
    <w:next w:val="Text1"/>
    <w:rsid w:val="009B7138"/>
    <w:pPr>
      <w:numPr>
        <w:ilvl w:val="2"/>
        <w:numId w:val="78"/>
      </w:numPr>
    </w:pPr>
  </w:style>
  <w:style w:type="paragraph" w:customStyle="1" w:styleId="NumPar4">
    <w:name w:val="NumPar 4"/>
    <w:basedOn w:val="Normal"/>
    <w:next w:val="Text1"/>
    <w:rsid w:val="009B7138"/>
    <w:pPr>
      <w:numPr>
        <w:ilvl w:val="3"/>
        <w:numId w:val="7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65"/>
      </w:numPr>
    </w:pPr>
  </w:style>
  <w:style w:type="paragraph" w:customStyle="1" w:styleId="Point1number">
    <w:name w:val="Point 1 (number)"/>
    <w:basedOn w:val="Normal"/>
    <w:rsid w:val="009B7138"/>
    <w:pPr>
      <w:numPr>
        <w:ilvl w:val="2"/>
        <w:numId w:val="65"/>
      </w:numPr>
    </w:pPr>
  </w:style>
  <w:style w:type="paragraph" w:customStyle="1" w:styleId="Point2number">
    <w:name w:val="Point 2 (number)"/>
    <w:basedOn w:val="Normal"/>
    <w:rsid w:val="009B7138"/>
    <w:pPr>
      <w:numPr>
        <w:ilvl w:val="4"/>
        <w:numId w:val="65"/>
      </w:numPr>
    </w:pPr>
  </w:style>
  <w:style w:type="paragraph" w:customStyle="1" w:styleId="Point3number">
    <w:name w:val="Point 3 (number)"/>
    <w:basedOn w:val="Normal"/>
    <w:rsid w:val="009B7138"/>
    <w:pPr>
      <w:numPr>
        <w:ilvl w:val="6"/>
        <w:numId w:val="65"/>
      </w:numPr>
    </w:pPr>
  </w:style>
  <w:style w:type="paragraph" w:customStyle="1" w:styleId="Point0letter">
    <w:name w:val="Point 0 (letter)"/>
    <w:basedOn w:val="Normal"/>
    <w:rsid w:val="009B7138"/>
    <w:pPr>
      <w:numPr>
        <w:ilvl w:val="1"/>
        <w:numId w:val="65"/>
      </w:numPr>
    </w:pPr>
  </w:style>
  <w:style w:type="paragraph" w:customStyle="1" w:styleId="Point1letter">
    <w:name w:val="Point 1 (letter)"/>
    <w:basedOn w:val="Normal"/>
    <w:rsid w:val="009B7138"/>
    <w:pPr>
      <w:numPr>
        <w:ilvl w:val="3"/>
        <w:numId w:val="65"/>
      </w:numPr>
    </w:pPr>
  </w:style>
  <w:style w:type="paragraph" w:customStyle="1" w:styleId="Point2letter">
    <w:name w:val="Point 2 (letter)"/>
    <w:basedOn w:val="Normal"/>
    <w:rsid w:val="009B7138"/>
    <w:pPr>
      <w:numPr>
        <w:ilvl w:val="5"/>
        <w:numId w:val="65"/>
      </w:numPr>
    </w:pPr>
  </w:style>
  <w:style w:type="paragraph" w:customStyle="1" w:styleId="Point3letter">
    <w:name w:val="Point 3 (letter)"/>
    <w:basedOn w:val="Normal"/>
    <w:rsid w:val="009B7138"/>
    <w:pPr>
      <w:numPr>
        <w:ilvl w:val="7"/>
        <w:numId w:val="65"/>
      </w:numPr>
    </w:pPr>
  </w:style>
  <w:style w:type="paragraph" w:customStyle="1" w:styleId="Point4letter">
    <w:name w:val="Point 4 (letter)"/>
    <w:basedOn w:val="Normal"/>
    <w:rsid w:val="009B7138"/>
    <w:pPr>
      <w:numPr>
        <w:ilvl w:val="8"/>
        <w:numId w:val="65"/>
      </w:numPr>
    </w:pPr>
  </w:style>
  <w:style w:type="paragraph" w:customStyle="1" w:styleId="Bullet0">
    <w:name w:val="Bullet 0"/>
    <w:basedOn w:val="Normal"/>
    <w:rsid w:val="009B7138"/>
    <w:pPr>
      <w:numPr>
        <w:numId w:val="66"/>
      </w:numPr>
    </w:pPr>
  </w:style>
  <w:style w:type="paragraph" w:customStyle="1" w:styleId="Bullet1">
    <w:name w:val="Bullet 1"/>
    <w:basedOn w:val="Normal"/>
    <w:rsid w:val="009B7138"/>
    <w:pPr>
      <w:numPr>
        <w:numId w:val="67"/>
      </w:numPr>
    </w:pPr>
  </w:style>
  <w:style w:type="paragraph" w:customStyle="1" w:styleId="Bullet2">
    <w:name w:val="Bullet 2"/>
    <w:basedOn w:val="Normal"/>
    <w:rsid w:val="009B7138"/>
    <w:pPr>
      <w:numPr>
        <w:numId w:val="68"/>
      </w:numPr>
    </w:pPr>
  </w:style>
  <w:style w:type="paragraph" w:customStyle="1" w:styleId="Bullet3">
    <w:name w:val="Bullet 3"/>
    <w:basedOn w:val="Normal"/>
    <w:rsid w:val="009B7138"/>
    <w:pPr>
      <w:numPr>
        <w:numId w:val="69"/>
      </w:numPr>
    </w:pPr>
  </w:style>
  <w:style w:type="paragraph" w:customStyle="1" w:styleId="Bullet4">
    <w:name w:val="Bullet 4"/>
    <w:basedOn w:val="Normal"/>
    <w:rsid w:val="009B7138"/>
    <w:pPr>
      <w:numPr>
        <w:numId w:val="70"/>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71"/>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C93450"/>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C93450"/>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C93450"/>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C93450"/>
    <w:pPr>
      <w:keepNext/>
      <w:tabs>
        <w:tab w:val="left" w:pos="1417"/>
      </w:tabs>
      <w:ind w:left="1417" w:hanging="1417"/>
      <w:outlineLvl w:val="4"/>
    </w:pPr>
  </w:style>
  <w:style w:type="paragraph" w:customStyle="1" w:styleId="ManualHeading6">
    <w:name w:val="Manual Heading 6"/>
    <w:basedOn w:val="Normal"/>
    <w:next w:val="Text2"/>
    <w:rsid w:val="00C93450"/>
    <w:pPr>
      <w:keepNext/>
      <w:tabs>
        <w:tab w:val="left" w:pos="1417"/>
      </w:tabs>
      <w:ind w:left="1417" w:hanging="1417"/>
      <w:outlineLvl w:val="5"/>
    </w:pPr>
  </w:style>
  <w:style w:type="paragraph" w:customStyle="1" w:styleId="ManualHeading7">
    <w:name w:val="Manual Heading 7"/>
    <w:basedOn w:val="Normal"/>
    <w:next w:val="Text2"/>
    <w:rsid w:val="00C93450"/>
    <w:pPr>
      <w:keepNext/>
      <w:tabs>
        <w:tab w:val="left" w:pos="1417"/>
      </w:tabs>
      <w:ind w:left="1417" w:hanging="1417"/>
      <w:outlineLvl w:val="6"/>
    </w:pPr>
  </w:style>
  <w:style w:type="paragraph" w:customStyle="1" w:styleId="Text5">
    <w:name w:val="Text 5"/>
    <w:basedOn w:val="Normal"/>
    <w:rsid w:val="00C93450"/>
    <w:pPr>
      <w:ind w:left="3118"/>
    </w:pPr>
  </w:style>
  <w:style w:type="paragraph" w:customStyle="1" w:styleId="Text6">
    <w:name w:val="Text 6"/>
    <w:basedOn w:val="Normal"/>
    <w:rsid w:val="00C93450"/>
    <w:pPr>
      <w:ind w:left="3685"/>
    </w:pPr>
  </w:style>
  <w:style w:type="paragraph" w:customStyle="1" w:styleId="Point5">
    <w:name w:val="Point 5"/>
    <w:basedOn w:val="Normal"/>
    <w:rsid w:val="00C93450"/>
    <w:pPr>
      <w:ind w:left="3685" w:hanging="567"/>
    </w:pPr>
  </w:style>
  <w:style w:type="paragraph" w:customStyle="1" w:styleId="Tiret5">
    <w:name w:val="Tiret 5"/>
    <w:basedOn w:val="Point5"/>
    <w:rsid w:val="00C93450"/>
    <w:pPr>
      <w:numPr>
        <w:numId w:val="75"/>
      </w:numPr>
    </w:pPr>
  </w:style>
  <w:style w:type="paragraph" w:customStyle="1" w:styleId="NumPar5">
    <w:name w:val="NumPar 5"/>
    <w:basedOn w:val="Normal"/>
    <w:next w:val="Text2"/>
    <w:rsid w:val="00C93450"/>
    <w:pPr>
      <w:numPr>
        <w:ilvl w:val="4"/>
        <w:numId w:val="78"/>
      </w:numPr>
    </w:pPr>
  </w:style>
  <w:style w:type="paragraph" w:customStyle="1" w:styleId="NumPar6">
    <w:name w:val="NumPar 6"/>
    <w:basedOn w:val="Normal"/>
    <w:next w:val="Text2"/>
    <w:rsid w:val="00C93450"/>
    <w:pPr>
      <w:numPr>
        <w:ilvl w:val="5"/>
        <w:numId w:val="78"/>
      </w:numPr>
    </w:pPr>
  </w:style>
  <w:style w:type="paragraph" w:customStyle="1" w:styleId="NumPar7">
    <w:name w:val="NumPar 7"/>
    <w:basedOn w:val="Normal"/>
    <w:next w:val="Text2"/>
    <w:rsid w:val="00C93450"/>
    <w:pPr>
      <w:numPr>
        <w:ilvl w:val="6"/>
        <w:numId w:val="78"/>
      </w:numPr>
    </w:pPr>
  </w:style>
  <w:style w:type="paragraph" w:customStyle="1" w:styleId="ManualNumPar5">
    <w:name w:val="Manual NumPar 5"/>
    <w:basedOn w:val="Normal"/>
    <w:next w:val="Text2"/>
    <w:rsid w:val="00C93450"/>
    <w:pPr>
      <w:ind w:left="1417" w:hanging="1417"/>
    </w:pPr>
  </w:style>
  <w:style w:type="paragraph" w:customStyle="1" w:styleId="ManualNumPar6">
    <w:name w:val="Manual NumPar 6"/>
    <w:basedOn w:val="Normal"/>
    <w:next w:val="Text2"/>
    <w:rsid w:val="00C93450"/>
    <w:pPr>
      <w:ind w:left="1417" w:hanging="1417"/>
    </w:pPr>
  </w:style>
  <w:style w:type="paragraph" w:customStyle="1" w:styleId="ManualNumPar7">
    <w:name w:val="Manual NumPar 7"/>
    <w:basedOn w:val="Normal"/>
    <w:next w:val="Text2"/>
    <w:rsid w:val="00C93450"/>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5286">
      <w:bodyDiv w:val="1"/>
      <w:marLeft w:val="0"/>
      <w:marRight w:val="0"/>
      <w:marTop w:val="0"/>
      <w:marBottom w:val="0"/>
      <w:divBdr>
        <w:top w:val="none" w:sz="0" w:space="0" w:color="auto"/>
        <w:left w:val="none" w:sz="0" w:space="0" w:color="auto"/>
        <w:bottom w:val="none" w:sz="0" w:space="0" w:color="auto"/>
        <w:right w:val="none" w:sz="0" w:space="0" w:color="auto"/>
      </w:divBdr>
    </w:div>
    <w:div w:id="331950287">
      <w:bodyDiv w:val="1"/>
      <w:marLeft w:val="0"/>
      <w:marRight w:val="0"/>
      <w:marTop w:val="0"/>
      <w:marBottom w:val="0"/>
      <w:divBdr>
        <w:top w:val="none" w:sz="0" w:space="0" w:color="auto"/>
        <w:left w:val="none" w:sz="0" w:space="0" w:color="auto"/>
        <w:bottom w:val="none" w:sz="0" w:space="0" w:color="auto"/>
        <w:right w:val="none" w:sz="0" w:space="0" w:color="auto"/>
      </w:divBdr>
    </w:div>
    <w:div w:id="332883174">
      <w:bodyDiv w:val="1"/>
      <w:marLeft w:val="0"/>
      <w:marRight w:val="0"/>
      <w:marTop w:val="0"/>
      <w:marBottom w:val="0"/>
      <w:divBdr>
        <w:top w:val="none" w:sz="0" w:space="0" w:color="auto"/>
        <w:left w:val="none" w:sz="0" w:space="0" w:color="auto"/>
        <w:bottom w:val="none" w:sz="0" w:space="0" w:color="auto"/>
        <w:right w:val="none" w:sz="0" w:space="0" w:color="auto"/>
      </w:divBdr>
    </w:div>
    <w:div w:id="476991786">
      <w:bodyDiv w:val="1"/>
      <w:marLeft w:val="0"/>
      <w:marRight w:val="0"/>
      <w:marTop w:val="0"/>
      <w:marBottom w:val="0"/>
      <w:divBdr>
        <w:top w:val="none" w:sz="0" w:space="0" w:color="auto"/>
        <w:left w:val="none" w:sz="0" w:space="0" w:color="auto"/>
        <w:bottom w:val="none" w:sz="0" w:space="0" w:color="auto"/>
        <w:right w:val="none" w:sz="0" w:space="0" w:color="auto"/>
      </w:divBdr>
    </w:div>
    <w:div w:id="526649154">
      <w:bodyDiv w:val="1"/>
      <w:marLeft w:val="0"/>
      <w:marRight w:val="0"/>
      <w:marTop w:val="0"/>
      <w:marBottom w:val="0"/>
      <w:divBdr>
        <w:top w:val="none" w:sz="0" w:space="0" w:color="auto"/>
        <w:left w:val="none" w:sz="0" w:space="0" w:color="auto"/>
        <w:bottom w:val="none" w:sz="0" w:space="0" w:color="auto"/>
        <w:right w:val="none" w:sz="0" w:space="0" w:color="auto"/>
      </w:divBdr>
    </w:div>
    <w:div w:id="611791434">
      <w:bodyDiv w:val="1"/>
      <w:marLeft w:val="0"/>
      <w:marRight w:val="0"/>
      <w:marTop w:val="0"/>
      <w:marBottom w:val="0"/>
      <w:divBdr>
        <w:top w:val="none" w:sz="0" w:space="0" w:color="auto"/>
        <w:left w:val="none" w:sz="0" w:space="0" w:color="auto"/>
        <w:bottom w:val="none" w:sz="0" w:space="0" w:color="auto"/>
        <w:right w:val="none" w:sz="0" w:space="0" w:color="auto"/>
      </w:divBdr>
    </w:div>
    <w:div w:id="644893055">
      <w:bodyDiv w:val="1"/>
      <w:marLeft w:val="0"/>
      <w:marRight w:val="0"/>
      <w:marTop w:val="0"/>
      <w:marBottom w:val="0"/>
      <w:divBdr>
        <w:top w:val="none" w:sz="0" w:space="0" w:color="auto"/>
        <w:left w:val="none" w:sz="0" w:space="0" w:color="auto"/>
        <w:bottom w:val="none" w:sz="0" w:space="0" w:color="auto"/>
        <w:right w:val="none" w:sz="0" w:space="0" w:color="auto"/>
      </w:divBdr>
    </w:div>
    <w:div w:id="649024096">
      <w:bodyDiv w:val="1"/>
      <w:marLeft w:val="0"/>
      <w:marRight w:val="0"/>
      <w:marTop w:val="0"/>
      <w:marBottom w:val="0"/>
      <w:divBdr>
        <w:top w:val="none" w:sz="0" w:space="0" w:color="auto"/>
        <w:left w:val="none" w:sz="0" w:space="0" w:color="auto"/>
        <w:bottom w:val="none" w:sz="0" w:space="0" w:color="auto"/>
        <w:right w:val="none" w:sz="0" w:space="0" w:color="auto"/>
      </w:divBdr>
    </w:div>
    <w:div w:id="653219887">
      <w:bodyDiv w:val="1"/>
      <w:marLeft w:val="0"/>
      <w:marRight w:val="0"/>
      <w:marTop w:val="0"/>
      <w:marBottom w:val="0"/>
      <w:divBdr>
        <w:top w:val="none" w:sz="0" w:space="0" w:color="auto"/>
        <w:left w:val="none" w:sz="0" w:space="0" w:color="auto"/>
        <w:bottom w:val="none" w:sz="0" w:space="0" w:color="auto"/>
        <w:right w:val="none" w:sz="0" w:space="0" w:color="auto"/>
      </w:divBdr>
    </w:div>
    <w:div w:id="823592076">
      <w:bodyDiv w:val="1"/>
      <w:marLeft w:val="0"/>
      <w:marRight w:val="0"/>
      <w:marTop w:val="0"/>
      <w:marBottom w:val="0"/>
      <w:divBdr>
        <w:top w:val="none" w:sz="0" w:space="0" w:color="auto"/>
        <w:left w:val="none" w:sz="0" w:space="0" w:color="auto"/>
        <w:bottom w:val="none" w:sz="0" w:space="0" w:color="auto"/>
        <w:right w:val="none" w:sz="0" w:space="0" w:color="auto"/>
      </w:divBdr>
    </w:div>
    <w:div w:id="893393498">
      <w:bodyDiv w:val="1"/>
      <w:marLeft w:val="0"/>
      <w:marRight w:val="0"/>
      <w:marTop w:val="0"/>
      <w:marBottom w:val="0"/>
      <w:divBdr>
        <w:top w:val="none" w:sz="0" w:space="0" w:color="auto"/>
        <w:left w:val="none" w:sz="0" w:space="0" w:color="auto"/>
        <w:bottom w:val="none" w:sz="0" w:space="0" w:color="auto"/>
        <w:right w:val="none" w:sz="0" w:space="0" w:color="auto"/>
      </w:divBdr>
    </w:div>
    <w:div w:id="1130636561">
      <w:bodyDiv w:val="1"/>
      <w:marLeft w:val="0"/>
      <w:marRight w:val="0"/>
      <w:marTop w:val="0"/>
      <w:marBottom w:val="0"/>
      <w:divBdr>
        <w:top w:val="none" w:sz="0" w:space="0" w:color="auto"/>
        <w:left w:val="none" w:sz="0" w:space="0" w:color="auto"/>
        <w:bottom w:val="none" w:sz="0" w:space="0" w:color="auto"/>
        <w:right w:val="none" w:sz="0" w:space="0" w:color="auto"/>
      </w:divBdr>
    </w:div>
    <w:div w:id="1570187173">
      <w:bodyDiv w:val="1"/>
      <w:marLeft w:val="0"/>
      <w:marRight w:val="0"/>
      <w:marTop w:val="0"/>
      <w:marBottom w:val="0"/>
      <w:divBdr>
        <w:top w:val="none" w:sz="0" w:space="0" w:color="auto"/>
        <w:left w:val="none" w:sz="0" w:space="0" w:color="auto"/>
        <w:bottom w:val="none" w:sz="0" w:space="0" w:color="auto"/>
        <w:right w:val="none" w:sz="0" w:space="0" w:color="auto"/>
      </w:divBdr>
    </w:div>
    <w:div w:id="1624992377">
      <w:bodyDiv w:val="1"/>
      <w:marLeft w:val="0"/>
      <w:marRight w:val="0"/>
      <w:marTop w:val="0"/>
      <w:marBottom w:val="0"/>
      <w:divBdr>
        <w:top w:val="none" w:sz="0" w:space="0" w:color="auto"/>
        <w:left w:val="none" w:sz="0" w:space="0" w:color="auto"/>
        <w:bottom w:val="none" w:sz="0" w:space="0" w:color="auto"/>
        <w:right w:val="none" w:sz="0" w:space="0" w:color="auto"/>
      </w:divBdr>
    </w:div>
    <w:div w:id="1670211163">
      <w:bodyDiv w:val="1"/>
      <w:marLeft w:val="0"/>
      <w:marRight w:val="0"/>
      <w:marTop w:val="0"/>
      <w:marBottom w:val="0"/>
      <w:divBdr>
        <w:top w:val="none" w:sz="0" w:space="0" w:color="auto"/>
        <w:left w:val="none" w:sz="0" w:space="0" w:color="auto"/>
        <w:bottom w:val="none" w:sz="0" w:space="0" w:color="auto"/>
        <w:right w:val="none" w:sz="0" w:space="0" w:color="auto"/>
      </w:divBdr>
    </w:div>
    <w:div w:id="1740983780">
      <w:bodyDiv w:val="1"/>
      <w:marLeft w:val="0"/>
      <w:marRight w:val="0"/>
      <w:marTop w:val="0"/>
      <w:marBottom w:val="0"/>
      <w:divBdr>
        <w:top w:val="none" w:sz="0" w:space="0" w:color="auto"/>
        <w:left w:val="none" w:sz="0" w:space="0" w:color="auto"/>
        <w:bottom w:val="none" w:sz="0" w:space="0" w:color="auto"/>
        <w:right w:val="none" w:sz="0" w:space="0" w:color="auto"/>
      </w:divBdr>
    </w:div>
    <w:div w:id="1867209817">
      <w:bodyDiv w:val="1"/>
      <w:marLeft w:val="0"/>
      <w:marRight w:val="0"/>
      <w:marTop w:val="0"/>
      <w:marBottom w:val="0"/>
      <w:divBdr>
        <w:top w:val="none" w:sz="0" w:space="0" w:color="auto"/>
        <w:left w:val="none" w:sz="0" w:space="0" w:color="auto"/>
        <w:bottom w:val="none" w:sz="0" w:space="0" w:color="auto"/>
        <w:right w:val="none" w:sz="0" w:space="0" w:color="auto"/>
      </w:divBdr>
    </w:div>
    <w:div w:id="2092849895">
      <w:bodyDiv w:val="1"/>
      <w:marLeft w:val="0"/>
      <w:marRight w:val="0"/>
      <w:marTop w:val="0"/>
      <w:marBottom w:val="0"/>
      <w:divBdr>
        <w:top w:val="none" w:sz="0" w:space="0" w:color="auto"/>
        <w:left w:val="none" w:sz="0" w:space="0" w:color="auto"/>
        <w:bottom w:val="none" w:sz="0" w:space="0" w:color="auto"/>
        <w:right w:val="none" w:sz="0" w:space="0" w:color="auto"/>
      </w:divBdr>
    </w:div>
    <w:div w:id="209342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pean-union/sites/default/files/docs/body/joint_statement_and_common_approach_2012_en.pdf" TargetMode="External"/><Relationship Id="rId2" Type="http://schemas.openxmlformats.org/officeDocument/2006/relationships/hyperlink" Target="https://op.europa.eu/en/publication-detail/-/publication/e38795b5-f633-11ea-991b-01aa75ed71a1/language-en" TargetMode="External"/><Relationship Id="rId1" Type="http://schemas.openxmlformats.org/officeDocument/2006/relationships/hyperlink" Target="https://op.europa.eu/en/publication-detail/-/publication/e38795b5-f633-11ea-991b-01aa75ed71a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BA651337B45042BEEAF7CB51107EA1" ma:contentTypeVersion="0" ma:contentTypeDescription="Create a new document." ma:contentTypeScope="" ma:versionID="08aece385fef9cd7c280fa6747578771">
  <xsd:schema xmlns:xsd="http://www.w3.org/2001/XMLSchema" xmlns:xs="http://www.w3.org/2001/XMLSchema" xmlns:p="http://schemas.microsoft.com/office/2006/metadata/properties" targetNamespace="http://schemas.microsoft.com/office/2006/metadata/properties" ma:root="true" ma:fieldsID="944a80ad9ab26509bbfd677365c9b9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FCAECBF-25C7-402A-8EA2-64CE79CF59F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2FB34529-5847-4F8E-8F83-8ACC3B6891D2}">
  <ds:schemaRefs>
    <ds:schemaRef ds:uri="http://schemas.microsoft.com/sharepoint/v3/contenttype/forms"/>
  </ds:schemaRefs>
</ds:datastoreItem>
</file>

<file path=customXml/itemProps3.xml><?xml version="1.0" encoding="utf-8"?>
<ds:datastoreItem xmlns:ds="http://schemas.openxmlformats.org/officeDocument/2006/customXml" ds:itemID="{17307120-8C85-427D-B908-F3541975F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952F3B-B6F3-4417-9F69-E63EB9C9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58</Pages>
  <Words>18700</Words>
  <Characters>104535</Characters>
  <Application>Microsoft Office Word</Application>
  <DocSecurity>0</DocSecurity>
  <Lines>3074</Lines>
  <Paragraphs>1521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dcterms:created xsi:type="dcterms:W3CDTF">2021-11-26T13:15:00Z</dcterms:created>
  <dcterms:modified xsi:type="dcterms:W3CDTF">2021-11-30T12:00:00Z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IsMyDocuments">
    <vt:bool>true</vt:bool>
  </property>
  <property fmtid="{D5CDD505-2E9C-101B-9397-08002B2CF9AE}" pid="11" name="ContentTypeId">
    <vt:lpwstr>0x01010005BA651337B45042BEEAF7CB51107EA1</vt:lpwstr>
  </property>
  <property fmtid="{D5CDD505-2E9C-101B-9397-08002B2CF9AE}" pid="12" name="DQCStatus">
    <vt:lpwstr>Yellow (DQC version 03)</vt:lpwstr>
  </property>
</Properties>
</file>