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122AE" w14:textId="0938A730" w:rsidR="00CB25DF" w:rsidRDefault="00382F74" w:rsidP="00382F74">
      <w:pPr>
        <w:pStyle w:val="Pagedecouverture"/>
        <w:rPr>
          <w:noProof/>
        </w:rPr>
      </w:pPr>
      <w:r>
        <w:rPr>
          <w:noProof/>
        </w:rPr>
        <w:pict w14:anchorId="07202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28240BF-9365-488A-A370-DFB67A931F33" style="width:455.25pt;height:369.75pt">
            <v:imagedata r:id="rId8" o:title=""/>
          </v:shape>
        </w:pict>
      </w:r>
    </w:p>
    <w:p w14:paraId="0BCC282F" w14:textId="77777777" w:rsidR="00CB25DF" w:rsidRDefault="00CB25DF" w:rsidP="00CB25DF">
      <w:pPr>
        <w:rPr>
          <w:noProof/>
        </w:rPr>
        <w:sectPr w:rsidR="00CB25DF" w:rsidSect="00382F74">
          <w:footerReference w:type="default" r:id="rId9"/>
          <w:pgSz w:w="11907" w:h="16839"/>
          <w:pgMar w:top="1134" w:right="1417" w:bottom="1134" w:left="1417" w:header="709" w:footer="709" w:gutter="0"/>
          <w:pgNumType w:start="0"/>
          <w:cols w:space="720"/>
          <w:docGrid w:linePitch="360"/>
        </w:sectPr>
      </w:pPr>
    </w:p>
    <w:p w14:paraId="322E44AE" w14:textId="77777777" w:rsidR="00CB25DF" w:rsidRPr="009C16AD" w:rsidRDefault="00CB25DF" w:rsidP="00CA39FE">
      <w:pPr>
        <w:pStyle w:val="Exposdesmotifstitre"/>
        <w:rPr>
          <w:noProof/>
        </w:rPr>
      </w:pPr>
      <w:bookmarkStart w:id="0" w:name="_GoBack"/>
      <w:bookmarkEnd w:id="0"/>
      <w:r w:rsidRPr="009C16AD">
        <w:rPr>
          <w:noProof/>
        </w:rPr>
        <w:lastRenderedPageBreak/>
        <w:t>DŮVODOVÁ ZPRÁVA</w:t>
      </w:r>
    </w:p>
    <w:p w14:paraId="6F37EA2D" w14:textId="2BAA6754" w:rsidR="00A93B59" w:rsidRDefault="00A93B59" w:rsidP="005D7D8A">
      <w:pPr>
        <w:pStyle w:val="Point0"/>
        <w:rPr>
          <w:noProof/>
          <w:lang w:eastAsia="zh-CN"/>
        </w:rPr>
      </w:pPr>
      <w:r w:rsidRPr="00552A55">
        <w:rPr>
          <w:noProof/>
          <w:lang w:eastAsia="zh-CN"/>
        </w:rPr>
        <w:t>1.</w:t>
      </w:r>
      <w:r w:rsidRPr="00552A55">
        <w:rPr>
          <w:noProof/>
          <w:lang w:eastAsia="zh-CN"/>
        </w:rPr>
        <w:tab/>
        <w:t>V souvislosti s konceptem „Evropa občanů“ přikládá Komise značnou důležitost zjednodušení a přehlednějšímu uspořádání práva</w:t>
      </w:r>
      <w:r w:rsidRPr="00B37522">
        <w:rPr>
          <w:noProof/>
        </w:rPr>
        <w:t xml:space="preserve"> </w:t>
      </w:r>
      <w:r w:rsidRPr="00B37522">
        <w:rPr>
          <w:noProof/>
          <w:lang w:eastAsia="zh-CN"/>
        </w:rPr>
        <w:t>Unie</w:t>
      </w:r>
      <w:r w:rsidRPr="00552A55">
        <w:rPr>
          <w:noProof/>
          <w:lang w:eastAsia="zh-CN"/>
        </w:rPr>
        <w:t>, aby se stalo srozumitelnějším a přístupnějším pro občan</w:t>
      </w:r>
      <w:r>
        <w:rPr>
          <w:noProof/>
          <w:lang w:eastAsia="zh-CN"/>
        </w:rPr>
        <w:t>y</w:t>
      </w:r>
      <w:r w:rsidRPr="00552A55">
        <w:rPr>
          <w:noProof/>
          <w:lang w:eastAsia="zh-CN"/>
        </w:rPr>
        <w:t xml:space="preserve">, </w:t>
      </w:r>
      <w:r>
        <w:rPr>
          <w:noProof/>
          <w:lang w:eastAsia="zh-CN"/>
        </w:rPr>
        <w:t xml:space="preserve">a ti </w:t>
      </w:r>
      <w:r w:rsidRPr="00552A55">
        <w:rPr>
          <w:noProof/>
          <w:lang w:eastAsia="zh-CN"/>
        </w:rPr>
        <w:t>pak m</w:t>
      </w:r>
      <w:r>
        <w:rPr>
          <w:noProof/>
          <w:lang w:eastAsia="zh-CN"/>
        </w:rPr>
        <w:t>ohou</w:t>
      </w:r>
      <w:r w:rsidRPr="00552A55">
        <w:rPr>
          <w:noProof/>
          <w:lang w:eastAsia="zh-CN"/>
        </w:rPr>
        <w:t xml:space="preserve"> lépe uplatňovat jednotlivá práva, kter</w:t>
      </w:r>
      <w:r w:rsidRPr="00B37522">
        <w:rPr>
          <w:noProof/>
          <w:lang w:eastAsia="zh-CN"/>
        </w:rPr>
        <w:t>á</w:t>
      </w:r>
      <w:r w:rsidRPr="00552A55">
        <w:rPr>
          <w:noProof/>
          <w:lang w:eastAsia="zh-CN"/>
        </w:rPr>
        <w:t xml:space="preserve"> </w:t>
      </w:r>
      <w:r>
        <w:rPr>
          <w:noProof/>
          <w:lang w:eastAsia="zh-CN"/>
        </w:rPr>
        <w:t xml:space="preserve">jim </w:t>
      </w:r>
      <w:r w:rsidRPr="00552A55">
        <w:rPr>
          <w:noProof/>
          <w:lang w:eastAsia="zh-CN"/>
        </w:rPr>
        <w:t>přiznává.</w:t>
      </w:r>
    </w:p>
    <w:p w14:paraId="4F1FBDB4" w14:textId="77777777" w:rsidR="00A93B59" w:rsidRDefault="00A93B59" w:rsidP="005D7D8A">
      <w:pPr>
        <w:pStyle w:val="Text1"/>
        <w:rPr>
          <w:noProof/>
          <w:lang w:eastAsia="zh-CN"/>
        </w:rPr>
      </w:pPr>
      <w:r w:rsidRPr="00552A55">
        <w:rPr>
          <w:noProof/>
          <w:lang w:eastAsia="zh-CN"/>
        </w:rPr>
        <w:t>Tohoto cíle nelze dosáhnout, dokud zůstanou jednotlivá ustanovení, která byla často několikrát podstatným způsobem změněna, roztroušena jak v původním předpisu, tak v pozdějších novelách. Je nutno proto vynaložit notné úsilí při vyhledávání a porovnávání jednotlivých předpisů, aby bylo lze nalézt právě platná ustanovení.</w:t>
      </w:r>
    </w:p>
    <w:p w14:paraId="0FBD77E3" w14:textId="77777777" w:rsidR="00A93B59" w:rsidRDefault="00A93B59" w:rsidP="005D7D8A">
      <w:pPr>
        <w:pStyle w:val="Text1"/>
        <w:rPr>
          <w:rFonts w:eastAsia="Times New Roman"/>
          <w:noProof/>
          <w:szCs w:val="20"/>
          <w:lang w:eastAsia="zh-CN"/>
        </w:rPr>
      </w:pPr>
      <w:r w:rsidRPr="00552A55">
        <w:rPr>
          <w:rFonts w:eastAsia="Times New Roman"/>
          <w:noProof/>
          <w:szCs w:val="20"/>
          <w:lang w:eastAsia="zh-CN"/>
        </w:rPr>
        <w:t>Z </w:t>
      </w:r>
      <w:r w:rsidRPr="005D7D8A">
        <w:rPr>
          <w:noProof/>
          <w:lang w:eastAsia="zh-CN"/>
        </w:rPr>
        <w:t>tohoto</w:t>
      </w:r>
      <w:r w:rsidRPr="00552A55">
        <w:rPr>
          <w:rFonts w:eastAsia="Times New Roman"/>
          <w:noProof/>
          <w:szCs w:val="20"/>
          <w:lang w:eastAsia="zh-CN"/>
        </w:rPr>
        <w:t xml:space="preserve"> důvodu je rovněž kodifikace často měněné právní úpravy nutná pro zachování její srozumitelnosti a průhlednosti.</w:t>
      </w:r>
    </w:p>
    <w:p w14:paraId="72ACFC9B" w14:textId="77777777" w:rsidR="00A93B59" w:rsidRDefault="00A93B59" w:rsidP="005D7D8A">
      <w:pPr>
        <w:pStyle w:val="Point0"/>
        <w:rPr>
          <w:rFonts w:eastAsia="Times New Roman"/>
          <w:noProof/>
          <w:szCs w:val="20"/>
          <w:lang w:eastAsia="zh-CN"/>
        </w:rPr>
      </w:pPr>
      <w:r w:rsidRPr="00552A55">
        <w:rPr>
          <w:rFonts w:eastAsia="Times New Roman"/>
          <w:noProof/>
          <w:szCs w:val="20"/>
          <w:lang w:eastAsia="zh-CN"/>
        </w:rPr>
        <w:t>2.</w:t>
      </w:r>
      <w:r w:rsidRPr="00552A55">
        <w:rPr>
          <w:rFonts w:eastAsia="Times New Roman"/>
          <w:noProof/>
          <w:szCs w:val="20"/>
          <w:lang w:eastAsia="zh-CN"/>
        </w:rPr>
        <w:tab/>
        <w:t>Komise svým rozhodnutím ze dne 1. dubna 1987</w:t>
      </w:r>
      <w:r w:rsidRPr="005D7D8A">
        <w:rPr>
          <w:rStyle w:val="FootnoteReference"/>
          <w:noProof/>
        </w:rPr>
        <w:footnoteReference w:id="1"/>
      </w:r>
      <w:r w:rsidRPr="00552A55">
        <w:rPr>
          <w:rFonts w:eastAsia="Times New Roman"/>
          <w:noProof/>
          <w:szCs w:val="20"/>
          <w:lang w:eastAsia="zh-CN"/>
        </w:rPr>
        <w:t xml:space="preserve"> uložila svým útvarům, aby přistoupily ke </w:t>
      </w:r>
      <w:r w:rsidRPr="00D17519">
        <w:rPr>
          <w:rFonts w:eastAsia="Times New Roman"/>
          <w:noProof/>
          <w:szCs w:val="20"/>
          <w:lang w:eastAsia="zh-CN"/>
        </w:rPr>
        <w:t>kodifikaci</w:t>
      </w:r>
      <w:r w:rsidRPr="00552A55">
        <w:rPr>
          <w:rFonts w:eastAsia="Times New Roman"/>
          <w:noProof/>
          <w:szCs w:val="20"/>
          <w:lang w:eastAsia="zh-CN"/>
        </w:rPr>
        <w:t xml:space="preserve"> jakéhokoli</w:t>
      </w:r>
      <w:r w:rsidRPr="00BC74DC">
        <w:rPr>
          <w:rFonts w:eastAsia="Times New Roman"/>
          <w:noProof/>
          <w:szCs w:val="20"/>
          <w:lang w:eastAsia="zh-CN"/>
        </w:rPr>
        <w:t xml:space="preserve"> předpisu </w:t>
      </w:r>
      <w:r w:rsidRPr="00E815F7">
        <w:rPr>
          <w:rFonts w:eastAsia="Times New Roman"/>
          <w:noProof/>
          <w:szCs w:val="20"/>
          <w:lang w:eastAsia="zh-CN"/>
        </w:rPr>
        <w:t>nejpozději po</w:t>
      </w:r>
      <w:r w:rsidRPr="00552A55">
        <w:rPr>
          <w:rFonts w:eastAsia="Times New Roman"/>
          <w:noProof/>
          <w:szCs w:val="20"/>
          <w:lang w:eastAsia="zh-CN"/>
        </w:rPr>
        <w:t xml:space="preserve"> jeho desáté změně, přičemž zdůraznila, že se jedná o minimální pravidlo a jednotlivé útvary by se měly v zájmu srozumitelnosti a přehlednosti předpisů snažit kodifikovat akty, za něž nesou odpovědnost, i v kratších intervalech.</w:t>
      </w:r>
    </w:p>
    <w:p w14:paraId="7163A889" w14:textId="77777777" w:rsidR="00A93B59" w:rsidRDefault="00A93B59" w:rsidP="005D7D8A">
      <w:pPr>
        <w:pStyle w:val="Point0"/>
        <w:rPr>
          <w:rFonts w:eastAsia="Times New Roman"/>
          <w:noProof/>
          <w:szCs w:val="20"/>
          <w:lang w:eastAsia="zh-CN"/>
        </w:rPr>
      </w:pPr>
      <w:r w:rsidRPr="00552A55">
        <w:rPr>
          <w:rFonts w:eastAsia="Times New Roman"/>
          <w:noProof/>
          <w:szCs w:val="20"/>
          <w:lang w:eastAsia="zh-CN"/>
        </w:rPr>
        <w:t>3.</w:t>
      </w:r>
      <w:r w:rsidRPr="00552A55">
        <w:rPr>
          <w:rFonts w:eastAsia="Times New Roman"/>
          <w:noProof/>
          <w:szCs w:val="20"/>
          <w:lang w:eastAsia="zh-CN"/>
        </w:rPr>
        <w:tab/>
        <w:t>Závěry předsednictví Evropské rady z Edinburku (prosinec 1992) toto potvrdily</w:t>
      </w:r>
      <w:r w:rsidRPr="005D7D8A">
        <w:rPr>
          <w:rStyle w:val="FootnoteReference"/>
          <w:noProof/>
        </w:rPr>
        <w:footnoteReference w:id="2"/>
      </w:r>
      <w:r w:rsidRPr="00552A55">
        <w:rPr>
          <w:rFonts w:eastAsia="Times New Roman"/>
          <w:noProof/>
          <w:szCs w:val="20"/>
          <w:lang w:eastAsia="zh-CN"/>
        </w:rPr>
        <w:t xml:space="preserve"> a zdůraznily význam </w:t>
      </w:r>
      <w:r w:rsidRPr="00087821">
        <w:rPr>
          <w:rFonts w:eastAsia="Times New Roman"/>
          <w:noProof/>
          <w:szCs w:val="20"/>
          <w:lang w:eastAsia="zh-CN"/>
        </w:rPr>
        <w:t>kodifikace,</w:t>
      </w:r>
      <w:r w:rsidRPr="00552A55">
        <w:rPr>
          <w:rFonts w:eastAsia="Times New Roman"/>
          <w:noProof/>
          <w:szCs w:val="20"/>
          <w:lang w:eastAsia="zh-CN"/>
        </w:rPr>
        <w:t xml:space="preserve"> neboť skýtá právní jistotu ohledně otázky, která právní norma se v určitém okamžiku použije na daný právní vztah.</w:t>
      </w:r>
    </w:p>
    <w:p w14:paraId="17459512" w14:textId="77777777" w:rsidR="00A93B59" w:rsidRDefault="00A93B59" w:rsidP="005D7D8A">
      <w:pPr>
        <w:pStyle w:val="Text1"/>
        <w:rPr>
          <w:rFonts w:eastAsia="Times New Roman"/>
          <w:noProof/>
          <w:szCs w:val="20"/>
          <w:lang w:eastAsia="zh-CN"/>
        </w:rPr>
      </w:pPr>
      <w:r w:rsidRPr="005D7D8A">
        <w:rPr>
          <w:noProof/>
          <w:lang w:eastAsia="zh-CN"/>
        </w:rPr>
        <w:t>Kodifikace</w:t>
      </w:r>
      <w:r w:rsidRPr="00552A55">
        <w:rPr>
          <w:rFonts w:eastAsia="Times New Roman"/>
          <w:noProof/>
          <w:szCs w:val="20"/>
          <w:lang w:eastAsia="zh-CN"/>
        </w:rPr>
        <w:t xml:space="preserve"> musí proběhnout v plném souladu s obvyklým postupem</w:t>
      </w:r>
      <w:r w:rsidRPr="00087821">
        <w:rPr>
          <w:noProof/>
        </w:rPr>
        <w:t xml:space="preserve"> </w:t>
      </w:r>
      <w:r w:rsidRPr="00087821">
        <w:rPr>
          <w:rFonts w:eastAsia="Times New Roman"/>
          <w:noProof/>
          <w:szCs w:val="20"/>
          <w:lang w:eastAsia="zh-CN"/>
        </w:rPr>
        <w:t>přijímání aktů Unie</w:t>
      </w:r>
      <w:r w:rsidRPr="00552A55">
        <w:rPr>
          <w:rFonts w:eastAsia="Times New Roman"/>
          <w:noProof/>
          <w:szCs w:val="20"/>
          <w:lang w:eastAsia="zh-CN"/>
        </w:rPr>
        <w:t>.</w:t>
      </w:r>
    </w:p>
    <w:p w14:paraId="63748C68" w14:textId="77777777" w:rsidR="00A93B59" w:rsidRDefault="00A93B59" w:rsidP="005D7D8A">
      <w:pPr>
        <w:pStyle w:val="Text1"/>
        <w:rPr>
          <w:rFonts w:eastAsia="Times New Roman"/>
          <w:noProof/>
          <w:szCs w:val="20"/>
          <w:lang w:eastAsia="zh-CN"/>
        </w:rPr>
      </w:pPr>
      <w:r w:rsidRPr="00552A55">
        <w:rPr>
          <w:rFonts w:eastAsia="Times New Roman"/>
          <w:noProof/>
          <w:szCs w:val="20"/>
          <w:lang w:eastAsia="zh-CN"/>
        </w:rPr>
        <w:t>S </w:t>
      </w:r>
      <w:r w:rsidRPr="005D7D8A">
        <w:rPr>
          <w:noProof/>
          <w:lang w:eastAsia="zh-CN"/>
        </w:rPr>
        <w:t>ohledem</w:t>
      </w:r>
      <w:r w:rsidRPr="00552A55">
        <w:rPr>
          <w:rFonts w:eastAsia="Times New Roman"/>
          <w:noProof/>
          <w:szCs w:val="20"/>
          <w:lang w:eastAsia="zh-CN"/>
        </w:rPr>
        <w:t xml:space="preserve"> na skutečnost, že v aktech podrobených </w:t>
      </w:r>
      <w:r w:rsidRPr="00427882">
        <w:rPr>
          <w:rFonts w:eastAsia="Times New Roman"/>
          <w:noProof/>
          <w:szCs w:val="20"/>
          <w:lang w:eastAsia="zh-CN"/>
        </w:rPr>
        <w:t xml:space="preserve">kodifikaci </w:t>
      </w:r>
      <w:r w:rsidRPr="00552A55">
        <w:rPr>
          <w:rFonts w:eastAsia="Times New Roman"/>
          <w:noProof/>
          <w:szCs w:val="20"/>
          <w:lang w:eastAsia="zh-CN"/>
        </w:rPr>
        <w:t>nemohou být prováděny žádné podstatné změny, se Evropský parlament, Rada a Komise dohodly prostřednictvím interinstitucionální dohody ze dne 20. prosince 1994 na zkráceném postupu pro rychlé přijímání kodifikovaných aktů.</w:t>
      </w:r>
    </w:p>
    <w:p w14:paraId="093B6CD1" w14:textId="39C626AA" w:rsidR="00A93B59" w:rsidRDefault="00A93B59" w:rsidP="005D7D8A">
      <w:pPr>
        <w:pStyle w:val="Point0"/>
        <w:rPr>
          <w:rFonts w:eastAsia="Times New Roman"/>
          <w:noProof/>
          <w:szCs w:val="20"/>
          <w:lang w:eastAsia="zh-CN"/>
        </w:rPr>
      </w:pPr>
      <w:r w:rsidRPr="00552A55">
        <w:rPr>
          <w:rFonts w:eastAsia="Times New Roman"/>
          <w:noProof/>
          <w:szCs w:val="20"/>
          <w:lang w:eastAsia="zh-CN"/>
        </w:rPr>
        <w:t>4.</w:t>
      </w:r>
      <w:r w:rsidRPr="00552A55">
        <w:rPr>
          <w:rFonts w:eastAsia="Times New Roman"/>
          <w:noProof/>
          <w:szCs w:val="20"/>
          <w:lang w:eastAsia="zh-CN"/>
        </w:rPr>
        <w:tab/>
        <w:t xml:space="preserve">Účelem tohoto návrhu je provedení kodifikace </w:t>
      </w:r>
      <w:r w:rsidRPr="00732AF8">
        <w:rPr>
          <w:rFonts w:eastAsia="Times New Roman"/>
          <w:noProof/>
          <w:szCs w:val="20"/>
          <w:lang w:eastAsia="zh-CN"/>
        </w:rPr>
        <w:t>sm</w:t>
      </w:r>
      <w:r w:rsidR="009B43C3">
        <w:rPr>
          <w:rFonts w:eastAsia="Times New Roman"/>
          <w:noProof/>
          <w:szCs w:val="20"/>
          <w:lang w:eastAsia="zh-CN"/>
        </w:rPr>
        <w:t>ěrnice Rady 96/53/ES ze dne 25. </w:t>
      </w:r>
      <w:r w:rsidRPr="00732AF8">
        <w:rPr>
          <w:rFonts w:eastAsia="Times New Roman"/>
          <w:noProof/>
          <w:szCs w:val="20"/>
          <w:lang w:eastAsia="zh-CN"/>
        </w:rPr>
        <w:t>července 1996, kterou se pro určitá silniční vozidla provozovaná v rámci Společenství stanoví maximální přípustné rozměry pro vnitrostátní a mezinárodní provoz a maximální přípustné hmotnosti pro mezinárodní provoz</w:t>
      </w:r>
      <w:r w:rsidRPr="005D7D8A">
        <w:rPr>
          <w:rStyle w:val="FootnoteReference"/>
          <w:noProof/>
        </w:rPr>
        <w:footnoteReference w:id="3"/>
      </w:r>
      <w:r w:rsidRPr="00552A55">
        <w:rPr>
          <w:rFonts w:eastAsia="Times New Roman"/>
          <w:noProof/>
          <w:szCs w:val="20"/>
          <w:lang w:eastAsia="zh-CN"/>
        </w:rPr>
        <w:t>. Směrnice nahradí různé akty, které jsou do ní začleněny</w:t>
      </w:r>
      <w:r w:rsidRPr="005D7D8A">
        <w:rPr>
          <w:rStyle w:val="FootnoteReference"/>
          <w:noProof/>
        </w:rPr>
        <w:footnoteReference w:id="4"/>
      </w:r>
      <w:r w:rsidRPr="00552A55">
        <w:rPr>
          <w:rFonts w:eastAsia="Times New Roman"/>
          <w:noProof/>
          <w:szCs w:val="20"/>
          <w:lang w:eastAsia="zh-CN"/>
        </w:rPr>
        <w:t xml:space="preserve">; zcela zachovává jejich obsah, a omezuje se tak pouze na jejich spojení a zapracování </w:t>
      </w:r>
      <w:r w:rsidRPr="00427882">
        <w:rPr>
          <w:rFonts w:eastAsia="Times New Roman"/>
          <w:noProof/>
          <w:szCs w:val="20"/>
          <w:lang w:eastAsia="zh-CN"/>
        </w:rPr>
        <w:t>pouze takových formálních změn</w:t>
      </w:r>
      <w:r w:rsidRPr="00552A55">
        <w:rPr>
          <w:rFonts w:eastAsia="Times New Roman"/>
          <w:noProof/>
          <w:szCs w:val="20"/>
          <w:lang w:eastAsia="zh-CN"/>
        </w:rPr>
        <w:t>, které vyžaduje samotná kodifikace.</w:t>
      </w:r>
    </w:p>
    <w:p w14:paraId="47CA4B24" w14:textId="47996675" w:rsidR="00A93B59" w:rsidRDefault="00A93B59" w:rsidP="005D7D8A">
      <w:pPr>
        <w:pStyle w:val="Point0"/>
        <w:rPr>
          <w:rFonts w:eastAsia="Times New Roman"/>
          <w:noProof/>
          <w:szCs w:val="20"/>
          <w:lang w:eastAsia="zh-CN"/>
        </w:rPr>
      </w:pPr>
      <w:r w:rsidRPr="00552A55">
        <w:rPr>
          <w:rFonts w:eastAsia="Times New Roman"/>
          <w:noProof/>
          <w:szCs w:val="20"/>
          <w:lang w:eastAsia="zh-CN"/>
        </w:rPr>
        <w:t>5.</w:t>
      </w:r>
      <w:r w:rsidRPr="00552A55">
        <w:rPr>
          <w:rFonts w:eastAsia="Times New Roman"/>
          <w:noProof/>
          <w:szCs w:val="20"/>
          <w:lang w:eastAsia="zh-CN"/>
        </w:rPr>
        <w:tab/>
        <w:t xml:space="preserve">Tento </w:t>
      </w:r>
      <w:r w:rsidRPr="001251CC">
        <w:rPr>
          <w:rFonts w:eastAsia="Times New Roman"/>
          <w:noProof/>
          <w:szCs w:val="20"/>
          <w:lang w:eastAsia="zh-CN"/>
        </w:rPr>
        <w:t>kodifikační</w:t>
      </w:r>
      <w:r w:rsidRPr="00552A55">
        <w:rPr>
          <w:rFonts w:eastAsia="Times New Roman"/>
          <w:noProof/>
          <w:szCs w:val="20"/>
          <w:lang w:eastAsia="zh-CN"/>
        </w:rPr>
        <w:t xml:space="preserve"> návrh byl vypracován na základě </w:t>
      </w:r>
      <w:r w:rsidRPr="001251CC">
        <w:rPr>
          <w:rFonts w:eastAsia="Times New Roman"/>
          <w:noProof/>
          <w:szCs w:val="20"/>
          <w:lang w:eastAsia="zh-CN"/>
        </w:rPr>
        <w:t>předchozího konsolidovaného</w:t>
      </w:r>
      <w:r w:rsidRPr="00552A55">
        <w:rPr>
          <w:rFonts w:eastAsia="Times New Roman"/>
          <w:noProof/>
          <w:szCs w:val="20"/>
          <w:u w:val="single"/>
          <w:lang w:eastAsia="zh-CN"/>
        </w:rPr>
        <w:t xml:space="preserve"> </w:t>
      </w:r>
      <w:r w:rsidRPr="001251CC">
        <w:rPr>
          <w:rFonts w:eastAsia="Times New Roman"/>
          <w:noProof/>
          <w:szCs w:val="20"/>
          <w:lang w:eastAsia="zh-CN"/>
        </w:rPr>
        <w:t xml:space="preserve">znění </w:t>
      </w:r>
      <w:r w:rsidRPr="00732AF8">
        <w:rPr>
          <w:rFonts w:eastAsia="Times New Roman"/>
          <w:noProof/>
          <w:szCs w:val="20"/>
          <w:lang w:eastAsia="zh-CN"/>
        </w:rPr>
        <w:t>směrnice 96/53/ES</w:t>
      </w:r>
      <w:r w:rsidRPr="00552A55">
        <w:rPr>
          <w:rFonts w:eastAsia="Times New Roman"/>
          <w:noProof/>
          <w:szCs w:val="20"/>
          <w:lang w:eastAsia="zh-CN"/>
        </w:rPr>
        <w:t xml:space="preserve"> a jejích následných změn vyhotoveného ve </w:t>
      </w:r>
      <w:r>
        <w:rPr>
          <w:rFonts w:eastAsia="Times New Roman"/>
          <w:noProof/>
          <w:szCs w:val="20"/>
          <w:lang w:eastAsia="zh-CN"/>
        </w:rPr>
        <w:t xml:space="preserve">24 </w:t>
      </w:r>
      <w:r w:rsidRPr="00552A55">
        <w:rPr>
          <w:rFonts w:eastAsia="Times New Roman"/>
          <w:noProof/>
          <w:szCs w:val="20"/>
          <w:lang w:eastAsia="zh-CN"/>
        </w:rPr>
        <w:t xml:space="preserve">úředních jazycích Úřadem pro </w:t>
      </w:r>
      <w:r w:rsidRPr="001251CC">
        <w:rPr>
          <w:rFonts w:eastAsia="Times New Roman"/>
          <w:noProof/>
          <w:szCs w:val="20"/>
          <w:lang w:eastAsia="zh-CN"/>
        </w:rPr>
        <w:t>publikace</w:t>
      </w:r>
      <w:r w:rsidRPr="001251CC" w:rsidDel="001251CC">
        <w:rPr>
          <w:rFonts w:eastAsia="Times New Roman"/>
          <w:noProof/>
          <w:szCs w:val="20"/>
          <w:lang w:eastAsia="zh-CN"/>
        </w:rPr>
        <w:t xml:space="preserve"> </w:t>
      </w:r>
      <w:r w:rsidRPr="00552A55">
        <w:rPr>
          <w:rFonts w:eastAsia="Times New Roman"/>
          <w:noProof/>
          <w:szCs w:val="20"/>
          <w:lang w:eastAsia="zh-CN"/>
        </w:rPr>
        <w:t>Evropsk</w:t>
      </w:r>
      <w:r w:rsidRPr="001251CC">
        <w:rPr>
          <w:rFonts w:eastAsia="Times New Roman"/>
          <w:noProof/>
          <w:szCs w:val="20"/>
          <w:lang w:eastAsia="zh-CN"/>
        </w:rPr>
        <w:t>é</w:t>
      </w:r>
      <w:r w:rsidRPr="00552A55">
        <w:rPr>
          <w:rFonts w:eastAsia="Times New Roman"/>
          <w:noProof/>
          <w:szCs w:val="20"/>
          <w:lang w:eastAsia="zh-CN"/>
        </w:rPr>
        <w:t xml:space="preserve"> </w:t>
      </w:r>
      <w:r w:rsidRPr="001251CC">
        <w:rPr>
          <w:rFonts w:eastAsia="Times New Roman"/>
          <w:noProof/>
          <w:szCs w:val="20"/>
          <w:lang w:eastAsia="zh-CN"/>
        </w:rPr>
        <w:t>unie</w:t>
      </w:r>
      <w:r w:rsidRPr="001251CC" w:rsidDel="001251CC">
        <w:rPr>
          <w:rFonts w:eastAsia="Times New Roman"/>
          <w:noProof/>
          <w:szCs w:val="20"/>
          <w:lang w:eastAsia="zh-CN"/>
        </w:rPr>
        <w:t xml:space="preserve"> </w:t>
      </w:r>
      <w:r w:rsidRPr="00552A55">
        <w:rPr>
          <w:rFonts w:eastAsia="Times New Roman"/>
          <w:noProof/>
          <w:szCs w:val="20"/>
          <w:lang w:eastAsia="zh-CN"/>
        </w:rPr>
        <w:t xml:space="preserve">pomocí </w:t>
      </w:r>
      <w:r w:rsidRPr="001251CC">
        <w:rPr>
          <w:rFonts w:eastAsia="Times New Roman"/>
          <w:noProof/>
          <w:szCs w:val="20"/>
          <w:lang w:eastAsia="zh-CN"/>
        </w:rPr>
        <w:t>systému na</w:t>
      </w:r>
      <w:r w:rsidRPr="009B43C3">
        <w:rPr>
          <w:rFonts w:eastAsia="Times New Roman"/>
          <w:noProof/>
          <w:szCs w:val="20"/>
          <w:lang w:eastAsia="zh-CN"/>
        </w:rPr>
        <w:t xml:space="preserve"> </w:t>
      </w:r>
      <w:r w:rsidRPr="001251CC">
        <w:rPr>
          <w:rFonts w:eastAsia="Times New Roman"/>
          <w:noProof/>
          <w:szCs w:val="20"/>
          <w:lang w:eastAsia="zh-CN"/>
        </w:rPr>
        <w:t>zpracování dat</w:t>
      </w:r>
      <w:r w:rsidRPr="00552A55">
        <w:rPr>
          <w:rFonts w:eastAsia="Times New Roman"/>
          <w:noProof/>
          <w:szCs w:val="20"/>
          <w:lang w:eastAsia="zh-CN"/>
        </w:rPr>
        <w:t>. V případech, že bylo změněno číslování článků, je vztah mezi dřívějším a novým číslováním představen ve srovnávací tabulce uvedené v příloze V kodifikované směrnice.</w:t>
      </w:r>
    </w:p>
    <w:p w14:paraId="75657BCC" w14:textId="5F5F14F7" w:rsidR="00CB25DF" w:rsidRPr="00267B76" w:rsidRDefault="00CB25DF" w:rsidP="00CA39FE">
      <w:pPr>
        <w:rPr>
          <w:noProof/>
        </w:rPr>
        <w:sectPr w:rsidR="00CB25DF" w:rsidRPr="00267B76" w:rsidSect="00382F74">
          <w:footerReference w:type="default" r:id="rId10"/>
          <w:footerReference w:type="first" r:id="rId11"/>
          <w:pgSz w:w="11907" w:h="16839"/>
          <w:pgMar w:top="1134" w:right="1417" w:bottom="1134" w:left="1417" w:header="709" w:footer="709" w:gutter="0"/>
          <w:cols w:space="708"/>
          <w:docGrid w:linePitch="360"/>
        </w:sectPr>
      </w:pPr>
    </w:p>
    <w:p w14:paraId="514B24C3" w14:textId="77777777" w:rsidR="00E50E5F" w:rsidRPr="00732AF8" w:rsidRDefault="00E50E5F" w:rsidP="00E50E5F">
      <w:pPr>
        <w:pStyle w:val="CRSeparator"/>
        <w:rPr>
          <w:noProof/>
          <w:lang w:val="cs-CZ"/>
        </w:rPr>
      </w:pPr>
    </w:p>
    <w:p w14:paraId="4ACE3D28" w14:textId="77777777" w:rsidR="00E50E5F" w:rsidRPr="00732AF8" w:rsidRDefault="00E50E5F" w:rsidP="00E50E5F">
      <w:pPr>
        <w:pStyle w:val="CRReference"/>
        <w:rPr>
          <w:noProof/>
          <w:lang w:val="cs-CZ"/>
        </w:rPr>
      </w:pPr>
      <w:r w:rsidRPr="00E50E5F">
        <w:rPr>
          <w:noProof/>
        </w:rPr>
        <w:fldChar w:fldCharType="begin"/>
      </w:r>
      <w:r w:rsidRPr="00732AF8">
        <w:rPr>
          <w:noProof/>
          <w:lang w:val="cs-CZ"/>
        </w:rPr>
        <w:instrText xml:space="preserve"> QUOTE "</w:instrText>
      </w:r>
      <w:r w:rsidRPr="00732AF8">
        <w:rPr>
          <w:rStyle w:val="CRMarker"/>
          <w:noProof/>
          <w:lang w:val="cs-CZ"/>
        </w:rPr>
        <w:instrText>ê</w:instrText>
      </w:r>
      <w:r w:rsidRPr="00732AF8">
        <w:rPr>
          <w:noProof/>
          <w:lang w:val="cs-CZ"/>
        </w:rPr>
        <w:instrText xml:space="preserve">" </w:instrText>
      </w:r>
      <w:r w:rsidRPr="00E50E5F">
        <w:rPr>
          <w:noProof/>
        </w:rPr>
        <w:fldChar w:fldCharType="separate"/>
      </w:r>
      <w:r w:rsidRPr="00732AF8">
        <w:rPr>
          <w:rStyle w:val="CRMarker"/>
          <w:noProof/>
          <w:lang w:val="cs-CZ"/>
        </w:rPr>
        <w:t>ê</w:t>
      </w:r>
      <w:r w:rsidRPr="00E50E5F">
        <w:rPr>
          <w:noProof/>
        </w:rPr>
        <w:fldChar w:fldCharType="end"/>
      </w:r>
      <w:r w:rsidRPr="00732AF8">
        <w:rPr>
          <w:noProof/>
          <w:lang w:val="cs-CZ"/>
        </w:rPr>
        <w:t> 96/53 (přizpůsobený)</w:t>
      </w:r>
    </w:p>
    <w:p w14:paraId="3FA01D66" w14:textId="7637EAE9" w:rsidR="00B86046" w:rsidRDefault="00B86046" w:rsidP="00B86046">
      <w:pPr>
        <w:pStyle w:val="Rfrenceinterinstitutionnelle"/>
        <w:rPr>
          <w:noProof/>
        </w:rPr>
      </w:pPr>
      <w:r w:rsidRPr="00B86046">
        <w:t>2021/0400 (COD)</w:t>
      </w:r>
    </w:p>
    <w:p w14:paraId="650D0C15" w14:textId="0349C1E5" w:rsidR="00CB25DF" w:rsidRPr="00267B76" w:rsidRDefault="00712450" w:rsidP="00712450">
      <w:pPr>
        <w:pStyle w:val="Statut"/>
        <w:rPr>
          <w:noProof/>
        </w:rPr>
      </w:pPr>
      <w:r w:rsidRPr="00712450">
        <w:rPr>
          <w:noProof/>
        </w:rPr>
        <w:t>Návrh</w:t>
      </w:r>
    </w:p>
    <w:p w14:paraId="409578B1" w14:textId="2F7D6E10" w:rsidR="00CB25DF" w:rsidRPr="00267B76" w:rsidRDefault="00712450" w:rsidP="00712450">
      <w:pPr>
        <w:pStyle w:val="Typedudocument"/>
        <w:rPr>
          <w:noProof/>
        </w:rPr>
      </w:pPr>
      <w:r w:rsidRPr="00712450">
        <w:rPr>
          <w:noProof/>
        </w:rPr>
        <w:t>SMĚRNICE EVROPSKÉHO PARLAMENTU A RADY</w:t>
      </w:r>
    </w:p>
    <w:p w14:paraId="4143E9D4" w14:textId="3B4E02EC" w:rsidR="00CB25DF" w:rsidRPr="00267B76" w:rsidRDefault="00712450" w:rsidP="00712450">
      <w:pPr>
        <w:pStyle w:val="Titreobjet"/>
        <w:rPr>
          <w:noProof/>
        </w:rPr>
      </w:pPr>
      <w:r w:rsidRPr="00712450">
        <w:rPr>
          <w:noProof/>
        </w:rPr>
        <w:t xml:space="preserve">kterou se pro určitá silniční vozidla provozovaná v rámci </w:t>
      </w:r>
      <w:r>
        <w:rPr>
          <w:noProof/>
        </w:rPr>
        <w:fldChar w:fldCharType="begin"/>
      </w:r>
      <w:r>
        <w:rPr>
          <w:noProof/>
        </w:rPr>
        <w:instrText xml:space="preserve"> QUOTE "</w:instrText>
      </w:r>
      <w:r w:rsidRPr="00712450">
        <w:rPr>
          <w:rStyle w:val="CRMarker"/>
          <w:noProof/>
        </w:rPr>
        <w:instrText>Ö</w:instrText>
      </w:r>
      <w:r>
        <w:rPr>
          <w:noProof/>
        </w:rPr>
        <w:instrText xml:space="preserve">" </w:instrText>
      </w:r>
      <w:r>
        <w:rPr>
          <w:noProof/>
        </w:rPr>
        <w:fldChar w:fldCharType="separate"/>
      </w:r>
      <w:r w:rsidRPr="00712450">
        <w:rPr>
          <w:rStyle w:val="CRMarker"/>
          <w:noProof/>
        </w:rPr>
        <w:t>Ö</w:t>
      </w:r>
      <w:r>
        <w:rPr>
          <w:noProof/>
        </w:rPr>
        <w:fldChar w:fldCharType="end"/>
      </w:r>
      <w:r w:rsidRPr="00712450">
        <w:rPr>
          <w:noProof/>
        </w:rPr>
        <w:t> Unie </w:t>
      </w:r>
      <w:r>
        <w:rPr>
          <w:noProof/>
        </w:rPr>
        <w:fldChar w:fldCharType="begin"/>
      </w:r>
      <w:r>
        <w:rPr>
          <w:noProof/>
        </w:rPr>
        <w:instrText xml:space="preserve"> QUOTE "</w:instrText>
      </w:r>
      <w:r w:rsidRPr="00712450">
        <w:rPr>
          <w:rStyle w:val="CRMarker"/>
          <w:noProof/>
        </w:rPr>
        <w:instrText>Õ</w:instrText>
      </w:r>
      <w:r>
        <w:rPr>
          <w:noProof/>
        </w:rPr>
        <w:instrText xml:space="preserve">" </w:instrText>
      </w:r>
      <w:r>
        <w:rPr>
          <w:noProof/>
        </w:rPr>
        <w:fldChar w:fldCharType="separate"/>
      </w:r>
      <w:r w:rsidRPr="00712450">
        <w:rPr>
          <w:rStyle w:val="CRMarker"/>
          <w:noProof/>
        </w:rPr>
        <w:t>Õ</w:t>
      </w:r>
      <w:r>
        <w:rPr>
          <w:noProof/>
        </w:rPr>
        <w:fldChar w:fldCharType="end"/>
      </w:r>
      <w:r w:rsidRPr="00712450">
        <w:rPr>
          <w:noProof/>
        </w:rPr>
        <w:t xml:space="preserve"> stanoví maximální přípustné rozměry pro vnitrostátní a mezinárodní provoz a maximální přípustné hmotnosti pro mezinárodní provoz (kodifikované znění)</w:t>
      </w:r>
    </w:p>
    <w:p w14:paraId="656E4773" w14:textId="77777777" w:rsidR="00CB25DF" w:rsidRPr="00267B76" w:rsidRDefault="00CB25DF" w:rsidP="00CA39FE">
      <w:pPr>
        <w:pStyle w:val="Institutionquiagit"/>
        <w:rPr>
          <w:noProof/>
        </w:rPr>
      </w:pPr>
      <w:r w:rsidRPr="00267B76">
        <w:rPr>
          <w:noProof/>
        </w:rPr>
        <w:t>EVROPSKÝ PARLAMENT A RADA EVROPSKÉ UNIE,</w:t>
      </w:r>
    </w:p>
    <w:p w14:paraId="52B7F406" w14:textId="350A03A2" w:rsidR="00CB25DF" w:rsidRPr="00267B76" w:rsidRDefault="00CB25DF" w:rsidP="00CA39FE">
      <w:pPr>
        <w:rPr>
          <w:noProof/>
        </w:rPr>
      </w:pPr>
      <w:r w:rsidRPr="00267B76">
        <w:rPr>
          <w:noProof/>
        </w:rPr>
        <w:t xml:space="preserve">s ohledem na Smlouvu o fungování Evropské unie, a zejména na článek </w:t>
      </w:r>
      <w:r w:rsidR="00E50E5F" w:rsidRPr="00E50E5F">
        <w:rPr>
          <w:noProof/>
        </w:rPr>
        <w:fldChar w:fldCharType="begin"/>
      </w:r>
      <w:r w:rsidR="00E50E5F" w:rsidRPr="00E50E5F">
        <w:rPr>
          <w:noProof/>
        </w:rPr>
        <w:instrText xml:space="preserve"> QUOTE "</w:instrText>
      </w:r>
      <w:r w:rsidR="00E50E5F" w:rsidRPr="00732AF8">
        <w:rPr>
          <w:rStyle w:val="CRMarker"/>
          <w:noProof/>
        </w:rPr>
        <w:instrText>Ö</w:instrText>
      </w:r>
      <w:r w:rsidR="00E50E5F" w:rsidRPr="00E50E5F">
        <w:rPr>
          <w:noProof/>
        </w:rPr>
        <w:instrText xml:space="preserve">" </w:instrText>
      </w:r>
      <w:r w:rsidR="00E50E5F" w:rsidRPr="00E50E5F">
        <w:rPr>
          <w:noProof/>
        </w:rPr>
        <w:fldChar w:fldCharType="separate"/>
      </w:r>
      <w:r w:rsidR="00E50E5F" w:rsidRPr="00732AF8">
        <w:rPr>
          <w:rStyle w:val="CRMarker"/>
          <w:noProof/>
        </w:rPr>
        <w:t>Ö</w:t>
      </w:r>
      <w:r w:rsidR="00E50E5F" w:rsidRPr="00E50E5F">
        <w:rPr>
          <w:noProof/>
        </w:rPr>
        <w:fldChar w:fldCharType="end"/>
      </w:r>
      <w:r w:rsidR="00E50E5F" w:rsidRPr="00E50E5F">
        <w:rPr>
          <w:noProof/>
        </w:rPr>
        <w:t> </w:t>
      </w:r>
      <w:r w:rsidR="00E50E5F">
        <w:rPr>
          <w:noProof/>
        </w:rPr>
        <w:t>91</w:t>
      </w:r>
      <w:r w:rsidR="00E50E5F" w:rsidRPr="00E50E5F">
        <w:rPr>
          <w:noProof/>
        </w:rPr>
        <w:t> </w:t>
      </w:r>
      <w:r w:rsidR="00E50E5F" w:rsidRPr="00E50E5F">
        <w:rPr>
          <w:noProof/>
        </w:rPr>
        <w:fldChar w:fldCharType="begin"/>
      </w:r>
      <w:r w:rsidR="00E50E5F" w:rsidRPr="00E50E5F">
        <w:rPr>
          <w:noProof/>
        </w:rPr>
        <w:instrText xml:space="preserve"> QUOTE "</w:instrText>
      </w:r>
      <w:r w:rsidR="00E50E5F" w:rsidRPr="00732AF8">
        <w:rPr>
          <w:rStyle w:val="CRMarker"/>
          <w:noProof/>
        </w:rPr>
        <w:instrText>Õ</w:instrText>
      </w:r>
      <w:r w:rsidR="00E50E5F" w:rsidRPr="00E50E5F">
        <w:rPr>
          <w:noProof/>
        </w:rPr>
        <w:instrText xml:space="preserve">" </w:instrText>
      </w:r>
      <w:r w:rsidR="00E50E5F" w:rsidRPr="00E50E5F">
        <w:rPr>
          <w:noProof/>
        </w:rPr>
        <w:fldChar w:fldCharType="separate"/>
      </w:r>
      <w:r w:rsidR="00E50E5F" w:rsidRPr="00732AF8">
        <w:rPr>
          <w:rStyle w:val="CRMarker"/>
          <w:noProof/>
        </w:rPr>
        <w:t>Õ</w:t>
      </w:r>
      <w:r w:rsidR="00E50E5F" w:rsidRPr="00E50E5F">
        <w:rPr>
          <w:noProof/>
        </w:rPr>
        <w:fldChar w:fldCharType="end"/>
      </w:r>
      <w:r w:rsidRPr="00267B76">
        <w:rPr>
          <w:noProof/>
        </w:rPr>
        <w:t xml:space="preserve"> této smlouvy,</w:t>
      </w:r>
    </w:p>
    <w:p w14:paraId="76195D92" w14:textId="77777777" w:rsidR="00CB25DF" w:rsidRPr="00267B76" w:rsidRDefault="00CB25DF" w:rsidP="00CA39FE">
      <w:pPr>
        <w:rPr>
          <w:noProof/>
        </w:rPr>
      </w:pPr>
      <w:r w:rsidRPr="00267B76">
        <w:rPr>
          <w:noProof/>
        </w:rPr>
        <w:t>s ohledem na návrh Evropské komise,</w:t>
      </w:r>
    </w:p>
    <w:p w14:paraId="4627B09C" w14:textId="77777777" w:rsidR="00CB25DF" w:rsidRPr="00267B76" w:rsidRDefault="00CB25DF" w:rsidP="00CA39FE">
      <w:pPr>
        <w:rPr>
          <w:noProof/>
        </w:rPr>
      </w:pPr>
      <w:r w:rsidRPr="00267B76">
        <w:rPr>
          <w:noProof/>
        </w:rPr>
        <w:t>po postoup</w:t>
      </w:r>
      <w:r>
        <w:rPr>
          <w:noProof/>
        </w:rPr>
        <w:t>ení</w:t>
      </w:r>
      <w:r w:rsidRPr="00267B76">
        <w:rPr>
          <w:noProof/>
        </w:rPr>
        <w:t xml:space="preserve"> návrh</w:t>
      </w:r>
      <w:r>
        <w:rPr>
          <w:noProof/>
        </w:rPr>
        <w:t>u</w:t>
      </w:r>
      <w:r w:rsidRPr="00267B76">
        <w:rPr>
          <w:noProof/>
        </w:rPr>
        <w:t xml:space="preserve"> legislativního aktu vnitrostátním parlamentům,</w:t>
      </w:r>
    </w:p>
    <w:p w14:paraId="7BAF3333" w14:textId="77777777" w:rsidR="00CB25DF" w:rsidRPr="00267B76" w:rsidRDefault="00CB25DF" w:rsidP="00CA39FE">
      <w:pPr>
        <w:rPr>
          <w:noProof/>
        </w:rPr>
      </w:pPr>
      <w:r w:rsidRPr="00267B76">
        <w:rPr>
          <w:noProof/>
        </w:rPr>
        <w:t>s ohledem na stanovisko Evropského hospodářského a sociálního výboru</w:t>
      </w:r>
      <w:r w:rsidRPr="00267B76">
        <w:rPr>
          <w:rStyle w:val="FootnoteReference"/>
          <w:noProof/>
        </w:rPr>
        <w:footnoteReference w:id="5"/>
      </w:r>
      <w:r w:rsidR="00E50E5F">
        <w:rPr>
          <w:noProof/>
        </w:rPr>
        <w:t>,</w:t>
      </w:r>
    </w:p>
    <w:p w14:paraId="0B4C2643" w14:textId="77777777" w:rsidR="00CB25DF" w:rsidRPr="00267B76" w:rsidRDefault="00CB25DF" w:rsidP="00CA39FE">
      <w:pPr>
        <w:rPr>
          <w:noProof/>
        </w:rPr>
      </w:pPr>
      <w:r w:rsidRPr="00267B76">
        <w:rPr>
          <w:noProof/>
        </w:rPr>
        <w:t>s ohledem na stanovisko Výboru regionů</w:t>
      </w:r>
      <w:r w:rsidRPr="00267B76">
        <w:rPr>
          <w:rStyle w:val="FootnoteReference"/>
          <w:noProof/>
        </w:rPr>
        <w:footnoteReference w:id="6"/>
      </w:r>
      <w:r w:rsidR="00E50E5F">
        <w:rPr>
          <w:noProof/>
        </w:rPr>
        <w:t>,</w:t>
      </w:r>
    </w:p>
    <w:p w14:paraId="0364A033" w14:textId="77777777" w:rsidR="00CB25DF" w:rsidRPr="00267B76" w:rsidRDefault="00CB25DF" w:rsidP="00CA39FE">
      <w:pPr>
        <w:rPr>
          <w:noProof/>
        </w:rPr>
      </w:pPr>
      <w:r w:rsidRPr="00267B76">
        <w:rPr>
          <w:noProof/>
        </w:rPr>
        <w:t>v souladu s řádným legislativním postupem,</w:t>
      </w:r>
    </w:p>
    <w:p w14:paraId="46627F6C" w14:textId="77777777" w:rsidR="00CB25DF" w:rsidRDefault="00CB25DF" w:rsidP="00CA39FE">
      <w:pPr>
        <w:rPr>
          <w:noProof/>
        </w:rPr>
      </w:pPr>
      <w:r w:rsidRPr="00267B76">
        <w:rPr>
          <w:noProof/>
        </w:rPr>
        <w:t>vzhledem k těmto důvodům:</w:t>
      </w:r>
    </w:p>
    <w:p w14:paraId="4BBF233B" w14:textId="77777777" w:rsidR="00DC189E" w:rsidRPr="00732AF8" w:rsidRDefault="00DC189E" w:rsidP="00DC189E">
      <w:pPr>
        <w:pStyle w:val="CRSeparator"/>
        <w:rPr>
          <w:noProof/>
          <w:lang w:val="cs-CZ"/>
        </w:rPr>
      </w:pPr>
    </w:p>
    <w:p w14:paraId="7EB775D5" w14:textId="77777777" w:rsidR="00DC189E" w:rsidRPr="00732AF8" w:rsidRDefault="00DC189E" w:rsidP="00DC189E">
      <w:pPr>
        <w:pStyle w:val="CRReference"/>
        <w:rPr>
          <w:noProof/>
          <w:lang w:val="cs-CZ"/>
        </w:rPr>
      </w:pPr>
      <w:r w:rsidRPr="00DC189E">
        <w:rPr>
          <w:noProof/>
        </w:rPr>
        <w:fldChar w:fldCharType="begin"/>
      </w:r>
      <w:r w:rsidRPr="00732AF8">
        <w:rPr>
          <w:noProof/>
          <w:lang w:val="cs-CZ"/>
        </w:rPr>
        <w:instrText xml:space="preserve"> QUOTE "</w:instrText>
      </w:r>
      <w:r w:rsidRPr="00732AF8">
        <w:rPr>
          <w:rStyle w:val="CRMarker"/>
          <w:noProof/>
          <w:lang w:val="cs-CZ"/>
        </w:rPr>
        <w:instrText>ê</w:instrText>
      </w:r>
      <w:r w:rsidRPr="00732AF8">
        <w:rPr>
          <w:noProof/>
          <w:lang w:val="cs-CZ"/>
        </w:rPr>
        <w:instrText xml:space="preserve">" </w:instrText>
      </w:r>
      <w:r w:rsidRPr="00DC189E">
        <w:rPr>
          <w:noProof/>
        </w:rPr>
        <w:fldChar w:fldCharType="separate"/>
      </w:r>
      <w:r w:rsidRPr="00732AF8">
        <w:rPr>
          <w:rStyle w:val="CRMarker"/>
          <w:noProof/>
          <w:lang w:val="cs-CZ"/>
        </w:rPr>
        <w:t>ê</w:t>
      </w:r>
      <w:r w:rsidRPr="00DC189E">
        <w:rPr>
          <w:noProof/>
        </w:rPr>
        <w:fldChar w:fldCharType="end"/>
      </w:r>
      <w:r w:rsidRPr="00732AF8">
        <w:rPr>
          <w:noProof/>
          <w:lang w:val="cs-CZ"/>
        </w:rPr>
        <w:t> 96/53 bod odůvodnění 2</w:t>
      </w:r>
      <w:r w:rsidR="00D66B74" w:rsidRPr="00732AF8">
        <w:rPr>
          <w:noProof/>
          <w:lang w:val="cs-CZ"/>
        </w:rPr>
        <w:t xml:space="preserve"> (přizpůsobený)</w:t>
      </w:r>
    </w:p>
    <w:p w14:paraId="5DD3F81E" w14:textId="090824CB" w:rsidR="00CB25DF" w:rsidRDefault="00C8069C" w:rsidP="00C8069C">
      <w:pPr>
        <w:pStyle w:val="ManualConsidrant"/>
        <w:rPr>
          <w:noProof/>
        </w:rPr>
      </w:pPr>
      <w:r w:rsidRPr="00C8069C">
        <w:t>(1)</w:t>
      </w:r>
      <w:r w:rsidRPr="00C8069C">
        <w:tab/>
      </w:r>
      <w:r w:rsidR="00D66B74" w:rsidRPr="00732AF8">
        <w:rPr>
          <w:noProof/>
        </w:rPr>
        <w:t>S</w:t>
      </w:r>
      <w:r w:rsidR="00DC189E" w:rsidRPr="00732AF8">
        <w:rPr>
          <w:noProof/>
        </w:rPr>
        <w:t xml:space="preserve">měrnice </w:t>
      </w:r>
      <w:r w:rsidR="00D66B74" w:rsidRPr="00732AF8">
        <w:rPr>
          <w:noProof/>
        </w:rPr>
        <w:t>Rady</w:t>
      </w:r>
      <w:r w:rsidR="00DC189E" w:rsidRPr="00732AF8">
        <w:rPr>
          <w:noProof/>
        </w:rPr>
        <w:t xml:space="preserve"> </w:t>
      </w:r>
      <w:r w:rsidR="00D66B74" w:rsidRPr="00732AF8">
        <w:rPr>
          <w:noProof/>
        </w:rPr>
        <w:fldChar w:fldCharType="begin"/>
      </w:r>
      <w:r w:rsidR="00D66B74" w:rsidRPr="00732AF8">
        <w:rPr>
          <w:noProof/>
        </w:rPr>
        <w:instrText xml:space="preserve"> QUOTE "</w:instrText>
      </w:r>
      <w:r w:rsidR="00D66B74" w:rsidRPr="00732AF8">
        <w:rPr>
          <w:rStyle w:val="CRMarker"/>
          <w:noProof/>
        </w:rPr>
        <w:instrText>Ö</w:instrText>
      </w:r>
      <w:r w:rsidR="00D66B74" w:rsidRPr="00732AF8">
        <w:rPr>
          <w:noProof/>
        </w:rPr>
        <w:instrText xml:space="preserve">" </w:instrText>
      </w:r>
      <w:r w:rsidR="00D66B74" w:rsidRPr="00732AF8">
        <w:rPr>
          <w:noProof/>
        </w:rPr>
        <w:fldChar w:fldCharType="separate"/>
      </w:r>
      <w:r w:rsidR="00D66B74" w:rsidRPr="00732AF8">
        <w:rPr>
          <w:rStyle w:val="CRMarker"/>
          <w:noProof/>
        </w:rPr>
        <w:t>Ö</w:t>
      </w:r>
      <w:r w:rsidR="00D66B74" w:rsidRPr="00732AF8">
        <w:rPr>
          <w:noProof/>
        </w:rPr>
        <w:fldChar w:fldCharType="end"/>
      </w:r>
      <w:r w:rsidR="00D66B74" w:rsidRPr="00D66B74">
        <w:rPr>
          <w:noProof/>
        </w:rPr>
        <w:t> </w:t>
      </w:r>
      <w:r w:rsidR="00D66B74" w:rsidRPr="00732AF8">
        <w:rPr>
          <w:noProof/>
        </w:rPr>
        <w:t>96/53/ES</w:t>
      </w:r>
      <w:r w:rsidR="00D66B74">
        <w:rPr>
          <w:rStyle w:val="FootnoteReference"/>
          <w:noProof/>
          <w:lang w:val="fr-FR"/>
        </w:rPr>
        <w:footnoteReference w:id="7"/>
      </w:r>
      <w:r w:rsidR="00D66B74" w:rsidRPr="00732AF8">
        <w:rPr>
          <w:noProof/>
        </w:rPr>
        <w:t> </w:t>
      </w:r>
      <w:r w:rsidR="00D66B74" w:rsidRPr="00D66B74">
        <w:rPr>
          <w:noProof/>
        </w:rPr>
        <w:fldChar w:fldCharType="begin"/>
      </w:r>
      <w:r w:rsidR="00D66B74" w:rsidRPr="00D66B74">
        <w:rPr>
          <w:noProof/>
        </w:rPr>
        <w:instrText xml:space="preserve"> QUOTE "</w:instrText>
      </w:r>
      <w:r w:rsidR="00D66B74" w:rsidRPr="00732AF8">
        <w:rPr>
          <w:rStyle w:val="CRMarker"/>
          <w:noProof/>
        </w:rPr>
        <w:instrText>Õ</w:instrText>
      </w:r>
      <w:r w:rsidR="00D66B74" w:rsidRPr="00D66B74">
        <w:rPr>
          <w:noProof/>
        </w:rPr>
        <w:instrText xml:space="preserve">" </w:instrText>
      </w:r>
      <w:r w:rsidR="00D66B74" w:rsidRPr="00D66B74">
        <w:rPr>
          <w:noProof/>
        </w:rPr>
        <w:fldChar w:fldCharType="separate"/>
      </w:r>
      <w:r w:rsidR="00D66B74" w:rsidRPr="00732AF8">
        <w:rPr>
          <w:rStyle w:val="CRMarker"/>
          <w:noProof/>
        </w:rPr>
        <w:t>Õ</w:t>
      </w:r>
      <w:r w:rsidR="00D66B74" w:rsidRPr="00D66B74">
        <w:rPr>
          <w:noProof/>
        </w:rPr>
        <w:fldChar w:fldCharType="end"/>
      </w:r>
      <w:r w:rsidR="00D66B74" w:rsidRPr="00D66B74">
        <w:rPr>
          <w:noProof/>
        </w:rPr>
        <w:t xml:space="preserve"> </w:t>
      </w:r>
      <w:r w:rsidR="00DC189E" w:rsidRPr="00732AF8">
        <w:rPr>
          <w:noProof/>
        </w:rPr>
        <w:t xml:space="preserve">byla </w:t>
      </w:r>
      <w:r w:rsidR="00885AD8" w:rsidRPr="00732AF8">
        <w:rPr>
          <w:noProof/>
        </w:rPr>
        <w:fldChar w:fldCharType="begin"/>
      </w:r>
      <w:r w:rsidR="00885AD8" w:rsidRPr="00732AF8">
        <w:rPr>
          <w:noProof/>
        </w:rPr>
        <w:instrText xml:space="preserve"> QUOTE "</w:instrText>
      </w:r>
      <w:r w:rsidR="00885AD8" w:rsidRPr="00732AF8">
        <w:rPr>
          <w:rStyle w:val="CRMarker"/>
          <w:noProof/>
        </w:rPr>
        <w:instrText>Ö</w:instrText>
      </w:r>
      <w:r w:rsidR="00885AD8" w:rsidRPr="00732AF8">
        <w:rPr>
          <w:noProof/>
        </w:rPr>
        <w:instrText xml:space="preserve">" </w:instrText>
      </w:r>
      <w:r w:rsidR="00885AD8" w:rsidRPr="00732AF8">
        <w:rPr>
          <w:noProof/>
        </w:rPr>
        <w:fldChar w:fldCharType="separate"/>
      </w:r>
      <w:r w:rsidR="00885AD8" w:rsidRPr="00732AF8">
        <w:rPr>
          <w:rStyle w:val="CRMarker"/>
          <w:noProof/>
        </w:rPr>
        <w:t>Ö</w:t>
      </w:r>
      <w:r w:rsidR="00885AD8" w:rsidRPr="00732AF8">
        <w:rPr>
          <w:noProof/>
        </w:rPr>
        <w:fldChar w:fldCharType="end"/>
      </w:r>
      <w:r w:rsidR="00885AD8" w:rsidRPr="005B18B0">
        <w:rPr>
          <w:noProof/>
        </w:rPr>
        <w:t> </w:t>
      </w:r>
      <w:r w:rsidR="00D55329" w:rsidRPr="005B18B0">
        <w:rPr>
          <w:noProof/>
        </w:rPr>
        <w:t>několikrát</w:t>
      </w:r>
      <w:r w:rsidR="00885AD8" w:rsidRPr="005B18B0">
        <w:rPr>
          <w:noProof/>
        </w:rPr>
        <w:t> </w:t>
      </w:r>
      <w:r w:rsidR="00885AD8" w:rsidRPr="00732AF8">
        <w:rPr>
          <w:noProof/>
        </w:rPr>
        <w:fldChar w:fldCharType="begin"/>
      </w:r>
      <w:r w:rsidR="00885AD8" w:rsidRPr="005B18B0">
        <w:rPr>
          <w:noProof/>
        </w:rPr>
        <w:instrText xml:space="preserve"> QUOTE "</w:instrText>
      </w:r>
      <w:r w:rsidR="00885AD8" w:rsidRPr="00732AF8">
        <w:rPr>
          <w:rStyle w:val="CRMarker"/>
          <w:noProof/>
        </w:rPr>
        <w:instrText>Õ</w:instrText>
      </w:r>
      <w:r w:rsidR="00885AD8" w:rsidRPr="005B18B0">
        <w:rPr>
          <w:noProof/>
        </w:rPr>
        <w:instrText xml:space="preserve">" </w:instrText>
      </w:r>
      <w:r w:rsidR="00885AD8" w:rsidRPr="00732AF8">
        <w:rPr>
          <w:noProof/>
        </w:rPr>
        <w:fldChar w:fldCharType="separate"/>
      </w:r>
      <w:r w:rsidR="00885AD8" w:rsidRPr="00732AF8">
        <w:rPr>
          <w:rStyle w:val="CRMarker"/>
          <w:noProof/>
        </w:rPr>
        <w:t>Õ</w:t>
      </w:r>
      <w:r w:rsidR="00885AD8" w:rsidRPr="00732AF8">
        <w:rPr>
          <w:noProof/>
        </w:rPr>
        <w:fldChar w:fldCharType="end"/>
      </w:r>
      <w:r w:rsidR="00D55329" w:rsidRPr="005B18B0">
        <w:rPr>
          <w:noProof/>
        </w:rPr>
        <w:t xml:space="preserve"> </w:t>
      </w:r>
      <w:r w:rsidR="00DC189E" w:rsidRPr="00732AF8">
        <w:rPr>
          <w:noProof/>
        </w:rPr>
        <w:t>podstatně změněna</w:t>
      </w:r>
      <w:r w:rsidR="00885AD8">
        <w:rPr>
          <w:rStyle w:val="FootnoteReference"/>
          <w:noProof/>
          <w:lang w:val="fr-FR"/>
        </w:rPr>
        <w:footnoteReference w:id="8"/>
      </w:r>
      <w:r w:rsidR="005B18B0">
        <w:rPr>
          <w:noProof/>
        </w:rPr>
        <w:t>.</w:t>
      </w:r>
      <w:r w:rsidR="00221CD1" w:rsidRPr="00732AF8">
        <w:rPr>
          <w:noProof/>
        </w:rPr>
        <w:t xml:space="preserve"> </w:t>
      </w:r>
      <w:r w:rsidR="00221CD1" w:rsidRPr="00221CD1">
        <w:rPr>
          <w:noProof/>
        </w:rPr>
        <w:fldChar w:fldCharType="begin"/>
      </w:r>
      <w:r w:rsidR="00221CD1" w:rsidRPr="00221CD1">
        <w:rPr>
          <w:noProof/>
        </w:rPr>
        <w:instrText xml:space="preserve"> </w:instrText>
      </w:r>
      <w:r w:rsidR="00221CD1" w:rsidRPr="007151D7">
        <w:rPr>
          <w:noProof/>
        </w:rPr>
        <w:instrText>QUOTE "</w:instrText>
      </w:r>
      <w:r w:rsidR="00221CD1" w:rsidRPr="00732AF8">
        <w:rPr>
          <w:rStyle w:val="CRMarker"/>
          <w:noProof/>
        </w:rPr>
        <w:instrText>Ö</w:instrText>
      </w:r>
      <w:r w:rsidR="00221CD1" w:rsidRPr="00221CD1">
        <w:rPr>
          <w:noProof/>
        </w:rPr>
        <w:instrText>"</w:instrText>
      </w:r>
      <w:r w:rsidR="00221CD1" w:rsidRPr="007151D7">
        <w:rPr>
          <w:noProof/>
        </w:rPr>
        <w:instrText xml:space="preserve"> </w:instrText>
      </w:r>
      <w:r w:rsidR="00221CD1" w:rsidRPr="00221CD1">
        <w:rPr>
          <w:noProof/>
        </w:rPr>
        <w:fldChar w:fldCharType="separate"/>
      </w:r>
      <w:r w:rsidR="00221CD1" w:rsidRPr="00732AF8">
        <w:rPr>
          <w:rStyle w:val="CRMarker"/>
          <w:noProof/>
        </w:rPr>
        <w:t>Ö</w:t>
      </w:r>
      <w:r w:rsidR="00221CD1" w:rsidRPr="00221CD1">
        <w:rPr>
          <w:noProof/>
        </w:rPr>
        <w:fldChar w:fldCharType="end"/>
      </w:r>
      <w:r w:rsidR="00221CD1" w:rsidRPr="00221CD1">
        <w:rPr>
          <w:noProof/>
        </w:rPr>
        <w:t> </w:t>
      </w:r>
      <w:r w:rsidR="0081461E">
        <w:rPr>
          <w:noProof/>
        </w:rPr>
        <w:t>V </w:t>
      </w:r>
      <w:r w:rsidR="00221CD1" w:rsidRPr="00732AF8">
        <w:rPr>
          <w:noProof/>
        </w:rPr>
        <w:t>zájmu přehlednosti a srozumitelnosti by uveden</w:t>
      </w:r>
      <w:r w:rsidR="00977B4F" w:rsidRPr="00977B4F">
        <w:rPr>
          <w:noProof/>
        </w:rPr>
        <w:t>á</w:t>
      </w:r>
      <w:r w:rsidR="00977B4F">
        <w:rPr>
          <w:noProof/>
        </w:rPr>
        <w:t xml:space="preserve"> </w:t>
      </w:r>
      <w:r w:rsidR="00221CD1" w:rsidRPr="00732AF8">
        <w:rPr>
          <w:noProof/>
        </w:rPr>
        <w:t>směrnice měla být kodifikována. </w:t>
      </w:r>
      <w:r w:rsidR="00221CD1" w:rsidRPr="00221CD1">
        <w:rPr>
          <w:noProof/>
        </w:rPr>
        <w:fldChar w:fldCharType="begin"/>
      </w:r>
      <w:r w:rsidR="00221CD1" w:rsidRPr="00221CD1">
        <w:rPr>
          <w:noProof/>
        </w:rPr>
        <w:instrText xml:space="preserve"> QUOTE "</w:instrText>
      </w:r>
      <w:r w:rsidR="00221CD1" w:rsidRPr="00732AF8">
        <w:rPr>
          <w:rStyle w:val="CRMarker"/>
          <w:noProof/>
        </w:rPr>
        <w:instrText>Õ</w:instrText>
      </w:r>
      <w:r w:rsidR="00221CD1" w:rsidRPr="00221CD1">
        <w:rPr>
          <w:noProof/>
        </w:rPr>
        <w:instrText xml:space="preserve">" </w:instrText>
      </w:r>
      <w:r w:rsidR="00221CD1" w:rsidRPr="00221CD1">
        <w:rPr>
          <w:noProof/>
        </w:rPr>
        <w:fldChar w:fldCharType="separate"/>
      </w:r>
      <w:r w:rsidR="00221CD1" w:rsidRPr="00732AF8">
        <w:rPr>
          <w:rStyle w:val="CRMarker"/>
          <w:noProof/>
        </w:rPr>
        <w:t>Õ</w:t>
      </w:r>
      <w:r w:rsidR="00221CD1" w:rsidRPr="00221CD1">
        <w:rPr>
          <w:noProof/>
        </w:rPr>
        <w:fldChar w:fldCharType="end"/>
      </w:r>
    </w:p>
    <w:p w14:paraId="68BC2829" w14:textId="68B6A630" w:rsidR="007151D7" w:rsidRPr="00732AF8" w:rsidRDefault="007151D7" w:rsidP="007151D7">
      <w:pPr>
        <w:pStyle w:val="CRSeparator"/>
        <w:rPr>
          <w:noProof/>
          <w:lang w:val="cs-CZ"/>
        </w:rPr>
      </w:pPr>
    </w:p>
    <w:p w14:paraId="42127ED1" w14:textId="4D18180A" w:rsidR="007151D7" w:rsidRPr="00732AF8" w:rsidRDefault="007151D7" w:rsidP="007151D7">
      <w:pPr>
        <w:pStyle w:val="CRReference"/>
        <w:rPr>
          <w:noProof/>
          <w:lang w:val="cs-CZ"/>
        </w:rPr>
      </w:pPr>
      <w:r w:rsidRPr="007151D7">
        <w:rPr>
          <w:noProof/>
        </w:rPr>
        <w:fldChar w:fldCharType="begin"/>
      </w:r>
      <w:r w:rsidRPr="00732AF8">
        <w:rPr>
          <w:noProof/>
          <w:lang w:val="cs-CZ"/>
        </w:rPr>
        <w:instrText xml:space="preserve"> QUOTE "</w:instrText>
      </w:r>
      <w:r w:rsidRPr="00732AF8">
        <w:rPr>
          <w:rStyle w:val="CRMarker"/>
          <w:noProof/>
          <w:lang w:val="cs-CZ"/>
        </w:rPr>
        <w:instrText>ê</w:instrText>
      </w:r>
      <w:r w:rsidRPr="00732AF8">
        <w:rPr>
          <w:noProof/>
          <w:lang w:val="cs-CZ"/>
        </w:rPr>
        <w:instrText xml:space="preserve">" </w:instrText>
      </w:r>
      <w:r w:rsidRPr="007151D7">
        <w:rPr>
          <w:noProof/>
        </w:rPr>
        <w:fldChar w:fldCharType="separate"/>
      </w:r>
      <w:r w:rsidRPr="00732AF8">
        <w:rPr>
          <w:rStyle w:val="CRMarker"/>
          <w:noProof/>
          <w:lang w:val="cs-CZ"/>
        </w:rPr>
        <w:t>ê</w:t>
      </w:r>
      <w:r w:rsidRPr="007151D7">
        <w:rPr>
          <w:noProof/>
        </w:rPr>
        <w:fldChar w:fldCharType="end"/>
      </w:r>
      <w:r w:rsidRPr="00732AF8">
        <w:rPr>
          <w:noProof/>
          <w:lang w:val="cs-CZ"/>
        </w:rPr>
        <w:t> 2002/7 bod odůvodnění 1</w:t>
      </w:r>
      <w:r w:rsidR="00522AD3" w:rsidRPr="00732AF8">
        <w:rPr>
          <w:noProof/>
          <w:lang w:val="cs-CZ"/>
        </w:rPr>
        <w:t xml:space="preserve"> (přizpůsobený)</w:t>
      </w:r>
    </w:p>
    <w:p w14:paraId="27E2898A" w14:textId="1A2142B0" w:rsidR="00CB25DF" w:rsidRDefault="00C8069C" w:rsidP="00C8069C">
      <w:pPr>
        <w:pStyle w:val="ManualConsidrant"/>
        <w:rPr>
          <w:noProof/>
        </w:rPr>
      </w:pPr>
      <w:r w:rsidRPr="00C8069C">
        <w:t>(2)</w:t>
      </w:r>
      <w:r w:rsidRPr="00C8069C">
        <w:tab/>
      </w:r>
      <w:r w:rsidR="007151D7">
        <w:rPr>
          <w:noProof/>
        </w:rPr>
        <w:t>Směrnice 96/53/ES</w:t>
      </w:r>
      <w:r w:rsidR="007151D7" w:rsidRPr="007151D7">
        <w:rPr>
          <w:noProof/>
        </w:rPr>
        <w:t xml:space="preserve"> stanovila v rámci společné dopravní politiky harmonizovan</w:t>
      </w:r>
      <w:r w:rsidR="006A6B69">
        <w:rPr>
          <w:noProof/>
        </w:rPr>
        <w:t>ou</w:t>
      </w:r>
      <w:r w:rsidR="007151D7" w:rsidRPr="007151D7">
        <w:rPr>
          <w:noProof/>
        </w:rPr>
        <w:t xml:space="preserve"> maximální </w:t>
      </w:r>
      <w:r w:rsidR="00522AD3" w:rsidRPr="00522AD3">
        <w:rPr>
          <w:noProof/>
        </w:rPr>
        <w:fldChar w:fldCharType="begin"/>
      </w:r>
      <w:r w:rsidR="00522AD3" w:rsidRPr="00522AD3">
        <w:rPr>
          <w:noProof/>
        </w:rPr>
        <w:instrText xml:space="preserve"> QUOTE "</w:instrText>
      </w:r>
      <w:r w:rsidR="00522AD3" w:rsidRPr="00732AF8">
        <w:rPr>
          <w:rStyle w:val="CRMarker"/>
          <w:noProof/>
        </w:rPr>
        <w:instrText>Ö</w:instrText>
      </w:r>
      <w:r w:rsidR="00522AD3" w:rsidRPr="00522AD3">
        <w:rPr>
          <w:noProof/>
        </w:rPr>
        <w:instrText xml:space="preserve">" </w:instrText>
      </w:r>
      <w:r w:rsidR="00522AD3" w:rsidRPr="00522AD3">
        <w:rPr>
          <w:noProof/>
        </w:rPr>
        <w:fldChar w:fldCharType="separate"/>
      </w:r>
      <w:r w:rsidR="00522AD3" w:rsidRPr="00732AF8">
        <w:rPr>
          <w:rStyle w:val="CRMarker"/>
          <w:noProof/>
        </w:rPr>
        <w:t>Ö</w:t>
      </w:r>
      <w:r w:rsidR="00522AD3" w:rsidRPr="00522AD3">
        <w:rPr>
          <w:noProof/>
        </w:rPr>
        <w:fldChar w:fldCharType="end"/>
      </w:r>
      <w:r w:rsidR="00522AD3" w:rsidRPr="00522AD3">
        <w:rPr>
          <w:noProof/>
        </w:rPr>
        <w:t> hmotnost a </w:t>
      </w:r>
      <w:r w:rsidR="00522AD3" w:rsidRPr="00522AD3">
        <w:rPr>
          <w:noProof/>
        </w:rPr>
        <w:fldChar w:fldCharType="begin"/>
      </w:r>
      <w:r w:rsidR="00522AD3" w:rsidRPr="00522AD3">
        <w:rPr>
          <w:noProof/>
        </w:rPr>
        <w:instrText xml:space="preserve"> QUOTE "</w:instrText>
      </w:r>
      <w:r w:rsidR="00522AD3" w:rsidRPr="00732AF8">
        <w:rPr>
          <w:rStyle w:val="CRMarker"/>
          <w:noProof/>
        </w:rPr>
        <w:instrText>Õ</w:instrText>
      </w:r>
      <w:r w:rsidR="00522AD3" w:rsidRPr="00522AD3">
        <w:rPr>
          <w:noProof/>
        </w:rPr>
        <w:instrText xml:space="preserve">" </w:instrText>
      </w:r>
      <w:r w:rsidR="00522AD3" w:rsidRPr="00522AD3">
        <w:rPr>
          <w:noProof/>
        </w:rPr>
        <w:fldChar w:fldCharType="separate"/>
      </w:r>
      <w:r w:rsidR="00522AD3" w:rsidRPr="00732AF8">
        <w:rPr>
          <w:rStyle w:val="CRMarker"/>
          <w:noProof/>
        </w:rPr>
        <w:t>Õ</w:t>
      </w:r>
      <w:r w:rsidR="00522AD3" w:rsidRPr="00522AD3">
        <w:rPr>
          <w:noProof/>
        </w:rPr>
        <w:fldChar w:fldCharType="end"/>
      </w:r>
      <w:r w:rsidR="00522AD3">
        <w:rPr>
          <w:noProof/>
        </w:rPr>
        <w:t xml:space="preserve"> </w:t>
      </w:r>
      <w:r w:rsidR="007151D7" w:rsidRPr="007151D7">
        <w:rPr>
          <w:noProof/>
        </w:rPr>
        <w:t xml:space="preserve">rozměry vozidel pro provoz silničních vozidel pro přepravu </w:t>
      </w:r>
      <w:r w:rsidR="00522AD3" w:rsidRPr="00522AD3">
        <w:rPr>
          <w:noProof/>
        </w:rPr>
        <w:fldChar w:fldCharType="begin"/>
      </w:r>
      <w:r w:rsidR="00522AD3" w:rsidRPr="00522AD3">
        <w:rPr>
          <w:noProof/>
        </w:rPr>
        <w:instrText xml:space="preserve"> QUOTE "</w:instrText>
      </w:r>
      <w:r w:rsidR="00522AD3" w:rsidRPr="00732AF8">
        <w:rPr>
          <w:rStyle w:val="CRMarker"/>
          <w:noProof/>
        </w:rPr>
        <w:instrText>Ö</w:instrText>
      </w:r>
      <w:r w:rsidR="00522AD3" w:rsidRPr="00522AD3">
        <w:rPr>
          <w:noProof/>
        </w:rPr>
        <w:instrText xml:space="preserve">" </w:instrText>
      </w:r>
      <w:r w:rsidR="00522AD3" w:rsidRPr="00522AD3">
        <w:rPr>
          <w:noProof/>
        </w:rPr>
        <w:fldChar w:fldCharType="separate"/>
      </w:r>
      <w:r w:rsidR="00522AD3" w:rsidRPr="00732AF8">
        <w:rPr>
          <w:rStyle w:val="CRMarker"/>
          <w:noProof/>
        </w:rPr>
        <w:t>Ö</w:t>
      </w:r>
      <w:r w:rsidR="00522AD3" w:rsidRPr="00522AD3">
        <w:rPr>
          <w:noProof/>
        </w:rPr>
        <w:fldChar w:fldCharType="end"/>
      </w:r>
      <w:r w:rsidR="00522AD3" w:rsidRPr="00522AD3">
        <w:rPr>
          <w:noProof/>
        </w:rPr>
        <w:t> osob nebo </w:t>
      </w:r>
      <w:r w:rsidR="00522AD3" w:rsidRPr="00522AD3">
        <w:rPr>
          <w:noProof/>
        </w:rPr>
        <w:fldChar w:fldCharType="begin"/>
      </w:r>
      <w:r w:rsidR="00522AD3" w:rsidRPr="00522AD3">
        <w:rPr>
          <w:noProof/>
        </w:rPr>
        <w:instrText xml:space="preserve"> QUOTE "</w:instrText>
      </w:r>
      <w:r w:rsidR="00522AD3" w:rsidRPr="00732AF8">
        <w:rPr>
          <w:rStyle w:val="CRMarker"/>
          <w:noProof/>
        </w:rPr>
        <w:instrText>Õ</w:instrText>
      </w:r>
      <w:r w:rsidR="00522AD3" w:rsidRPr="00522AD3">
        <w:rPr>
          <w:noProof/>
        </w:rPr>
        <w:instrText xml:space="preserve">" </w:instrText>
      </w:r>
      <w:r w:rsidR="00522AD3" w:rsidRPr="00522AD3">
        <w:rPr>
          <w:noProof/>
        </w:rPr>
        <w:fldChar w:fldCharType="separate"/>
      </w:r>
      <w:r w:rsidR="00522AD3" w:rsidRPr="00732AF8">
        <w:rPr>
          <w:rStyle w:val="CRMarker"/>
          <w:noProof/>
        </w:rPr>
        <w:t>Õ</w:t>
      </w:r>
      <w:r w:rsidR="00522AD3" w:rsidRPr="00522AD3">
        <w:rPr>
          <w:noProof/>
        </w:rPr>
        <w:fldChar w:fldCharType="end"/>
      </w:r>
      <w:r w:rsidR="00522AD3">
        <w:rPr>
          <w:noProof/>
        </w:rPr>
        <w:t xml:space="preserve"> </w:t>
      </w:r>
      <w:r w:rsidR="007151D7" w:rsidRPr="007151D7">
        <w:rPr>
          <w:noProof/>
        </w:rPr>
        <w:t>zboží.</w:t>
      </w:r>
    </w:p>
    <w:p w14:paraId="00D2FDF0" w14:textId="7F800B55" w:rsidR="0043799F" w:rsidRPr="00732AF8" w:rsidRDefault="0043799F" w:rsidP="0043799F">
      <w:pPr>
        <w:pStyle w:val="CRSeparator"/>
        <w:rPr>
          <w:noProof/>
          <w:lang w:val="cs-CZ"/>
        </w:rPr>
      </w:pPr>
    </w:p>
    <w:p w14:paraId="6E3FBB2E" w14:textId="7CB485B5" w:rsidR="0043799F" w:rsidRPr="0043799F" w:rsidRDefault="0043799F" w:rsidP="0043799F">
      <w:pPr>
        <w:pStyle w:val="CRReference"/>
        <w:rPr>
          <w:noProof/>
        </w:rPr>
      </w:pPr>
      <w:r w:rsidRPr="0043799F">
        <w:rPr>
          <w:noProof/>
        </w:rPr>
        <w:fldChar w:fldCharType="begin"/>
      </w:r>
      <w:r w:rsidRPr="0043799F">
        <w:rPr>
          <w:noProof/>
        </w:rPr>
        <w:instrText xml:space="preserve"> QUOTE "</w:instrText>
      </w:r>
      <w:r w:rsidRPr="0043799F">
        <w:rPr>
          <w:rStyle w:val="CRMarker"/>
          <w:noProof/>
        </w:rPr>
        <w:instrText>ê</w:instrText>
      </w:r>
      <w:r w:rsidRPr="0043799F">
        <w:rPr>
          <w:noProof/>
        </w:rPr>
        <w:instrText xml:space="preserve">" </w:instrText>
      </w:r>
      <w:r w:rsidRPr="0043799F">
        <w:rPr>
          <w:noProof/>
        </w:rPr>
        <w:fldChar w:fldCharType="separate"/>
      </w:r>
      <w:r w:rsidRPr="0043799F">
        <w:rPr>
          <w:rStyle w:val="CRMarker"/>
          <w:noProof/>
        </w:rPr>
        <w:t>ê</w:t>
      </w:r>
      <w:r w:rsidRPr="0043799F">
        <w:rPr>
          <w:noProof/>
        </w:rPr>
        <w:fldChar w:fldCharType="end"/>
      </w:r>
      <w:r w:rsidRPr="0043799F">
        <w:rPr>
          <w:noProof/>
        </w:rPr>
        <w:t> </w:t>
      </w:r>
      <w:r>
        <w:rPr>
          <w:noProof/>
        </w:rPr>
        <w:t>96/53 bod odůvodnění 9 (přizpůsobený)</w:t>
      </w:r>
    </w:p>
    <w:p w14:paraId="238CC8A9" w14:textId="788825DB" w:rsidR="00DA7C51" w:rsidRDefault="00C8069C" w:rsidP="00C8069C">
      <w:pPr>
        <w:pStyle w:val="ManualConsidrant"/>
        <w:rPr>
          <w:noProof/>
        </w:rPr>
      </w:pPr>
      <w:r w:rsidRPr="00C8069C">
        <w:t>(3)</w:t>
      </w:r>
      <w:r w:rsidRPr="00C8069C">
        <w:tab/>
      </w:r>
      <w:r w:rsidR="006A6B69">
        <w:rPr>
          <w:noProof/>
        </w:rPr>
        <w:t>J</w:t>
      </w:r>
      <w:r w:rsidR="0043799F" w:rsidRPr="0043799F">
        <w:rPr>
          <w:noProof/>
        </w:rPr>
        <w:t xml:space="preserve">e nutné vyjasnit pojem </w:t>
      </w:r>
      <w:r w:rsidR="006A6B69" w:rsidRPr="00AA7304">
        <w:rPr>
          <w:noProof/>
        </w:rPr>
        <w:t>‘</w:t>
      </w:r>
      <w:r w:rsidR="0043799F" w:rsidRPr="0043799F">
        <w:rPr>
          <w:noProof/>
        </w:rPr>
        <w:t>nedělitelný náklad</w:t>
      </w:r>
      <w:r w:rsidR="006A6B69" w:rsidRPr="00AA7304">
        <w:rPr>
          <w:noProof/>
        </w:rPr>
        <w:t>’</w:t>
      </w:r>
      <w:r w:rsidR="0043799F" w:rsidRPr="0043799F">
        <w:rPr>
          <w:noProof/>
        </w:rPr>
        <w:t xml:space="preserve"> v zájmu zajištění jednotného uplatňování této směrnice, pokud jde o povolení pro vozidla nebo soupravy vozidel přepravující takové náklady</w:t>
      </w:r>
      <w:r w:rsidR="0043799F">
        <w:rPr>
          <w:noProof/>
        </w:rPr>
        <w:t>.</w:t>
      </w:r>
    </w:p>
    <w:p w14:paraId="39C22467" w14:textId="0BD54E5F" w:rsidR="00DA7C51" w:rsidRDefault="00DA7C51" w:rsidP="00DA7C51">
      <w:pPr>
        <w:pStyle w:val="CRSeparator"/>
        <w:rPr>
          <w:noProof/>
        </w:rPr>
      </w:pPr>
    </w:p>
    <w:p w14:paraId="112C502E" w14:textId="04B24292" w:rsidR="00DA7C51" w:rsidRPr="00DA7C51" w:rsidRDefault="00DA7C51" w:rsidP="00DA7C51">
      <w:pPr>
        <w:pStyle w:val="CRReference"/>
        <w:rPr>
          <w:noProof/>
        </w:rPr>
      </w:pPr>
      <w:r w:rsidRPr="00DA7C51">
        <w:rPr>
          <w:noProof/>
        </w:rPr>
        <w:fldChar w:fldCharType="begin"/>
      </w:r>
      <w:r w:rsidRPr="00DA7C51">
        <w:rPr>
          <w:noProof/>
        </w:rPr>
        <w:instrText xml:space="preserve"> QUOTE "</w:instrText>
      </w:r>
      <w:r w:rsidRPr="00DA7C51">
        <w:rPr>
          <w:rStyle w:val="CRMarker"/>
          <w:noProof/>
        </w:rPr>
        <w:instrText>ê</w:instrText>
      </w:r>
      <w:r w:rsidRPr="00DA7C51">
        <w:rPr>
          <w:noProof/>
        </w:rPr>
        <w:instrText xml:space="preserve">" </w:instrText>
      </w:r>
      <w:r w:rsidRPr="00DA7C51">
        <w:rPr>
          <w:noProof/>
        </w:rPr>
        <w:fldChar w:fldCharType="separate"/>
      </w:r>
      <w:r w:rsidRPr="00DA7C51">
        <w:rPr>
          <w:rStyle w:val="CRMarker"/>
          <w:noProof/>
        </w:rPr>
        <w:t>ê</w:t>
      </w:r>
      <w:r w:rsidRPr="00DA7C51">
        <w:rPr>
          <w:noProof/>
        </w:rPr>
        <w:fldChar w:fldCharType="end"/>
      </w:r>
      <w:r w:rsidRPr="00DA7C51">
        <w:rPr>
          <w:noProof/>
        </w:rPr>
        <w:t> </w:t>
      </w:r>
      <w:r>
        <w:rPr>
          <w:noProof/>
        </w:rPr>
        <w:t>96/53 bod odůvodnění 10 (přizpůsobený)</w:t>
      </w:r>
    </w:p>
    <w:p w14:paraId="49B93762" w14:textId="2CB6B69B" w:rsidR="0043799F" w:rsidRDefault="00C8069C" w:rsidP="00C8069C">
      <w:pPr>
        <w:pStyle w:val="ManualConsidrant"/>
        <w:rPr>
          <w:noProof/>
        </w:rPr>
      </w:pPr>
      <w:r w:rsidRPr="00C8069C">
        <w:t>(4)</w:t>
      </w:r>
      <w:r w:rsidRPr="00C8069C">
        <w:tab/>
      </w:r>
      <w:r w:rsidR="005F1F6C">
        <w:rPr>
          <w:noProof/>
        </w:rPr>
        <w:t>T</w:t>
      </w:r>
      <w:r w:rsidR="00DA7C51" w:rsidRPr="00DA7C51">
        <w:rPr>
          <w:noProof/>
        </w:rPr>
        <w:t>una je všeobecně používána a uznávána jako měrná jednotka zatížení, a je proto v této směrnici používána, přičemž se uznává, že formální jednotkou zatížení je newton</w:t>
      </w:r>
      <w:r w:rsidR="00DA7C51">
        <w:rPr>
          <w:noProof/>
        </w:rPr>
        <w:t>.</w:t>
      </w:r>
    </w:p>
    <w:p w14:paraId="22C5B8D6" w14:textId="570760F0" w:rsidR="003D127C" w:rsidRDefault="003D127C" w:rsidP="003D127C">
      <w:pPr>
        <w:pStyle w:val="CRSeparator"/>
        <w:rPr>
          <w:noProof/>
        </w:rPr>
      </w:pPr>
    </w:p>
    <w:p w14:paraId="511EB0F3" w14:textId="0BC89A2D" w:rsidR="003D127C" w:rsidRPr="003D127C" w:rsidRDefault="003D127C" w:rsidP="003D127C">
      <w:pPr>
        <w:pStyle w:val="CRReference"/>
        <w:rPr>
          <w:noProof/>
        </w:rPr>
      </w:pPr>
      <w:r w:rsidRPr="003D127C">
        <w:rPr>
          <w:noProof/>
        </w:rPr>
        <w:fldChar w:fldCharType="begin"/>
      </w:r>
      <w:r w:rsidRPr="003D127C">
        <w:rPr>
          <w:noProof/>
        </w:rPr>
        <w:instrText xml:space="preserve"> QUOTE "</w:instrText>
      </w:r>
      <w:r w:rsidRPr="003D127C">
        <w:rPr>
          <w:rStyle w:val="CRMarker"/>
          <w:noProof/>
        </w:rPr>
        <w:instrText>ê</w:instrText>
      </w:r>
      <w:r w:rsidRPr="003D127C">
        <w:rPr>
          <w:noProof/>
        </w:rPr>
        <w:instrText xml:space="preserve">" </w:instrText>
      </w:r>
      <w:r w:rsidRPr="003D127C">
        <w:rPr>
          <w:noProof/>
        </w:rPr>
        <w:fldChar w:fldCharType="separate"/>
      </w:r>
      <w:r w:rsidRPr="003D127C">
        <w:rPr>
          <w:rStyle w:val="CRMarker"/>
          <w:noProof/>
        </w:rPr>
        <w:t>ê</w:t>
      </w:r>
      <w:r w:rsidRPr="003D127C">
        <w:rPr>
          <w:noProof/>
        </w:rPr>
        <w:fldChar w:fldCharType="end"/>
      </w:r>
      <w:r w:rsidRPr="003D127C">
        <w:rPr>
          <w:noProof/>
        </w:rPr>
        <w:t> </w:t>
      </w:r>
      <w:r>
        <w:rPr>
          <w:noProof/>
        </w:rPr>
        <w:t>96/53 bod odůvodnění 11 (přizpůsobený)</w:t>
      </w:r>
    </w:p>
    <w:p w14:paraId="5D13BFBC" w14:textId="6E3CC74D" w:rsidR="00DA7C51" w:rsidRDefault="00C8069C" w:rsidP="00C8069C">
      <w:pPr>
        <w:pStyle w:val="ManualConsidrant"/>
        <w:rPr>
          <w:noProof/>
        </w:rPr>
      </w:pPr>
      <w:r w:rsidRPr="00C8069C">
        <w:t>(5)</w:t>
      </w:r>
      <w:r w:rsidRPr="00C8069C">
        <w:tab/>
      </w:r>
      <w:r w:rsidR="003D127C" w:rsidRPr="003D127C">
        <w:rPr>
          <w:noProof/>
        </w:rPr>
        <w:fldChar w:fldCharType="begin"/>
      </w:r>
      <w:r w:rsidR="003D127C" w:rsidRPr="003D127C">
        <w:rPr>
          <w:noProof/>
        </w:rPr>
        <w:instrText xml:space="preserve"> QUOTE "</w:instrText>
      </w:r>
      <w:r w:rsidR="003D127C" w:rsidRPr="00732AF8">
        <w:rPr>
          <w:rStyle w:val="CRMarker"/>
          <w:noProof/>
        </w:rPr>
        <w:instrText>Ö</w:instrText>
      </w:r>
      <w:r w:rsidR="003D127C" w:rsidRPr="003D127C">
        <w:rPr>
          <w:noProof/>
        </w:rPr>
        <w:instrText xml:space="preserve">" </w:instrText>
      </w:r>
      <w:r w:rsidR="003D127C" w:rsidRPr="003D127C">
        <w:rPr>
          <w:noProof/>
        </w:rPr>
        <w:fldChar w:fldCharType="separate"/>
      </w:r>
      <w:r w:rsidR="003D127C" w:rsidRPr="00732AF8">
        <w:rPr>
          <w:rStyle w:val="CRMarker"/>
          <w:noProof/>
        </w:rPr>
        <w:t>Ö</w:t>
      </w:r>
      <w:r w:rsidR="003D127C" w:rsidRPr="003D127C">
        <w:rPr>
          <w:noProof/>
        </w:rPr>
        <w:fldChar w:fldCharType="end"/>
      </w:r>
      <w:r w:rsidR="003D127C" w:rsidRPr="003D127C">
        <w:rPr>
          <w:noProof/>
        </w:rPr>
        <w:t> </w:t>
      </w:r>
      <w:r w:rsidR="003D127C" w:rsidRPr="00440549">
        <w:rPr>
          <w:noProof/>
        </w:rPr>
        <w:t>S cílem zajistit fungování</w:t>
      </w:r>
      <w:r w:rsidR="003D127C" w:rsidRPr="003D127C">
        <w:rPr>
          <w:noProof/>
        </w:rPr>
        <w:t> </w:t>
      </w:r>
      <w:r w:rsidR="003D127C" w:rsidRPr="003D127C">
        <w:rPr>
          <w:noProof/>
        </w:rPr>
        <w:fldChar w:fldCharType="begin"/>
      </w:r>
      <w:r w:rsidR="003D127C" w:rsidRPr="003D127C">
        <w:rPr>
          <w:noProof/>
        </w:rPr>
        <w:instrText xml:space="preserve"> QUOTE "</w:instrText>
      </w:r>
      <w:r w:rsidR="003D127C" w:rsidRPr="00732AF8">
        <w:rPr>
          <w:rStyle w:val="CRMarker"/>
          <w:noProof/>
        </w:rPr>
        <w:instrText>Õ</w:instrText>
      </w:r>
      <w:r w:rsidR="003D127C" w:rsidRPr="003D127C">
        <w:rPr>
          <w:noProof/>
        </w:rPr>
        <w:instrText xml:space="preserve">" </w:instrText>
      </w:r>
      <w:r w:rsidR="003D127C" w:rsidRPr="003D127C">
        <w:rPr>
          <w:noProof/>
        </w:rPr>
        <w:fldChar w:fldCharType="separate"/>
      </w:r>
      <w:r w:rsidR="003D127C" w:rsidRPr="00732AF8">
        <w:rPr>
          <w:rStyle w:val="CRMarker"/>
          <w:noProof/>
        </w:rPr>
        <w:t>Õ</w:t>
      </w:r>
      <w:r w:rsidR="003D127C" w:rsidRPr="003D127C">
        <w:rPr>
          <w:noProof/>
        </w:rPr>
        <w:fldChar w:fldCharType="end"/>
      </w:r>
      <w:r w:rsidR="003D127C">
        <w:rPr>
          <w:noProof/>
        </w:rPr>
        <w:t xml:space="preserve"> </w:t>
      </w:r>
      <w:r w:rsidR="003D127C" w:rsidRPr="003D127C">
        <w:rPr>
          <w:noProof/>
        </w:rPr>
        <w:t xml:space="preserve">vnitřního trhu by měla oblast působnosti této směrnice být rozšířena na vnitrostátní dopravu do míry, do jaké její vlastnosti podstatně ovlivňují hospodářskou soutěž v odvětví dopravy, zejména pokud jde o hodnoty maximální přípustné délky a šířky vozidel a souprav vozidel určených k přepravě </w:t>
      </w:r>
      <w:r w:rsidR="003D127C" w:rsidRPr="003D127C">
        <w:rPr>
          <w:noProof/>
        </w:rPr>
        <w:fldChar w:fldCharType="begin"/>
      </w:r>
      <w:r w:rsidR="003D127C" w:rsidRPr="003D127C">
        <w:rPr>
          <w:noProof/>
        </w:rPr>
        <w:instrText xml:space="preserve"> QUOTE "</w:instrText>
      </w:r>
      <w:r w:rsidR="003D127C" w:rsidRPr="00732AF8">
        <w:rPr>
          <w:rStyle w:val="CRMarker"/>
          <w:noProof/>
        </w:rPr>
        <w:instrText>Ö</w:instrText>
      </w:r>
      <w:r w:rsidR="003D127C" w:rsidRPr="003D127C">
        <w:rPr>
          <w:noProof/>
        </w:rPr>
        <w:instrText xml:space="preserve">" </w:instrText>
      </w:r>
      <w:r w:rsidR="003D127C" w:rsidRPr="003D127C">
        <w:rPr>
          <w:noProof/>
        </w:rPr>
        <w:fldChar w:fldCharType="separate"/>
      </w:r>
      <w:r w:rsidR="003D127C" w:rsidRPr="00732AF8">
        <w:rPr>
          <w:rStyle w:val="CRMarker"/>
          <w:noProof/>
        </w:rPr>
        <w:t>Ö</w:t>
      </w:r>
      <w:r w:rsidR="003D127C" w:rsidRPr="003D127C">
        <w:rPr>
          <w:noProof/>
        </w:rPr>
        <w:fldChar w:fldCharType="end"/>
      </w:r>
      <w:r w:rsidR="003D127C" w:rsidRPr="003D127C">
        <w:rPr>
          <w:noProof/>
        </w:rPr>
        <w:t> osob nebo </w:t>
      </w:r>
      <w:r w:rsidR="003D127C" w:rsidRPr="003D127C">
        <w:rPr>
          <w:noProof/>
        </w:rPr>
        <w:fldChar w:fldCharType="begin"/>
      </w:r>
      <w:r w:rsidR="003D127C" w:rsidRPr="003D127C">
        <w:rPr>
          <w:noProof/>
        </w:rPr>
        <w:instrText xml:space="preserve"> QUOTE "</w:instrText>
      </w:r>
      <w:r w:rsidR="003D127C" w:rsidRPr="00732AF8">
        <w:rPr>
          <w:rStyle w:val="CRMarker"/>
          <w:noProof/>
        </w:rPr>
        <w:instrText>Õ</w:instrText>
      </w:r>
      <w:r w:rsidR="003D127C" w:rsidRPr="003D127C">
        <w:rPr>
          <w:noProof/>
        </w:rPr>
        <w:instrText xml:space="preserve">" </w:instrText>
      </w:r>
      <w:r w:rsidR="003D127C" w:rsidRPr="003D127C">
        <w:rPr>
          <w:noProof/>
        </w:rPr>
        <w:fldChar w:fldCharType="separate"/>
      </w:r>
      <w:r w:rsidR="003D127C" w:rsidRPr="00732AF8">
        <w:rPr>
          <w:rStyle w:val="CRMarker"/>
          <w:noProof/>
        </w:rPr>
        <w:t>Õ</w:t>
      </w:r>
      <w:r w:rsidR="003D127C" w:rsidRPr="003D127C">
        <w:rPr>
          <w:noProof/>
        </w:rPr>
        <w:fldChar w:fldCharType="end"/>
      </w:r>
      <w:r w:rsidR="003D127C" w:rsidRPr="003D127C">
        <w:rPr>
          <w:noProof/>
        </w:rPr>
        <w:t xml:space="preserve"> zboží</w:t>
      </w:r>
      <w:r w:rsidR="003D127C">
        <w:rPr>
          <w:noProof/>
        </w:rPr>
        <w:t>.</w:t>
      </w:r>
    </w:p>
    <w:p w14:paraId="5448D20B" w14:textId="466073E9" w:rsidR="00535EC4" w:rsidRPr="00CF6993" w:rsidRDefault="00535EC4" w:rsidP="00535EC4">
      <w:pPr>
        <w:pStyle w:val="CRSeparator"/>
        <w:rPr>
          <w:noProof/>
          <w:lang w:val="cs-CZ"/>
        </w:rPr>
      </w:pPr>
    </w:p>
    <w:p w14:paraId="7D4B820A" w14:textId="7049865D" w:rsidR="00535EC4" w:rsidRPr="00535EC4" w:rsidRDefault="00535EC4" w:rsidP="00535EC4">
      <w:pPr>
        <w:pStyle w:val="CRReference"/>
        <w:rPr>
          <w:noProof/>
        </w:rPr>
      </w:pPr>
      <w:r w:rsidRPr="00535EC4">
        <w:rPr>
          <w:noProof/>
        </w:rPr>
        <w:fldChar w:fldCharType="begin"/>
      </w:r>
      <w:r w:rsidRPr="00535EC4">
        <w:rPr>
          <w:noProof/>
        </w:rPr>
        <w:instrText xml:space="preserve"> QUOTE "</w:instrText>
      </w:r>
      <w:r w:rsidRPr="00535EC4">
        <w:rPr>
          <w:rStyle w:val="CRMarker"/>
          <w:noProof/>
        </w:rPr>
        <w:instrText>ê</w:instrText>
      </w:r>
      <w:r w:rsidRPr="00535EC4">
        <w:rPr>
          <w:noProof/>
        </w:rPr>
        <w:instrText xml:space="preserve">" </w:instrText>
      </w:r>
      <w:r w:rsidRPr="00535EC4">
        <w:rPr>
          <w:noProof/>
        </w:rPr>
        <w:fldChar w:fldCharType="separate"/>
      </w:r>
      <w:r w:rsidRPr="00535EC4">
        <w:rPr>
          <w:rStyle w:val="CRMarker"/>
          <w:noProof/>
        </w:rPr>
        <w:t>ê</w:t>
      </w:r>
      <w:r w:rsidRPr="00535EC4">
        <w:rPr>
          <w:noProof/>
        </w:rPr>
        <w:fldChar w:fldCharType="end"/>
      </w:r>
      <w:r w:rsidRPr="00535EC4">
        <w:rPr>
          <w:noProof/>
        </w:rPr>
        <w:t> </w:t>
      </w:r>
      <w:r>
        <w:rPr>
          <w:noProof/>
        </w:rPr>
        <w:t>96/53 bod odůvodnění 12 (přizpůsobený)</w:t>
      </w:r>
    </w:p>
    <w:p w14:paraId="07E9EDD7" w14:textId="6F24B4E6" w:rsidR="003D127C" w:rsidRDefault="00C8069C" w:rsidP="00C8069C">
      <w:pPr>
        <w:pStyle w:val="ManualConsidrant"/>
        <w:rPr>
          <w:noProof/>
        </w:rPr>
      </w:pPr>
      <w:r w:rsidRPr="00C8069C">
        <w:t>(6)</w:t>
      </w:r>
      <w:r w:rsidRPr="00C8069C">
        <w:tab/>
      </w:r>
      <w:r w:rsidR="00FE4111">
        <w:rPr>
          <w:noProof/>
        </w:rPr>
        <w:t>P</w:t>
      </w:r>
      <w:r w:rsidR="00535EC4" w:rsidRPr="00535EC4">
        <w:rPr>
          <w:noProof/>
        </w:rPr>
        <w:t>ro ostatní charakteristiky vozidel jsou členské státy oprávněny na svém území uplatnit hodnoty odlišné od hodnot stanovených touto směrnicí pouze pro vozidla používaná ve vnitrostátním provozu</w:t>
      </w:r>
      <w:r w:rsidR="00535EC4">
        <w:rPr>
          <w:noProof/>
        </w:rPr>
        <w:t>.</w:t>
      </w:r>
    </w:p>
    <w:p w14:paraId="75897849" w14:textId="6CBB6C57" w:rsidR="00535EC4" w:rsidRDefault="00535EC4" w:rsidP="00535EC4">
      <w:pPr>
        <w:pStyle w:val="CRSeparator"/>
        <w:rPr>
          <w:noProof/>
        </w:rPr>
      </w:pPr>
    </w:p>
    <w:p w14:paraId="6D382DAE" w14:textId="4D5841A8" w:rsidR="00535EC4" w:rsidRPr="00535EC4" w:rsidRDefault="00535EC4" w:rsidP="00535EC4">
      <w:pPr>
        <w:pStyle w:val="CRReference"/>
        <w:rPr>
          <w:noProof/>
        </w:rPr>
      </w:pPr>
      <w:r w:rsidRPr="00535EC4">
        <w:rPr>
          <w:noProof/>
        </w:rPr>
        <w:fldChar w:fldCharType="begin"/>
      </w:r>
      <w:r w:rsidRPr="00535EC4">
        <w:rPr>
          <w:noProof/>
        </w:rPr>
        <w:instrText xml:space="preserve"> QUOTE "</w:instrText>
      </w:r>
      <w:r w:rsidRPr="00535EC4">
        <w:rPr>
          <w:rStyle w:val="CRMarker"/>
          <w:noProof/>
        </w:rPr>
        <w:instrText>ê</w:instrText>
      </w:r>
      <w:r w:rsidRPr="00535EC4">
        <w:rPr>
          <w:noProof/>
        </w:rPr>
        <w:instrText xml:space="preserve">" </w:instrText>
      </w:r>
      <w:r w:rsidRPr="00535EC4">
        <w:rPr>
          <w:noProof/>
        </w:rPr>
        <w:fldChar w:fldCharType="separate"/>
      </w:r>
      <w:r w:rsidRPr="00535EC4">
        <w:rPr>
          <w:rStyle w:val="CRMarker"/>
          <w:noProof/>
        </w:rPr>
        <w:t>ê</w:t>
      </w:r>
      <w:r w:rsidRPr="00535EC4">
        <w:rPr>
          <w:noProof/>
        </w:rPr>
        <w:fldChar w:fldCharType="end"/>
      </w:r>
      <w:r w:rsidRPr="00535EC4">
        <w:rPr>
          <w:noProof/>
        </w:rPr>
        <w:t> </w:t>
      </w:r>
      <w:r>
        <w:rPr>
          <w:noProof/>
        </w:rPr>
        <w:t>2002/7 bod odůvodnění 6</w:t>
      </w:r>
    </w:p>
    <w:p w14:paraId="2E73743F" w14:textId="45231D38" w:rsidR="00535EC4" w:rsidRDefault="00C8069C" w:rsidP="00C8069C">
      <w:pPr>
        <w:pStyle w:val="ManualConsidrant"/>
        <w:rPr>
          <w:noProof/>
        </w:rPr>
      </w:pPr>
      <w:r w:rsidRPr="00C8069C">
        <w:t>(7)</w:t>
      </w:r>
      <w:r w:rsidRPr="00C8069C">
        <w:tab/>
      </w:r>
      <w:r w:rsidR="00EE2E96" w:rsidRPr="00EE2E96">
        <w:rPr>
          <w:noProof/>
        </w:rPr>
        <w:t>Z důvodů bezpečnosti provozu na pozemních komunikacích je třeba, aby autobusy splňovaly určitá kritéria manévrovacích schopností.</w:t>
      </w:r>
    </w:p>
    <w:p w14:paraId="612070F0" w14:textId="0CA7867C" w:rsidR="00EE2E96" w:rsidRDefault="00EE2E96" w:rsidP="00EE2E96">
      <w:pPr>
        <w:pStyle w:val="CRSeparator"/>
        <w:rPr>
          <w:noProof/>
        </w:rPr>
      </w:pPr>
    </w:p>
    <w:p w14:paraId="11DF0968" w14:textId="0F061860" w:rsidR="00EE2E96" w:rsidRPr="00EE2E96" w:rsidRDefault="00EE2E96" w:rsidP="00EE2E96">
      <w:pPr>
        <w:pStyle w:val="CRReference"/>
        <w:rPr>
          <w:noProof/>
        </w:rPr>
      </w:pPr>
      <w:r w:rsidRPr="00EE2E96">
        <w:rPr>
          <w:noProof/>
        </w:rPr>
        <w:fldChar w:fldCharType="begin"/>
      </w:r>
      <w:r w:rsidRPr="00EE2E96">
        <w:rPr>
          <w:noProof/>
        </w:rPr>
        <w:instrText xml:space="preserve"> QUOTE "</w:instrText>
      </w:r>
      <w:r w:rsidRPr="00EE2E96">
        <w:rPr>
          <w:rStyle w:val="CRMarker"/>
          <w:noProof/>
        </w:rPr>
        <w:instrText>ê</w:instrText>
      </w:r>
      <w:r w:rsidRPr="00EE2E96">
        <w:rPr>
          <w:noProof/>
        </w:rPr>
        <w:instrText xml:space="preserve">" </w:instrText>
      </w:r>
      <w:r w:rsidRPr="00EE2E96">
        <w:rPr>
          <w:noProof/>
        </w:rPr>
        <w:fldChar w:fldCharType="separate"/>
      </w:r>
      <w:r w:rsidRPr="00EE2E96">
        <w:rPr>
          <w:rStyle w:val="CRMarker"/>
          <w:noProof/>
        </w:rPr>
        <w:t>ê</w:t>
      </w:r>
      <w:r w:rsidRPr="00EE2E96">
        <w:rPr>
          <w:noProof/>
        </w:rPr>
        <w:fldChar w:fldCharType="end"/>
      </w:r>
      <w:r w:rsidRPr="00EE2E96">
        <w:rPr>
          <w:noProof/>
        </w:rPr>
        <w:t> </w:t>
      </w:r>
      <w:r>
        <w:rPr>
          <w:noProof/>
        </w:rPr>
        <w:t>96/53 bod odůvodnění 13</w:t>
      </w:r>
      <w:r w:rsidR="00C9009C">
        <w:rPr>
          <w:noProof/>
        </w:rPr>
        <w:t xml:space="preserve"> (přizpůsobený)</w:t>
      </w:r>
    </w:p>
    <w:p w14:paraId="754DCA67" w14:textId="1F9C2ACF" w:rsidR="00C9009C" w:rsidRDefault="00C8069C" w:rsidP="00C8069C">
      <w:pPr>
        <w:pStyle w:val="ManualConsidrant"/>
        <w:rPr>
          <w:noProof/>
        </w:rPr>
      </w:pPr>
      <w:r w:rsidRPr="00C8069C">
        <w:t>(8)</w:t>
      </w:r>
      <w:r w:rsidRPr="00C8069C">
        <w:tab/>
      </w:r>
      <w:r w:rsidR="00FE4111">
        <w:rPr>
          <w:noProof/>
        </w:rPr>
        <w:t>P</w:t>
      </w:r>
      <w:r w:rsidR="004A2247" w:rsidRPr="004A2247">
        <w:rPr>
          <w:noProof/>
        </w:rPr>
        <w:t>řívěsové soupravy, které používají prodloužitelné systémy spřáhel, dosahují ve skutečnosti při plném prodloužení maximální délky až 18,75 m</w:t>
      </w:r>
      <w:r w:rsidR="00E0390C">
        <w:rPr>
          <w:noProof/>
        </w:rPr>
        <w:t>.</w:t>
      </w:r>
      <w:r w:rsidR="004A2247" w:rsidRPr="004A2247">
        <w:rPr>
          <w:noProof/>
        </w:rPr>
        <w:t xml:space="preserve"> </w:t>
      </w:r>
      <w:r w:rsidR="00E0390C">
        <w:rPr>
          <w:noProof/>
        </w:rPr>
        <w:t>S</w:t>
      </w:r>
      <w:r w:rsidR="004A2247" w:rsidRPr="004A2247">
        <w:rPr>
          <w:noProof/>
        </w:rPr>
        <w:t>tejná maximální délka by měla být povolena pro přívěsové soupravy používající pevný systém spřáhel</w:t>
      </w:r>
      <w:r w:rsidR="004A2247">
        <w:rPr>
          <w:noProof/>
        </w:rPr>
        <w:t>.</w:t>
      </w:r>
    </w:p>
    <w:p w14:paraId="16D28031" w14:textId="288A234B" w:rsidR="00C9009C" w:rsidRPr="00732AF8" w:rsidRDefault="00C9009C" w:rsidP="00C9009C">
      <w:pPr>
        <w:pStyle w:val="CRSeparator"/>
        <w:rPr>
          <w:noProof/>
          <w:lang w:val="cs-CZ"/>
        </w:rPr>
      </w:pPr>
    </w:p>
    <w:p w14:paraId="5678BDF9" w14:textId="740432AA" w:rsidR="00C9009C" w:rsidRPr="00C9009C" w:rsidRDefault="00C9009C" w:rsidP="00C9009C">
      <w:pPr>
        <w:pStyle w:val="CRReference"/>
        <w:rPr>
          <w:noProof/>
        </w:rPr>
      </w:pPr>
      <w:r w:rsidRPr="00C9009C">
        <w:rPr>
          <w:noProof/>
        </w:rPr>
        <w:fldChar w:fldCharType="begin"/>
      </w:r>
      <w:r w:rsidRPr="00C9009C">
        <w:rPr>
          <w:noProof/>
        </w:rPr>
        <w:instrText xml:space="preserve"> QUOTE "</w:instrText>
      </w:r>
      <w:r w:rsidRPr="00C9009C">
        <w:rPr>
          <w:rStyle w:val="CRMarker"/>
          <w:noProof/>
        </w:rPr>
        <w:instrText>ê</w:instrText>
      </w:r>
      <w:r w:rsidRPr="00C9009C">
        <w:rPr>
          <w:noProof/>
        </w:rPr>
        <w:instrText xml:space="preserve">" </w:instrText>
      </w:r>
      <w:r w:rsidRPr="00C9009C">
        <w:rPr>
          <w:noProof/>
        </w:rPr>
        <w:fldChar w:fldCharType="separate"/>
      </w:r>
      <w:r w:rsidRPr="00C9009C">
        <w:rPr>
          <w:rStyle w:val="CRMarker"/>
          <w:noProof/>
        </w:rPr>
        <w:t>ê</w:t>
      </w:r>
      <w:r w:rsidRPr="00C9009C">
        <w:rPr>
          <w:noProof/>
        </w:rPr>
        <w:fldChar w:fldCharType="end"/>
      </w:r>
      <w:r w:rsidRPr="00C9009C">
        <w:rPr>
          <w:noProof/>
        </w:rPr>
        <w:t> </w:t>
      </w:r>
      <w:r>
        <w:rPr>
          <w:noProof/>
        </w:rPr>
        <w:t>96/53 bod odůvodnění 16 (přizpůsobený)</w:t>
      </w:r>
    </w:p>
    <w:p w14:paraId="77D166AD" w14:textId="1F872B7D" w:rsidR="004A2247" w:rsidRDefault="00C8069C" w:rsidP="00C8069C">
      <w:pPr>
        <w:pStyle w:val="ManualConsidrant"/>
        <w:rPr>
          <w:noProof/>
        </w:rPr>
      </w:pPr>
      <w:r w:rsidRPr="00C8069C">
        <w:t>(9)</w:t>
      </w:r>
      <w:r w:rsidRPr="00C8069C">
        <w:tab/>
      </w:r>
      <w:r w:rsidR="0074236E">
        <w:rPr>
          <w:noProof/>
        </w:rPr>
        <w:t>S</w:t>
      </w:r>
      <w:r w:rsidR="00C9009C" w:rsidRPr="00C9009C">
        <w:rPr>
          <w:noProof/>
        </w:rPr>
        <w:t xml:space="preserve"> cílem zabránit nadměrnému poškozování pozemních komunikací a zajistit manévrovací schopnosti by při schvalování a používání vozidel měla být dávána přednost pneumatickému nebo rovnocennému zavěšení před mechanickým zavěšením; že určité maximální hodnoty zatížení na nápravu nesmějí být překročeny a vozidlo musí být schopno otočit se o 360° při určitých mezních hodnotách pro dráhu vozidlem sledovanou</w:t>
      </w:r>
      <w:r w:rsidR="00C9009C">
        <w:rPr>
          <w:noProof/>
        </w:rPr>
        <w:t>.</w:t>
      </w:r>
    </w:p>
    <w:p w14:paraId="53D340D4" w14:textId="37ED5C7D" w:rsidR="00C9009C" w:rsidRDefault="00C9009C" w:rsidP="00C9009C">
      <w:pPr>
        <w:pStyle w:val="CRSeparator"/>
        <w:rPr>
          <w:noProof/>
        </w:rPr>
      </w:pPr>
    </w:p>
    <w:p w14:paraId="28020C31" w14:textId="2079DDC2" w:rsidR="00C9009C" w:rsidRPr="00C9009C" w:rsidRDefault="00C9009C" w:rsidP="00C9009C">
      <w:pPr>
        <w:pStyle w:val="CRReference"/>
        <w:rPr>
          <w:noProof/>
        </w:rPr>
      </w:pPr>
      <w:r w:rsidRPr="00C9009C">
        <w:rPr>
          <w:noProof/>
        </w:rPr>
        <w:fldChar w:fldCharType="begin"/>
      </w:r>
      <w:r w:rsidRPr="00C9009C">
        <w:rPr>
          <w:noProof/>
        </w:rPr>
        <w:instrText xml:space="preserve"> QUOTE "</w:instrText>
      </w:r>
      <w:r w:rsidRPr="00C9009C">
        <w:rPr>
          <w:rStyle w:val="CRMarker"/>
          <w:noProof/>
        </w:rPr>
        <w:instrText>ê</w:instrText>
      </w:r>
      <w:r w:rsidRPr="00C9009C">
        <w:rPr>
          <w:noProof/>
        </w:rPr>
        <w:instrText xml:space="preserve">" </w:instrText>
      </w:r>
      <w:r w:rsidRPr="00C9009C">
        <w:rPr>
          <w:noProof/>
        </w:rPr>
        <w:fldChar w:fldCharType="separate"/>
      </w:r>
      <w:r w:rsidRPr="00C9009C">
        <w:rPr>
          <w:rStyle w:val="CRMarker"/>
          <w:noProof/>
        </w:rPr>
        <w:t>ê</w:t>
      </w:r>
      <w:r w:rsidRPr="00C9009C">
        <w:rPr>
          <w:noProof/>
        </w:rPr>
        <w:fldChar w:fldCharType="end"/>
      </w:r>
      <w:r w:rsidRPr="00C9009C">
        <w:rPr>
          <w:noProof/>
        </w:rPr>
        <w:t> </w:t>
      </w:r>
      <w:r>
        <w:rPr>
          <w:noProof/>
        </w:rPr>
        <w:t>96/53 bod odůvodnění 17 (přizpůsobený)</w:t>
      </w:r>
    </w:p>
    <w:p w14:paraId="7E972DE4" w14:textId="20A97200" w:rsidR="00C9009C" w:rsidRDefault="00C8069C" w:rsidP="00C8069C">
      <w:pPr>
        <w:pStyle w:val="ManualConsidrant"/>
        <w:rPr>
          <w:noProof/>
        </w:rPr>
      </w:pPr>
      <w:r w:rsidRPr="00C8069C">
        <w:t>(10)</w:t>
      </w:r>
      <w:r w:rsidRPr="00C8069C">
        <w:tab/>
      </w:r>
      <w:r w:rsidR="0074236E">
        <w:rPr>
          <w:noProof/>
        </w:rPr>
        <w:t>Č</w:t>
      </w:r>
      <w:r w:rsidR="00C9009C" w:rsidRPr="00C9009C">
        <w:rPr>
          <w:noProof/>
        </w:rPr>
        <w:t xml:space="preserve">lenské státy </w:t>
      </w:r>
      <w:r w:rsidR="0074236E">
        <w:rPr>
          <w:noProof/>
        </w:rPr>
        <w:t xml:space="preserve">by </w:t>
      </w:r>
      <w:r w:rsidR="00C9009C" w:rsidRPr="00C9009C">
        <w:rPr>
          <w:noProof/>
        </w:rPr>
        <w:t>měly mít pro vnitrostátní nákladní dopravu možnost povolit na svém území provoz vozidlům nebo soupravám vozidel s rozměry odchylnými od rozměrů stanovených v této směrnici pokud je doprava provozována takovými vozidly definována touto směrnicí jako doprava, která podstatně neovlivňuje mezinárodní hospodářskou soutěž v odvětví dopravy, tj. doprava provozovaná specializovanými vozidly a doprava podle modulového přístupu</w:t>
      </w:r>
      <w:r w:rsidR="00C9009C">
        <w:rPr>
          <w:noProof/>
        </w:rPr>
        <w:t>.</w:t>
      </w:r>
    </w:p>
    <w:p w14:paraId="29C4571C" w14:textId="1AF48BC1" w:rsidR="00CF03CF" w:rsidRDefault="00CF03CF" w:rsidP="00CF03CF">
      <w:pPr>
        <w:pStyle w:val="CRSeparator"/>
        <w:rPr>
          <w:noProof/>
        </w:rPr>
      </w:pPr>
    </w:p>
    <w:p w14:paraId="32A22E06" w14:textId="76D8CDE2" w:rsidR="00CF03CF" w:rsidRPr="00CF03CF" w:rsidRDefault="00CF03CF" w:rsidP="00CF03CF">
      <w:pPr>
        <w:pStyle w:val="CRReference"/>
        <w:rPr>
          <w:noProof/>
        </w:rPr>
      </w:pPr>
      <w:r w:rsidRPr="00CF03CF">
        <w:rPr>
          <w:noProof/>
        </w:rPr>
        <w:fldChar w:fldCharType="begin"/>
      </w:r>
      <w:r w:rsidRPr="00CF03CF">
        <w:rPr>
          <w:noProof/>
        </w:rPr>
        <w:instrText xml:space="preserve"> QUOTE "</w:instrText>
      </w:r>
      <w:r w:rsidRPr="00CF03CF">
        <w:rPr>
          <w:rStyle w:val="CRMarker"/>
          <w:noProof/>
        </w:rPr>
        <w:instrText>ê</w:instrText>
      </w:r>
      <w:r w:rsidRPr="00CF03CF">
        <w:rPr>
          <w:noProof/>
        </w:rPr>
        <w:instrText xml:space="preserve">" </w:instrText>
      </w:r>
      <w:r w:rsidRPr="00CF03CF">
        <w:rPr>
          <w:noProof/>
        </w:rPr>
        <w:fldChar w:fldCharType="separate"/>
      </w:r>
      <w:r w:rsidRPr="00CF03CF">
        <w:rPr>
          <w:rStyle w:val="CRMarker"/>
          <w:noProof/>
        </w:rPr>
        <w:t>ê</w:t>
      </w:r>
      <w:r w:rsidRPr="00CF03CF">
        <w:rPr>
          <w:noProof/>
        </w:rPr>
        <w:fldChar w:fldCharType="end"/>
      </w:r>
      <w:r w:rsidRPr="00CF03CF">
        <w:rPr>
          <w:noProof/>
        </w:rPr>
        <w:t> </w:t>
      </w:r>
      <w:r>
        <w:rPr>
          <w:noProof/>
        </w:rPr>
        <w:t>96/53 bod odůvodnění 19 (přizpůsobený)</w:t>
      </w:r>
    </w:p>
    <w:p w14:paraId="637E85B9" w14:textId="69DEBA99" w:rsidR="00C9009C" w:rsidRDefault="00C8069C" w:rsidP="00C8069C">
      <w:pPr>
        <w:pStyle w:val="ManualConsidrant"/>
        <w:rPr>
          <w:noProof/>
        </w:rPr>
      </w:pPr>
      <w:r w:rsidRPr="00C8069C">
        <w:t>(11)</w:t>
      </w:r>
      <w:r w:rsidRPr="00C8069C">
        <w:tab/>
      </w:r>
      <w:r w:rsidR="000C1D94">
        <w:rPr>
          <w:noProof/>
        </w:rPr>
        <w:t>V</w:t>
      </w:r>
      <w:r w:rsidR="00CF03CF" w:rsidRPr="00CF03CF">
        <w:rPr>
          <w:noProof/>
        </w:rPr>
        <w:t xml:space="preserve"> zájmu umožnit zisk z technického pokroku </w:t>
      </w:r>
      <w:r w:rsidR="000C1D94">
        <w:rPr>
          <w:noProof/>
        </w:rPr>
        <w:t xml:space="preserve">by </w:t>
      </w:r>
      <w:r w:rsidR="00CF03CF" w:rsidRPr="00CF03CF">
        <w:rPr>
          <w:noProof/>
        </w:rPr>
        <w:t>mělo být povoleno provozovat místní dopravu po zkušební období vozidly nebo soupravami vozidel, při jejichž výrobě byly podle norem odchylných od norem stanovených touto směrnicí uplatněny nové technologie nebo nové koncepce</w:t>
      </w:r>
      <w:r w:rsidR="00CF03CF">
        <w:rPr>
          <w:noProof/>
        </w:rPr>
        <w:t>.</w:t>
      </w:r>
    </w:p>
    <w:p w14:paraId="4712EC4E" w14:textId="2B7336D5" w:rsidR="00CF03CF" w:rsidRDefault="00CF03CF" w:rsidP="00CF03CF">
      <w:pPr>
        <w:pStyle w:val="CRSeparator"/>
        <w:rPr>
          <w:noProof/>
        </w:rPr>
      </w:pPr>
    </w:p>
    <w:p w14:paraId="7E0B641D" w14:textId="7C9E66B7" w:rsidR="00CF03CF" w:rsidRPr="00CF03CF" w:rsidRDefault="00CF03CF" w:rsidP="00CF03CF">
      <w:pPr>
        <w:pStyle w:val="CRReference"/>
        <w:rPr>
          <w:noProof/>
        </w:rPr>
      </w:pPr>
      <w:r w:rsidRPr="00CF03CF">
        <w:rPr>
          <w:noProof/>
        </w:rPr>
        <w:fldChar w:fldCharType="begin"/>
      </w:r>
      <w:r w:rsidRPr="00CF03CF">
        <w:rPr>
          <w:noProof/>
        </w:rPr>
        <w:instrText xml:space="preserve"> QUOTE "</w:instrText>
      </w:r>
      <w:r w:rsidRPr="00CF03CF">
        <w:rPr>
          <w:rStyle w:val="CRMarker"/>
          <w:noProof/>
        </w:rPr>
        <w:instrText>ê</w:instrText>
      </w:r>
      <w:r w:rsidRPr="00CF03CF">
        <w:rPr>
          <w:noProof/>
        </w:rPr>
        <w:instrText xml:space="preserve">" </w:instrText>
      </w:r>
      <w:r w:rsidRPr="00CF03CF">
        <w:rPr>
          <w:noProof/>
        </w:rPr>
        <w:fldChar w:fldCharType="separate"/>
      </w:r>
      <w:r w:rsidRPr="00CF03CF">
        <w:rPr>
          <w:rStyle w:val="CRMarker"/>
          <w:noProof/>
        </w:rPr>
        <w:t>ê</w:t>
      </w:r>
      <w:r w:rsidRPr="00CF03CF">
        <w:rPr>
          <w:noProof/>
        </w:rPr>
        <w:fldChar w:fldCharType="end"/>
      </w:r>
      <w:r w:rsidRPr="00CF03CF">
        <w:rPr>
          <w:noProof/>
        </w:rPr>
        <w:t> </w:t>
      </w:r>
      <w:r>
        <w:rPr>
          <w:noProof/>
        </w:rPr>
        <w:t>96/53 bod odůvodnění 23 (přizpůsobený)</w:t>
      </w:r>
    </w:p>
    <w:p w14:paraId="3BEDE9AA" w14:textId="71D3EAAC" w:rsidR="00CF03CF" w:rsidRDefault="00C8069C" w:rsidP="00C8069C">
      <w:pPr>
        <w:pStyle w:val="ManualConsidrant"/>
        <w:rPr>
          <w:noProof/>
        </w:rPr>
      </w:pPr>
      <w:r w:rsidRPr="00C8069C">
        <w:t>(12)</w:t>
      </w:r>
      <w:r w:rsidRPr="00C8069C">
        <w:tab/>
      </w:r>
      <w:r w:rsidR="00E01892">
        <w:rPr>
          <w:noProof/>
        </w:rPr>
        <w:t>Z</w:t>
      </w:r>
      <w:r w:rsidR="00CF03CF" w:rsidRPr="00CF03CF">
        <w:rPr>
          <w:noProof/>
        </w:rPr>
        <w:t>a účelem usnadnění kontroly souladu s touto směrnicí je nezbytné zajistit, aby vozidla byla vybavena důkazem o tomto souladu</w:t>
      </w:r>
      <w:r w:rsidR="00CF03CF">
        <w:rPr>
          <w:noProof/>
        </w:rPr>
        <w:t>.</w:t>
      </w:r>
    </w:p>
    <w:p w14:paraId="57C3ED4A" w14:textId="3D196BFD" w:rsidR="00DA603C" w:rsidRDefault="00DA603C" w:rsidP="00DA603C">
      <w:pPr>
        <w:pStyle w:val="CRSeparator"/>
        <w:rPr>
          <w:noProof/>
        </w:rPr>
      </w:pPr>
    </w:p>
    <w:p w14:paraId="135099C3" w14:textId="2C0A88FA" w:rsidR="00DA603C" w:rsidRPr="00DA603C" w:rsidRDefault="00DA603C" w:rsidP="00DA603C">
      <w:pPr>
        <w:pStyle w:val="CRReference"/>
        <w:rPr>
          <w:noProof/>
        </w:rPr>
      </w:pPr>
      <w:r w:rsidRPr="00DA603C">
        <w:rPr>
          <w:noProof/>
        </w:rPr>
        <w:fldChar w:fldCharType="begin"/>
      </w:r>
      <w:r w:rsidRPr="00DA603C">
        <w:rPr>
          <w:noProof/>
        </w:rPr>
        <w:instrText xml:space="preserve"> QUOTE "</w:instrText>
      </w:r>
      <w:r w:rsidRPr="00DA603C">
        <w:rPr>
          <w:rStyle w:val="CRMarker"/>
          <w:noProof/>
        </w:rPr>
        <w:instrText>ê</w:instrText>
      </w:r>
      <w:r w:rsidRPr="00DA603C">
        <w:rPr>
          <w:noProof/>
        </w:rPr>
        <w:instrText xml:space="preserve">" </w:instrText>
      </w:r>
      <w:r w:rsidRPr="00DA603C">
        <w:rPr>
          <w:noProof/>
        </w:rPr>
        <w:fldChar w:fldCharType="separate"/>
      </w:r>
      <w:r w:rsidRPr="00DA603C">
        <w:rPr>
          <w:rStyle w:val="CRMarker"/>
          <w:noProof/>
        </w:rPr>
        <w:t>ê</w:t>
      </w:r>
      <w:r w:rsidRPr="00DA603C">
        <w:rPr>
          <w:noProof/>
        </w:rPr>
        <w:fldChar w:fldCharType="end"/>
      </w:r>
      <w:r w:rsidRPr="00DA603C">
        <w:rPr>
          <w:noProof/>
        </w:rPr>
        <w:t> </w:t>
      </w:r>
      <w:r>
        <w:rPr>
          <w:noProof/>
        </w:rPr>
        <w:t>2015/719 bod odůvodnění 1</w:t>
      </w:r>
    </w:p>
    <w:p w14:paraId="04893E01" w14:textId="73DC9F30" w:rsidR="00CF03CF" w:rsidRDefault="00C8069C" w:rsidP="00C8069C">
      <w:pPr>
        <w:pStyle w:val="ManualConsidrant"/>
        <w:rPr>
          <w:noProof/>
        </w:rPr>
      </w:pPr>
      <w:r w:rsidRPr="00C8069C">
        <w:t>(13)</w:t>
      </w:r>
      <w:r w:rsidRPr="00C8069C">
        <w:tab/>
      </w:r>
      <w:r w:rsidR="00DA603C" w:rsidRPr="00DA603C">
        <w:rPr>
          <w:noProof/>
        </w:rPr>
        <w:t>Měla by být zdůrazněna potřeba snížit emise skleníkových plynů, a zejména oxidu uhličitého (CO2), zvýšit bezpečnost silničního provozu, přizpůsobit příslušné právní předpisy technologickému vývoji a měnícím se potřebám trhu a usnadnit operace intermodální přepravy a současně by mělo b</w:t>
      </w:r>
      <w:r w:rsidR="00CF6993">
        <w:rPr>
          <w:noProof/>
        </w:rPr>
        <w:t>ýt zajištěno, aby nedocházelo k </w:t>
      </w:r>
      <w:r w:rsidR="00DA603C" w:rsidRPr="00DA603C">
        <w:rPr>
          <w:noProof/>
        </w:rPr>
        <w:t>narušování hospodářské soutěže a aby byla chráněna silniční infrastruktura.</w:t>
      </w:r>
    </w:p>
    <w:p w14:paraId="2FF17380" w14:textId="7FE84E9F" w:rsidR="00DA603C" w:rsidRDefault="00DA603C" w:rsidP="00DA603C">
      <w:pPr>
        <w:pStyle w:val="CRSeparator"/>
        <w:rPr>
          <w:noProof/>
        </w:rPr>
      </w:pPr>
    </w:p>
    <w:p w14:paraId="0E1D1D3B" w14:textId="3C313F2C" w:rsidR="00DA603C" w:rsidRPr="00DA603C" w:rsidRDefault="00DA603C" w:rsidP="00DA603C">
      <w:pPr>
        <w:pStyle w:val="CRReference"/>
        <w:rPr>
          <w:noProof/>
        </w:rPr>
      </w:pPr>
      <w:r w:rsidRPr="00DA603C">
        <w:rPr>
          <w:noProof/>
        </w:rPr>
        <w:fldChar w:fldCharType="begin"/>
      </w:r>
      <w:r w:rsidRPr="00DA603C">
        <w:rPr>
          <w:noProof/>
        </w:rPr>
        <w:instrText xml:space="preserve"> QUOTE "</w:instrText>
      </w:r>
      <w:r w:rsidRPr="00DA603C">
        <w:rPr>
          <w:rStyle w:val="CRMarker"/>
          <w:noProof/>
        </w:rPr>
        <w:instrText>ê</w:instrText>
      </w:r>
      <w:r w:rsidRPr="00DA603C">
        <w:rPr>
          <w:noProof/>
        </w:rPr>
        <w:instrText xml:space="preserve">" </w:instrText>
      </w:r>
      <w:r w:rsidRPr="00DA603C">
        <w:rPr>
          <w:noProof/>
        </w:rPr>
        <w:fldChar w:fldCharType="separate"/>
      </w:r>
      <w:r w:rsidRPr="00DA603C">
        <w:rPr>
          <w:rStyle w:val="CRMarker"/>
          <w:noProof/>
        </w:rPr>
        <w:t>ê</w:t>
      </w:r>
      <w:r w:rsidRPr="00DA603C">
        <w:rPr>
          <w:noProof/>
        </w:rPr>
        <w:fldChar w:fldCharType="end"/>
      </w:r>
      <w:r w:rsidRPr="00DA603C">
        <w:rPr>
          <w:noProof/>
        </w:rPr>
        <w:t> </w:t>
      </w:r>
      <w:r>
        <w:rPr>
          <w:noProof/>
        </w:rPr>
        <w:t>2015/719 bod odůvodnění 2 (přizpůsobený)</w:t>
      </w:r>
    </w:p>
    <w:p w14:paraId="7DFBFF88" w14:textId="3261FABB" w:rsidR="00DA603C" w:rsidRPr="005C274E" w:rsidRDefault="00C8069C" w:rsidP="00C8069C">
      <w:pPr>
        <w:pStyle w:val="ManualConsidrant"/>
        <w:rPr>
          <w:noProof/>
        </w:rPr>
      </w:pPr>
      <w:r w:rsidRPr="00C8069C">
        <w:t>(14)</w:t>
      </w:r>
      <w:r w:rsidRPr="00C8069C">
        <w:tab/>
      </w:r>
      <w:r w:rsidR="00DA603C" w:rsidRPr="00DA603C">
        <w:rPr>
          <w:noProof/>
          <w:lang w:val="fr-FR" w:eastAsia="da-DK"/>
        </w:rPr>
        <w:t>Technologický vývoj umožňuje montáž zatahovacích nebo skládacích aerodynamických zařízení na zadní části vozidla. Důsledkem této montáže by však bylo překročení maximální délky vozidla. Je tedy zapotřebí stanovit u maximální délky vozidla výjimku</w:t>
      </w:r>
      <w:r w:rsidR="00DA603C">
        <w:rPr>
          <w:noProof/>
          <w:lang w:val="fr-FR" w:eastAsia="da-DK"/>
        </w:rPr>
        <w:t xml:space="preserve"> </w:t>
      </w:r>
      <w:r w:rsidR="00DA603C" w:rsidRPr="00732AF8">
        <w:rPr>
          <w:noProof/>
        </w:rPr>
        <w:fldChar w:fldCharType="begin"/>
      </w:r>
      <w:r w:rsidR="00DA603C" w:rsidRPr="00732AF8">
        <w:rPr>
          <w:noProof/>
        </w:rPr>
        <w:instrText xml:space="preserve"> QUOTE "</w:instrText>
      </w:r>
      <w:r w:rsidR="00DA603C" w:rsidRPr="00732AF8">
        <w:rPr>
          <w:rStyle w:val="CRMarker"/>
          <w:noProof/>
        </w:rPr>
        <w:instrText>Ö</w:instrText>
      </w:r>
      <w:r w:rsidR="00DA603C" w:rsidRPr="00732AF8">
        <w:rPr>
          <w:noProof/>
        </w:rPr>
        <w:instrText xml:space="preserve">" </w:instrText>
      </w:r>
      <w:r w:rsidR="00DA603C" w:rsidRPr="00732AF8">
        <w:rPr>
          <w:noProof/>
        </w:rPr>
        <w:fldChar w:fldCharType="separate"/>
      </w:r>
      <w:r w:rsidR="00DA603C" w:rsidRPr="00732AF8">
        <w:rPr>
          <w:rStyle w:val="CRMarker"/>
          <w:noProof/>
        </w:rPr>
        <w:t>Ö</w:t>
      </w:r>
      <w:r w:rsidR="00DA603C" w:rsidRPr="00732AF8">
        <w:rPr>
          <w:noProof/>
        </w:rPr>
        <w:fldChar w:fldCharType="end"/>
      </w:r>
      <w:r w:rsidR="00DA603C" w:rsidRPr="00DA603C">
        <w:rPr>
          <w:noProof/>
        </w:rPr>
        <w:t> </w:t>
      </w:r>
      <w:r w:rsidR="00DA603C" w:rsidRPr="0066121D">
        <w:rPr>
          <w:rFonts w:eastAsia="Times New Roman"/>
          <w:noProof/>
          <w:szCs w:val="24"/>
          <w:lang w:val="fr-FR" w:eastAsia="da-DK"/>
        </w:rPr>
        <w:t>přípustn</w:t>
      </w:r>
      <w:r w:rsidR="00FD409D" w:rsidRPr="00732AF8">
        <w:rPr>
          <w:rFonts w:eastAsia="Times New Roman"/>
          <w:noProof/>
          <w:szCs w:val="24"/>
          <w:lang w:val="fr-FR" w:eastAsia="da-DK"/>
        </w:rPr>
        <w:t>ou</w:t>
      </w:r>
      <w:r w:rsidR="00DA603C" w:rsidRPr="0066121D">
        <w:rPr>
          <w:rFonts w:eastAsia="Times New Roman"/>
          <w:noProof/>
          <w:szCs w:val="24"/>
          <w:lang w:val="fr-FR" w:eastAsia="da-DK"/>
        </w:rPr>
        <w:t xml:space="preserve"> podle příloh</w:t>
      </w:r>
      <w:r w:rsidR="00FD409D" w:rsidRPr="00732AF8">
        <w:rPr>
          <w:rFonts w:eastAsia="Times New Roman"/>
          <w:noProof/>
          <w:szCs w:val="24"/>
          <w:lang w:val="fr-FR" w:eastAsia="da-DK"/>
        </w:rPr>
        <w:t>y</w:t>
      </w:r>
      <w:r w:rsidR="00DA603C" w:rsidRPr="0066121D">
        <w:rPr>
          <w:rFonts w:eastAsia="Times New Roman"/>
          <w:noProof/>
          <w:szCs w:val="24"/>
          <w:lang w:val="fr-FR" w:eastAsia="da-DK"/>
        </w:rPr>
        <w:t xml:space="preserve"> I této směrnice</w:t>
      </w:r>
      <w:r w:rsidR="00DA603C" w:rsidRPr="00732AF8">
        <w:rPr>
          <w:noProof/>
        </w:rPr>
        <w:t> </w:t>
      </w:r>
      <w:r w:rsidR="00DA603C" w:rsidRPr="00DA603C">
        <w:rPr>
          <w:noProof/>
        </w:rPr>
        <w:fldChar w:fldCharType="begin"/>
      </w:r>
      <w:r w:rsidR="00DA603C" w:rsidRPr="00DA603C">
        <w:rPr>
          <w:noProof/>
        </w:rPr>
        <w:instrText xml:space="preserve"> QUOTE "</w:instrText>
      </w:r>
      <w:r w:rsidR="00DA603C" w:rsidRPr="00732AF8">
        <w:rPr>
          <w:rStyle w:val="CRMarker"/>
          <w:noProof/>
        </w:rPr>
        <w:instrText>Õ</w:instrText>
      </w:r>
      <w:r w:rsidR="00DA603C" w:rsidRPr="00DA603C">
        <w:rPr>
          <w:noProof/>
        </w:rPr>
        <w:instrText xml:space="preserve">" </w:instrText>
      </w:r>
      <w:r w:rsidR="00DA603C" w:rsidRPr="00DA603C">
        <w:rPr>
          <w:noProof/>
        </w:rPr>
        <w:fldChar w:fldCharType="separate"/>
      </w:r>
      <w:r w:rsidR="00DA603C" w:rsidRPr="00732AF8">
        <w:rPr>
          <w:rStyle w:val="CRMarker"/>
          <w:noProof/>
        </w:rPr>
        <w:t>Õ</w:t>
      </w:r>
      <w:r w:rsidR="00DA603C" w:rsidRPr="00DA603C">
        <w:rPr>
          <w:noProof/>
        </w:rPr>
        <w:fldChar w:fldCharType="end"/>
      </w:r>
      <w:r w:rsidR="00DA603C" w:rsidRPr="00CA39FE">
        <w:rPr>
          <w:noProof/>
          <w:lang w:eastAsia="da-DK"/>
        </w:rPr>
        <w:t xml:space="preserve"> aby taková zařízení mohla být nainstalována.</w:t>
      </w:r>
    </w:p>
    <w:p w14:paraId="60D80A79" w14:textId="4207DED1" w:rsidR="005C274E" w:rsidRPr="00CA39FE" w:rsidRDefault="005C274E" w:rsidP="005C274E">
      <w:pPr>
        <w:pStyle w:val="CRSeparator"/>
        <w:rPr>
          <w:noProof/>
          <w:lang w:val="cs-CZ"/>
        </w:rPr>
      </w:pPr>
    </w:p>
    <w:p w14:paraId="42FBCB9F" w14:textId="595EF8D0" w:rsidR="005C274E" w:rsidRPr="005C274E" w:rsidRDefault="005C274E" w:rsidP="005C274E">
      <w:pPr>
        <w:pStyle w:val="CRReference"/>
        <w:rPr>
          <w:noProof/>
        </w:rPr>
      </w:pPr>
      <w:r w:rsidRPr="005C274E">
        <w:rPr>
          <w:noProof/>
        </w:rPr>
        <w:fldChar w:fldCharType="begin"/>
      </w:r>
      <w:r w:rsidRPr="005C274E">
        <w:rPr>
          <w:noProof/>
        </w:rPr>
        <w:instrText xml:space="preserve"> QUOTE "</w:instrText>
      </w:r>
      <w:r w:rsidRPr="005C274E">
        <w:rPr>
          <w:rStyle w:val="CRMarker"/>
          <w:noProof/>
        </w:rPr>
        <w:instrText>ê</w:instrText>
      </w:r>
      <w:r w:rsidRPr="005C274E">
        <w:rPr>
          <w:noProof/>
        </w:rPr>
        <w:instrText xml:space="preserve">" </w:instrText>
      </w:r>
      <w:r w:rsidRPr="005C274E">
        <w:rPr>
          <w:noProof/>
        </w:rPr>
        <w:fldChar w:fldCharType="separate"/>
      </w:r>
      <w:r w:rsidRPr="005C274E">
        <w:rPr>
          <w:rStyle w:val="CRMarker"/>
          <w:noProof/>
        </w:rPr>
        <w:t>ê</w:t>
      </w:r>
      <w:r w:rsidRPr="005C274E">
        <w:rPr>
          <w:noProof/>
        </w:rPr>
        <w:fldChar w:fldCharType="end"/>
      </w:r>
      <w:r w:rsidRPr="005C274E">
        <w:rPr>
          <w:noProof/>
        </w:rPr>
        <w:t> </w:t>
      </w:r>
      <w:r>
        <w:rPr>
          <w:noProof/>
        </w:rPr>
        <w:t>2015/719 bod odůvodnění 3</w:t>
      </w:r>
      <w:r w:rsidR="00B12818">
        <w:rPr>
          <w:noProof/>
        </w:rPr>
        <w:t xml:space="preserve"> (přizpůsobený)</w:t>
      </w:r>
    </w:p>
    <w:p w14:paraId="5EBB789B" w14:textId="0E7B7C73" w:rsidR="005C274E" w:rsidRDefault="00C8069C" w:rsidP="00C8069C">
      <w:pPr>
        <w:pStyle w:val="ManualConsidrant"/>
        <w:rPr>
          <w:noProof/>
        </w:rPr>
      </w:pPr>
      <w:r w:rsidRPr="00C8069C">
        <w:t>(15)</w:t>
      </w:r>
      <w:r w:rsidRPr="00C8069C">
        <w:tab/>
      </w:r>
      <w:r w:rsidR="005C274E" w:rsidRPr="005C274E">
        <w:rPr>
          <w:noProof/>
        </w:rPr>
        <w:t>Zlepšená aerodynamika kabiny motorových vozidel by rovněž umožnila výrazně zvýšit energetickou účinnost vozidel, a to případně ve spojení se zatahovacími nebo skládacími aerodynamickými zařízeními namontovanými na zadní části vozidla. Také je zapotřebí stanovit u maximální délky vozidla výjimku</w:t>
      </w:r>
      <w:r w:rsidR="00B12818">
        <w:rPr>
          <w:noProof/>
        </w:rPr>
        <w:t xml:space="preserve"> </w:t>
      </w:r>
      <w:r w:rsidR="00B12818" w:rsidRPr="00B12818">
        <w:rPr>
          <w:noProof/>
        </w:rPr>
        <w:fldChar w:fldCharType="begin"/>
      </w:r>
      <w:r w:rsidR="00B12818" w:rsidRPr="00B12818">
        <w:rPr>
          <w:noProof/>
        </w:rPr>
        <w:instrText xml:space="preserve"> </w:instrText>
      </w:r>
      <w:r w:rsidR="00B12818" w:rsidRPr="006D7F17">
        <w:rPr>
          <w:noProof/>
        </w:rPr>
        <w:instrText>QUOTE "</w:instrText>
      </w:r>
      <w:r w:rsidR="00B12818" w:rsidRPr="00732AF8">
        <w:rPr>
          <w:rStyle w:val="CRMarker"/>
          <w:noProof/>
        </w:rPr>
        <w:instrText>Ö</w:instrText>
      </w:r>
      <w:r w:rsidR="00B12818" w:rsidRPr="00B12818">
        <w:rPr>
          <w:noProof/>
        </w:rPr>
        <w:instrText>"</w:instrText>
      </w:r>
      <w:r w:rsidR="00B12818" w:rsidRPr="006D7F17">
        <w:rPr>
          <w:noProof/>
        </w:rPr>
        <w:instrText xml:space="preserve"> </w:instrText>
      </w:r>
      <w:r w:rsidR="00B12818" w:rsidRPr="00B12818">
        <w:rPr>
          <w:noProof/>
        </w:rPr>
        <w:fldChar w:fldCharType="separate"/>
      </w:r>
      <w:r w:rsidR="00B12818" w:rsidRPr="00732AF8">
        <w:rPr>
          <w:rStyle w:val="CRMarker"/>
          <w:noProof/>
        </w:rPr>
        <w:t>Ö</w:t>
      </w:r>
      <w:r w:rsidR="00B12818" w:rsidRPr="00B12818">
        <w:rPr>
          <w:noProof/>
        </w:rPr>
        <w:fldChar w:fldCharType="end"/>
      </w:r>
      <w:r w:rsidR="00B12818" w:rsidRPr="00B12818">
        <w:rPr>
          <w:noProof/>
        </w:rPr>
        <w:t> </w:t>
      </w:r>
      <w:r w:rsidR="0044049C" w:rsidRPr="0044049C">
        <w:rPr>
          <w:noProof/>
        </w:rPr>
        <w:t xml:space="preserve">stanovenou v </w:t>
      </w:r>
      <w:r w:rsidR="00B12818" w:rsidRPr="00732AF8">
        <w:rPr>
          <w:rFonts w:eastAsia="Times New Roman"/>
          <w:noProof/>
          <w:szCs w:val="24"/>
          <w:lang w:eastAsia="da-DK"/>
        </w:rPr>
        <w:t>přílo</w:t>
      </w:r>
      <w:r w:rsidR="0044049C" w:rsidRPr="00732AF8">
        <w:rPr>
          <w:rFonts w:eastAsia="Times New Roman"/>
          <w:noProof/>
          <w:szCs w:val="24"/>
          <w:lang w:eastAsia="da-DK"/>
        </w:rPr>
        <w:t>ze</w:t>
      </w:r>
      <w:r w:rsidR="00B12818" w:rsidRPr="00732AF8">
        <w:rPr>
          <w:rFonts w:eastAsia="Times New Roman"/>
          <w:noProof/>
          <w:szCs w:val="24"/>
          <w:lang w:eastAsia="da-DK"/>
        </w:rPr>
        <w:t xml:space="preserve"> I této směrnice</w:t>
      </w:r>
      <w:r w:rsidR="00B12818" w:rsidRPr="00732AF8">
        <w:rPr>
          <w:noProof/>
        </w:rPr>
        <w:t> </w:t>
      </w:r>
      <w:r w:rsidR="00B12818" w:rsidRPr="00732AF8">
        <w:rPr>
          <w:noProof/>
        </w:rPr>
        <w:fldChar w:fldCharType="begin"/>
      </w:r>
      <w:r w:rsidR="00B12818" w:rsidRPr="00732AF8">
        <w:rPr>
          <w:noProof/>
        </w:rPr>
        <w:instrText xml:space="preserve"> QUOTE "</w:instrText>
      </w:r>
      <w:r w:rsidR="00B12818" w:rsidRPr="00732AF8">
        <w:rPr>
          <w:rStyle w:val="CRMarker"/>
          <w:noProof/>
        </w:rPr>
        <w:instrText>Õ</w:instrText>
      </w:r>
      <w:r w:rsidR="00B12818" w:rsidRPr="00732AF8">
        <w:rPr>
          <w:noProof/>
        </w:rPr>
        <w:instrText xml:space="preserve">" </w:instrText>
      </w:r>
      <w:r w:rsidR="00B12818" w:rsidRPr="00732AF8">
        <w:rPr>
          <w:noProof/>
        </w:rPr>
        <w:fldChar w:fldCharType="separate"/>
      </w:r>
      <w:r w:rsidR="00B12818" w:rsidRPr="00732AF8">
        <w:rPr>
          <w:rStyle w:val="CRMarker"/>
          <w:noProof/>
        </w:rPr>
        <w:t>Õ</w:t>
      </w:r>
      <w:r w:rsidR="00B12818" w:rsidRPr="00732AF8">
        <w:rPr>
          <w:noProof/>
        </w:rPr>
        <w:fldChar w:fldCharType="end"/>
      </w:r>
      <w:r w:rsidR="005C274E" w:rsidRPr="0044049C">
        <w:rPr>
          <w:noProof/>
        </w:rPr>
        <w:t>.</w:t>
      </w:r>
      <w:r w:rsidR="005C274E" w:rsidRPr="005C274E">
        <w:rPr>
          <w:noProof/>
        </w:rPr>
        <w:t xml:space="preserve"> Tato výjimka by však neměla být použita ke zvýšení nosnosti vozidla.</w:t>
      </w:r>
    </w:p>
    <w:p w14:paraId="2F7BA797" w14:textId="5FD7CC54" w:rsidR="006D7F17" w:rsidRPr="00CA39FE" w:rsidRDefault="006D7F17" w:rsidP="006D7F17">
      <w:pPr>
        <w:pStyle w:val="CRSeparator"/>
        <w:rPr>
          <w:noProof/>
          <w:lang w:val="cs-CZ"/>
        </w:rPr>
      </w:pPr>
    </w:p>
    <w:p w14:paraId="74C68C47" w14:textId="448F7BC6" w:rsidR="006D7F17" w:rsidRPr="006D7F17" w:rsidRDefault="006D7F17" w:rsidP="006D7F17">
      <w:pPr>
        <w:pStyle w:val="CRReference"/>
        <w:rPr>
          <w:noProof/>
        </w:rPr>
      </w:pPr>
      <w:r w:rsidRPr="006D7F17">
        <w:rPr>
          <w:noProof/>
        </w:rPr>
        <w:fldChar w:fldCharType="begin"/>
      </w:r>
      <w:r w:rsidRPr="006D7F17">
        <w:rPr>
          <w:noProof/>
        </w:rPr>
        <w:instrText xml:space="preserve"> QUOTE "</w:instrText>
      </w:r>
      <w:r w:rsidRPr="006D7F17">
        <w:rPr>
          <w:rStyle w:val="CRMarker"/>
          <w:noProof/>
        </w:rPr>
        <w:instrText>ê</w:instrText>
      </w:r>
      <w:r w:rsidRPr="006D7F17">
        <w:rPr>
          <w:noProof/>
        </w:rPr>
        <w:instrText xml:space="preserve">" </w:instrText>
      </w:r>
      <w:r w:rsidRPr="006D7F17">
        <w:rPr>
          <w:noProof/>
        </w:rPr>
        <w:fldChar w:fldCharType="separate"/>
      </w:r>
      <w:r w:rsidRPr="006D7F17">
        <w:rPr>
          <w:rStyle w:val="CRMarker"/>
          <w:noProof/>
        </w:rPr>
        <w:t>ê</w:t>
      </w:r>
      <w:r w:rsidRPr="006D7F17">
        <w:rPr>
          <w:noProof/>
        </w:rPr>
        <w:fldChar w:fldCharType="end"/>
      </w:r>
      <w:r w:rsidRPr="006D7F17">
        <w:rPr>
          <w:noProof/>
        </w:rPr>
        <w:t> </w:t>
      </w:r>
      <w:r>
        <w:rPr>
          <w:noProof/>
        </w:rPr>
        <w:t>2015/719 bod odůvodnění 6</w:t>
      </w:r>
      <w:r w:rsidR="00080392">
        <w:rPr>
          <w:noProof/>
        </w:rPr>
        <w:t xml:space="preserve"> (přizpůsobený)</w:t>
      </w:r>
    </w:p>
    <w:p w14:paraId="2A35F21E" w14:textId="29326C8F" w:rsidR="005C274E" w:rsidRDefault="00C8069C" w:rsidP="00C8069C">
      <w:pPr>
        <w:pStyle w:val="ManualConsidrant"/>
        <w:rPr>
          <w:noProof/>
        </w:rPr>
      </w:pPr>
      <w:r w:rsidRPr="00C8069C">
        <w:t>(16)</w:t>
      </w:r>
      <w:r w:rsidRPr="00C8069C">
        <w:tab/>
      </w:r>
      <w:r w:rsidR="006D7F17" w:rsidRPr="006D7F17">
        <w:rPr>
          <w:noProof/>
        </w:rPr>
        <w:t xml:space="preserve">Alternativní hnací ústrojí, zahrnující rovněž hybridní hnací ústrojí, jsou ústrojí, jež pro mechanický pohon čerpají energii z paliva, které je možno spotřebovat, nebo z baterie či jiného zařízení pro akumulaci elektrické nebo mechanické energie. Jejich použití pro těžká nákladní vozidla nebo pro autobusy může vést ke zvýšení hmotnosti, avšak také snižuje znečištění. Toto zvýšení hmotnosti by nemělo být započítáno na úkor skutečného zatížení vozidla, neboť tím by bylo odvětví silniční dopravy z ekonomického hlediska penalizováno. Toto zvýšení hmotnosti by však </w:t>
      </w:r>
      <w:r w:rsidR="00080392" w:rsidRPr="00732AF8">
        <w:rPr>
          <w:noProof/>
        </w:rPr>
        <w:fldChar w:fldCharType="begin"/>
      </w:r>
      <w:r w:rsidR="00080392" w:rsidRPr="00080392">
        <w:rPr>
          <w:noProof/>
        </w:rPr>
        <w:instrText xml:space="preserve"> QUOTE "</w:instrText>
      </w:r>
      <w:r w:rsidR="00080392" w:rsidRPr="00732AF8">
        <w:rPr>
          <w:rStyle w:val="CRMarker"/>
          <w:noProof/>
        </w:rPr>
        <w:instrText>Ö</w:instrText>
      </w:r>
      <w:r w:rsidR="00080392" w:rsidRPr="00080392">
        <w:rPr>
          <w:noProof/>
        </w:rPr>
        <w:instrText xml:space="preserve">" </w:instrText>
      </w:r>
      <w:r w:rsidR="00080392" w:rsidRPr="00732AF8">
        <w:rPr>
          <w:noProof/>
        </w:rPr>
        <w:fldChar w:fldCharType="separate"/>
      </w:r>
      <w:r w:rsidR="00080392" w:rsidRPr="00732AF8">
        <w:rPr>
          <w:rStyle w:val="CRMarker"/>
          <w:noProof/>
        </w:rPr>
        <w:t>Ö</w:t>
      </w:r>
      <w:r w:rsidR="00080392" w:rsidRPr="00732AF8">
        <w:rPr>
          <w:noProof/>
        </w:rPr>
        <w:fldChar w:fldCharType="end"/>
      </w:r>
      <w:r w:rsidR="00080392" w:rsidRPr="00080392">
        <w:rPr>
          <w:noProof/>
        </w:rPr>
        <w:t> </w:t>
      </w:r>
      <w:r w:rsidR="00080392">
        <w:rPr>
          <w:noProof/>
        </w:rPr>
        <w:t>rovněž</w:t>
      </w:r>
      <w:r w:rsidR="00080392" w:rsidRPr="00080392">
        <w:rPr>
          <w:noProof/>
        </w:rPr>
        <w:t> </w:t>
      </w:r>
      <w:r w:rsidR="00080392" w:rsidRPr="00732AF8">
        <w:rPr>
          <w:noProof/>
        </w:rPr>
        <w:fldChar w:fldCharType="begin"/>
      </w:r>
      <w:r w:rsidR="00080392" w:rsidRPr="00080392">
        <w:rPr>
          <w:noProof/>
        </w:rPr>
        <w:instrText xml:space="preserve"> QUOTE "</w:instrText>
      </w:r>
      <w:r w:rsidR="00080392" w:rsidRPr="00732AF8">
        <w:rPr>
          <w:rStyle w:val="CRMarker"/>
          <w:noProof/>
        </w:rPr>
        <w:instrText>Õ</w:instrText>
      </w:r>
      <w:r w:rsidR="00080392" w:rsidRPr="00080392">
        <w:rPr>
          <w:noProof/>
        </w:rPr>
        <w:instrText xml:space="preserve">" </w:instrText>
      </w:r>
      <w:r w:rsidR="00080392" w:rsidRPr="00732AF8">
        <w:rPr>
          <w:noProof/>
        </w:rPr>
        <w:fldChar w:fldCharType="separate"/>
      </w:r>
      <w:r w:rsidR="00080392" w:rsidRPr="00732AF8">
        <w:rPr>
          <w:rStyle w:val="CRMarker"/>
          <w:noProof/>
        </w:rPr>
        <w:t>Õ</w:t>
      </w:r>
      <w:r w:rsidR="00080392" w:rsidRPr="00732AF8">
        <w:rPr>
          <w:noProof/>
        </w:rPr>
        <w:fldChar w:fldCharType="end"/>
      </w:r>
      <w:r w:rsidR="00080392" w:rsidRPr="00080392">
        <w:rPr>
          <w:noProof/>
        </w:rPr>
        <w:t xml:space="preserve"> </w:t>
      </w:r>
      <w:r w:rsidR="006D7F17" w:rsidRPr="006D7F17">
        <w:rPr>
          <w:noProof/>
        </w:rPr>
        <w:t>nemělo znamenat zvýšení nosnosti vozidla.</w:t>
      </w:r>
    </w:p>
    <w:p w14:paraId="3D5CE334" w14:textId="415FB2E8" w:rsidR="00824D05" w:rsidRPr="00CA39FE" w:rsidRDefault="00824D05" w:rsidP="00824D05">
      <w:pPr>
        <w:pStyle w:val="CRSeparator"/>
        <w:rPr>
          <w:noProof/>
          <w:lang w:val="cs-CZ"/>
        </w:rPr>
      </w:pPr>
    </w:p>
    <w:p w14:paraId="0F5F511D" w14:textId="671FD7DB" w:rsidR="00824D05" w:rsidRPr="00824D05" w:rsidRDefault="00824D05" w:rsidP="00824D05">
      <w:pPr>
        <w:pStyle w:val="CRReference"/>
        <w:rPr>
          <w:noProof/>
        </w:rPr>
      </w:pPr>
      <w:r w:rsidRPr="00824D05">
        <w:rPr>
          <w:noProof/>
        </w:rPr>
        <w:fldChar w:fldCharType="begin"/>
      </w:r>
      <w:r w:rsidRPr="00824D05">
        <w:rPr>
          <w:noProof/>
        </w:rPr>
        <w:instrText xml:space="preserve"> QUOTE "</w:instrText>
      </w:r>
      <w:r w:rsidRPr="00824D05">
        <w:rPr>
          <w:rStyle w:val="CRMarker"/>
          <w:noProof/>
        </w:rPr>
        <w:instrText>ê</w:instrText>
      </w:r>
      <w:r w:rsidRPr="00824D05">
        <w:rPr>
          <w:noProof/>
        </w:rPr>
        <w:instrText xml:space="preserve">" </w:instrText>
      </w:r>
      <w:r w:rsidRPr="00824D05">
        <w:rPr>
          <w:noProof/>
        </w:rPr>
        <w:fldChar w:fldCharType="separate"/>
      </w:r>
      <w:r w:rsidRPr="00824D05">
        <w:rPr>
          <w:rStyle w:val="CRMarker"/>
          <w:noProof/>
        </w:rPr>
        <w:t>ê</w:t>
      </w:r>
      <w:r w:rsidRPr="00824D05">
        <w:rPr>
          <w:noProof/>
        </w:rPr>
        <w:fldChar w:fldCharType="end"/>
      </w:r>
      <w:r w:rsidRPr="00824D05">
        <w:rPr>
          <w:noProof/>
        </w:rPr>
        <w:t> </w:t>
      </w:r>
      <w:r>
        <w:rPr>
          <w:noProof/>
        </w:rPr>
        <w:t>2015/719 bod odůvodnění 7</w:t>
      </w:r>
    </w:p>
    <w:p w14:paraId="1B636D43" w14:textId="74F9AB6D" w:rsidR="006D7F17" w:rsidRDefault="00C8069C" w:rsidP="00C8069C">
      <w:pPr>
        <w:pStyle w:val="ManualConsidrant"/>
        <w:rPr>
          <w:noProof/>
        </w:rPr>
      </w:pPr>
      <w:r w:rsidRPr="00C8069C">
        <w:t>(17)</w:t>
      </w:r>
      <w:r w:rsidRPr="00C8069C">
        <w:tab/>
      </w:r>
      <w:r w:rsidR="00824D05" w:rsidRPr="00824D05">
        <w:rPr>
          <w:noProof/>
        </w:rPr>
        <w:t>Na budoucí vozidla na alternativní paliva (s hnacími ústrojími těžšími než v případě vozidel na konvenční paliva) by se rovněž měla vztahovat dodatečná povolená hmotnost. Tato alternativní paliva mohou být zahrnuta do seznamu alternativních paliv podle této směrnice, pokud jejich využití dodatečnou povolenou hmotnost vyžaduje.</w:t>
      </w:r>
    </w:p>
    <w:p w14:paraId="7922F7B9" w14:textId="3D6FA61C" w:rsidR="005C3747" w:rsidRPr="00CA39FE" w:rsidRDefault="005C3747" w:rsidP="005C3747">
      <w:pPr>
        <w:pStyle w:val="CRSeparator"/>
        <w:rPr>
          <w:noProof/>
          <w:lang w:val="cs-CZ"/>
        </w:rPr>
      </w:pPr>
    </w:p>
    <w:p w14:paraId="7F4447BA" w14:textId="5C3B28FC" w:rsidR="005C3747" w:rsidRPr="005C3747" w:rsidRDefault="005C3747" w:rsidP="005C3747">
      <w:pPr>
        <w:pStyle w:val="CRReference"/>
        <w:rPr>
          <w:noProof/>
        </w:rPr>
      </w:pPr>
      <w:r w:rsidRPr="005C3747">
        <w:rPr>
          <w:noProof/>
        </w:rPr>
        <w:fldChar w:fldCharType="begin"/>
      </w:r>
      <w:r w:rsidRPr="005C3747">
        <w:rPr>
          <w:noProof/>
        </w:rPr>
        <w:instrText xml:space="preserve"> QUOTE "</w:instrText>
      </w:r>
      <w:r w:rsidRPr="005C3747">
        <w:rPr>
          <w:rStyle w:val="CRMarker"/>
          <w:noProof/>
        </w:rPr>
        <w:instrText>ê</w:instrText>
      </w:r>
      <w:r w:rsidRPr="005C3747">
        <w:rPr>
          <w:noProof/>
        </w:rPr>
        <w:instrText xml:space="preserve">" </w:instrText>
      </w:r>
      <w:r w:rsidRPr="005C3747">
        <w:rPr>
          <w:noProof/>
        </w:rPr>
        <w:fldChar w:fldCharType="separate"/>
      </w:r>
      <w:r w:rsidRPr="005C3747">
        <w:rPr>
          <w:rStyle w:val="CRMarker"/>
          <w:noProof/>
        </w:rPr>
        <w:t>ê</w:t>
      </w:r>
      <w:r w:rsidRPr="005C3747">
        <w:rPr>
          <w:noProof/>
        </w:rPr>
        <w:fldChar w:fldCharType="end"/>
      </w:r>
      <w:r w:rsidRPr="005C3747">
        <w:rPr>
          <w:noProof/>
        </w:rPr>
        <w:t> </w:t>
      </w:r>
      <w:r>
        <w:rPr>
          <w:noProof/>
        </w:rPr>
        <w:t>2015/719 bod odůvodnění 8 (přizpůsobený)</w:t>
      </w:r>
    </w:p>
    <w:p w14:paraId="3F4B9823" w14:textId="0820FF95" w:rsidR="00824D05" w:rsidRDefault="00C8069C" w:rsidP="00C8069C">
      <w:pPr>
        <w:pStyle w:val="ManualConsidrant"/>
        <w:rPr>
          <w:noProof/>
        </w:rPr>
      </w:pPr>
      <w:r w:rsidRPr="00C8069C">
        <w:t>(18)</w:t>
      </w:r>
      <w:r w:rsidRPr="00C8069C">
        <w:tab/>
      </w:r>
      <w:r w:rsidR="00127182" w:rsidRPr="00F44FEF">
        <w:rPr>
          <w:noProof/>
        </w:rPr>
        <w:fldChar w:fldCharType="begin"/>
      </w:r>
      <w:r w:rsidR="00127182" w:rsidRPr="00F44FEF">
        <w:rPr>
          <w:noProof/>
        </w:rPr>
        <w:instrText xml:space="preserve"> QUOTE "</w:instrText>
      </w:r>
      <w:r w:rsidR="00127182" w:rsidRPr="00F44FEF">
        <w:rPr>
          <w:rStyle w:val="CRMarker"/>
          <w:noProof/>
        </w:rPr>
        <w:instrText>Ö</w:instrText>
      </w:r>
      <w:r w:rsidR="00127182" w:rsidRPr="00F44FEF">
        <w:rPr>
          <w:noProof/>
        </w:rPr>
        <w:instrText xml:space="preserve">" </w:instrText>
      </w:r>
      <w:r w:rsidR="00127182" w:rsidRPr="00F44FEF">
        <w:rPr>
          <w:noProof/>
        </w:rPr>
        <w:fldChar w:fldCharType="separate"/>
      </w:r>
      <w:r w:rsidR="00127182" w:rsidRPr="00021F59">
        <w:rPr>
          <w:rStyle w:val="CRMarker"/>
          <w:noProof/>
        </w:rPr>
        <w:t>Ö</w:t>
      </w:r>
      <w:r w:rsidR="00127182" w:rsidRPr="00F44FEF">
        <w:rPr>
          <w:noProof/>
        </w:rPr>
        <w:fldChar w:fldCharType="end"/>
      </w:r>
      <w:r w:rsidR="00127182" w:rsidRPr="00953B61">
        <w:rPr>
          <w:noProof/>
        </w:rPr>
        <w:t> </w:t>
      </w:r>
      <w:r w:rsidR="00127182">
        <w:rPr>
          <w:noProof/>
        </w:rPr>
        <w:t>Měly by být stanoveny</w:t>
      </w:r>
      <w:r w:rsidR="00127182" w:rsidRPr="00CB4C82">
        <w:rPr>
          <w:noProof/>
        </w:rPr>
        <w:t> </w:t>
      </w:r>
      <w:r w:rsidR="00127182" w:rsidRPr="00F44FEF">
        <w:rPr>
          <w:noProof/>
        </w:rPr>
        <w:fldChar w:fldCharType="begin"/>
      </w:r>
      <w:r w:rsidR="00127182" w:rsidRPr="00F44FEF">
        <w:rPr>
          <w:noProof/>
        </w:rPr>
        <w:instrText xml:space="preserve"> QUOTE "</w:instrText>
      </w:r>
      <w:r w:rsidR="00127182" w:rsidRPr="00F44FEF">
        <w:rPr>
          <w:rStyle w:val="CRMarker"/>
          <w:noProof/>
        </w:rPr>
        <w:instrText>Õ</w:instrText>
      </w:r>
      <w:r w:rsidR="00127182" w:rsidRPr="00F44FEF">
        <w:rPr>
          <w:noProof/>
        </w:rPr>
        <w:instrText xml:space="preserve">" </w:instrText>
      </w:r>
      <w:r w:rsidR="00127182" w:rsidRPr="00F44FEF">
        <w:rPr>
          <w:noProof/>
        </w:rPr>
        <w:fldChar w:fldCharType="separate"/>
      </w:r>
      <w:r w:rsidR="00127182" w:rsidRPr="00021F59">
        <w:rPr>
          <w:rStyle w:val="CRMarker"/>
          <w:noProof/>
        </w:rPr>
        <w:t>Õ</w:t>
      </w:r>
      <w:r w:rsidR="00127182" w:rsidRPr="00F44FEF">
        <w:rPr>
          <w:noProof/>
        </w:rPr>
        <w:fldChar w:fldCharType="end"/>
      </w:r>
      <w:r w:rsidR="00127182" w:rsidRPr="009D6F06">
        <w:rPr>
          <w:noProof/>
        </w:rPr>
        <w:t xml:space="preserve"> </w:t>
      </w:r>
      <w:r w:rsidR="005C3747" w:rsidRPr="005C3747">
        <w:rPr>
          <w:noProof/>
        </w:rPr>
        <w:t xml:space="preserve">výjimky z maximálních přípustných hmotností a rozměrů vozidel nebo souprav vozidel, stanovených v </w:t>
      </w:r>
      <w:r w:rsidR="005C3747" w:rsidRPr="005C3747">
        <w:rPr>
          <w:noProof/>
        </w:rPr>
        <w:fldChar w:fldCharType="begin"/>
      </w:r>
      <w:r w:rsidR="005C3747" w:rsidRPr="005C3747">
        <w:rPr>
          <w:noProof/>
        </w:rPr>
        <w:instrText xml:space="preserve"> QUOTE "</w:instrText>
      </w:r>
      <w:r w:rsidR="005C3747" w:rsidRPr="00732AF8">
        <w:rPr>
          <w:rStyle w:val="CRMarker"/>
          <w:noProof/>
        </w:rPr>
        <w:instrText>Ö</w:instrText>
      </w:r>
      <w:r w:rsidR="005C3747" w:rsidRPr="005C3747">
        <w:rPr>
          <w:noProof/>
        </w:rPr>
        <w:instrText xml:space="preserve">" </w:instrText>
      </w:r>
      <w:r w:rsidR="005C3747" w:rsidRPr="005C3747">
        <w:rPr>
          <w:noProof/>
        </w:rPr>
        <w:fldChar w:fldCharType="separate"/>
      </w:r>
      <w:r w:rsidR="005C3747" w:rsidRPr="00732AF8">
        <w:rPr>
          <w:rStyle w:val="CRMarker"/>
          <w:noProof/>
        </w:rPr>
        <w:t>Ö</w:t>
      </w:r>
      <w:r w:rsidR="005C3747" w:rsidRPr="005C3747">
        <w:rPr>
          <w:noProof/>
        </w:rPr>
        <w:fldChar w:fldCharType="end"/>
      </w:r>
      <w:r w:rsidR="005C3747" w:rsidRPr="005C3747">
        <w:rPr>
          <w:noProof/>
        </w:rPr>
        <w:t> přílo</w:t>
      </w:r>
      <w:r w:rsidR="00127182">
        <w:rPr>
          <w:noProof/>
        </w:rPr>
        <w:t>ze</w:t>
      </w:r>
      <w:r w:rsidR="005C3747" w:rsidRPr="005C3747">
        <w:rPr>
          <w:noProof/>
        </w:rPr>
        <w:t xml:space="preserve"> I této </w:t>
      </w:r>
      <w:r w:rsidR="005C3747" w:rsidRPr="005C3747">
        <w:rPr>
          <w:noProof/>
        </w:rPr>
        <w:fldChar w:fldCharType="begin"/>
      </w:r>
      <w:r w:rsidR="005C3747" w:rsidRPr="005C3747">
        <w:rPr>
          <w:noProof/>
        </w:rPr>
        <w:instrText xml:space="preserve"> QUOTE "</w:instrText>
      </w:r>
      <w:r w:rsidR="005C3747" w:rsidRPr="00732AF8">
        <w:rPr>
          <w:rStyle w:val="CRMarker"/>
          <w:noProof/>
        </w:rPr>
        <w:instrText>Õ</w:instrText>
      </w:r>
      <w:r w:rsidR="005C3747" w:rsidRPr="005C3747">
        <w:rPr>
          <w:noProof/>
        </w:rPr>
        <w:instrText xml:space="preserve">" </w:instrText>
      </w:r>
      <w:r w:rsidR="005C3747" w:rsidRPr="005C3747">
        <w:rPr>
          <w:noProof/>
        </w:rPr>
        <w:fldChar w:fldCharType="separate"/>
      </w:r>
      <w:r w:rsidR="005C3747" w:rsidRPr="00732AF8">
        <w:rPr>
          <w:rStyle w:val="CRMarker"/>
          <w:noProof/>
        </w:rPr>
        <w:t>Õ</w:t>
      </w:r>
      <w:r w:rsidR="005C3747" w:rsidRPr="005C3747">
        <w:rPr>
          <w:noProof/>
        </w:rPr>
        <w:fldChar w:fldCharType="end"/>
      </w:r>
      <w:r w:rsidR="005C3747" w:rsidRPr="005C3747">
        <w:rPr>
          <w:noProof/>
        </w:rPr>
        <w:t xml:space="preserve"> směrnic</w:t>
      </w:r>
      <w:r w:rsidR="00127182">
        <w:rPr>
          <w:noProof/>
        </w:rPr>
        <w:t>e</w:t>
      </w:r>
      <w:r w:rsidR="005C3747" w:rsidRPr="005C3747">
        <w:rPr>
          <w:noProof/>
        </w:rPr>
        <w:t>. Členské státy by však měly mít možnost z důvodů souvisejících s bezpečností silničního provozu nebo s povahou infrastruktury omezit provoz některých vozidel v konkrétních částech svých silničních sítí.</w:t>
      </w:r>
    </w:p>
    <w:p w14:paraId="6447CF74" w14:textId="7B8874E3" w:rsidR="000108E9" w:rsidRPr="00CA39FE" w:rsidRDefault="000108E9" w:rsidP="000108E9">
      <w:pPr>
        <w:pStyle w:val="CRSeparator"/>
        <w:rPr>
          <w:noProof/>
          <w:lang w:val="cs-CZ"/>
        </w:rPr>
      </w:pPr>
    </w:p>
    <w:p w14:paraId="3CF92DEA" w14:textId="3F18EEC8" w:rsidR="000108E9" w:rsidRPr="000108E9" w:rsidRDefault="000108E9" w:rsidP="000108E9">
      <w:pPr>
        <w:pStyle w:val="CRReference"/>
        <w:rPr>
          <w:noProof/>
        </w:rPr>
      </w:pPr>
      <w:r w:rsidRPr="000108E9">
        <w:rPr>
          <w:noProof/>
        </w:rPr>
        <w:fldChar w:fldCharType="begin"/>
      </w:r>
      <w:r w:rsidRPr="000108E9">
        <w:rPr>
          <w:noProof/>
        </w:rPr>
        <w:instrText xml:space="preserve"> QUOTE "</w:instrText>
      </w:r>
      <w:r w:rsidRPr="000108E9">
        <w:rPr>
          <w:rStyle w:val="CRMarker"/>
          <w:noProof/>
        </w:rPr>
        <w:instrText>ê</w:instrText>
      </w:r>
      <w:r w:rsidRPr="000108E9">
        <w:rPr>
          <w:noProof/>
        </w:rPr>
        <w:instrText xml:space="preserve">" </w:instrText>
      </w:r>
      <w:r w:rsidRPr="000108E9">
        <w:rPr>
          <w:noProof/>
        </w:rPr>
        <w:fldChar w:fldCharType="separate"/>
      </w:r>
      <w:r w:rsidRPr="000108E9">
        <w:rPr>
          <w:rStyle w:val="CRMarker"/>
          <w:noProof/>
        </w:rPr>
        <w:t>ê</w:t>
      </w:r>
      <w:r w:rsidRPr="000108E9">
        <w:rPr>
          <w:noProof/>
        </w:rPr>
        <w:fldChar w:fldCharType="end"/>
      </w:r>
      <w:r w:rsidRPr="000108E9">
        <w:rPr>
          <w:noProof/>
        </w:rPr>
        <w:t> </w:t>
      </w:r>
      <w:r>
        <w:rPr>
          <w:noProof/>
        </w:rPr>
        <w:t>2015/719 bod odůvodnění 9</w:t>
      </w:r>
      <w:r w:rsidR="000866FA">
        <w:rPr>
          <w:noProof/>
        </w:rPr>
        <w:t xml:space="preserve"> (přizpůsobený)</w:t>
      </w:r>
    </w:p>
    <w:p w14:paraId="50411A6A" w14:textId="36A236E7" w:rsidR="005C3747" w:rsidRPr="00216DAF" w:rsidRDefault="00C8069C" w:rsidP="00C8069C">
      <w:pPr>
        <w:pStyle w:val="ManualConsidrant"/>
        <w:rPr>
          <w:noProof/>
        </w:rPr>
      </w:pPr>
      <w:r w:rsidRPr="00C8069C">
        <w:t>(19)</w:t>
      </w:r>
      <w:r w:rsidRPr="00C8069C">
        <w:tab/>
      </w:r>
      <w:r w:rsidR="000108E9" w:rsidRPr="000108E9">
        <w:rPr>
          <w:noProof/>
          <w:lang w:val="fr-FR" w:eastAsia="da-DK"/>
        </w:rPr>
        <w:t xml:space="preserve">Pokud jde o kontejnerovou přepravu, jsou stále více </w:t>
      </w:r>
      <w:r w:rsidR="00942955">
        <w:rPr>
          <w:noProof/>
          <w:lang w:val="fr-FR" w:eastAsia="da-DK"/>
        </w:rPr>
        <w:t>využívány kontejnery o délce 45 </w:t>
      </w:r>
      <w:r w:rsidR="000108E9" w:rsidRPr="000108E9">
        <w:rPr>
          <w:noProof/>
          <w:lang w:val="fr-FR" w:eastAsia="da-DK"/>
        </w:rPr>
        <w:t xml:space="preserve">stop. Takovéto kontejnery jsou přepravovány </w:t>
      </w:r>
      <w:r w:rsidR="00942955">
        <w:rPr>
          <w:noProof/>
          <w:lang w:val="fr-FR" w:eastAsia="da-DK"/>
        </w:rPr>
        <w:t>za využití všech druhů dopravy.</w:t>
      </w:r>
      <w:r w:rsidR="000108E9" w:rsidRPr="000108E9">
        <w:rPr>
          <w:noProof/>
          <w:lang w:val="fr-FR" w:eastAsia="da-DK"/>
        </w:rPr>
        <w:t xml:space="preserve"> Prodloužením povolené délky vozidel přepravujících tyto kontejnery o 15 cm by </w:t>
      </w:r>
      <w:r w:rsidR="00942955">
        <w:rPr>
          <w:noProof/>
          <w:lang w:val="fr-FR" w:eastAsia="da-DK"/>
        </w:rPr>
        <w:t>mohly být uvedené</w:t>
      </w:r>
      <w:r w:rsidR="000108E9" w:rsidRPr="00B07E9B">
        <w:rPr>
          <w:noProof/>
          <w:lang w:val="fr-FR" w:eastAsia="da-DK"/>
        </w:rPr>
        <w:t xml:space="preserve"> operace intermodá</w:t>
      </w:r>
      <w:r w:rsidR="000108E9" w:rsidRPr="000108E9">
        <w:rPr>
          <w:noProof/>
          <w:lang w:val="fr-FR" w:eastAsia="da-DK"/>
        </w:rPr>
        <w:t>lní přepravy usnadněny, aniž by došlo k ohrožení nebo negativním dopadům na infrastrukturu nebo ostatní účastníky silničního provozu. Definicí operace intermodální přepravy v této směrnici není dotčena práce na revizi směrnice Rady 92/106/EHS</w:t>
      </w:r>
      <w:r w:rsidR="000108E9" w:rsidRPr="005D7D8A">
        <w:rPr>
          <w:rStyle w:val="FootnoteReference"/>
          <w:noProof/>
        </w:rPr>
        <w:footnoteReference w:id="9"/>
      </w:r>
      <w:r w:rsidR="000108E9">
        <w:rPr>
          <w:noProof/>
          <w:lang w:val="fr-FR" w:eastAsia="da-DK"/>
        </w:rPr>
        <w:t>.</w:t>
      </w:r>
    </w:p>
    <w:p w14:paraId="5830B8D8" w14:textId="1A5627E7" w:rsidR="00216DAF" w:rsidRDefault="00216DAF" w:rsidP="00216DAF">
      <w:pPr>
        <w:pStyle w:val="CRSeparator"/>
        <w:rPr>
          <w:rFonts w:eastAsiaTheme="minorHAnsi"/>
          <w:noProof/>
        </w:rPr>
      </w:pPr>
    </w:p>
    <w:p w14:paraId="764593C5" w14:textId="47BDEBFB" w:rsidR="00216DAF" w:rsidRPr="00216DAF" w:rsidRDefault="00216DAF" w:rsidP="00216DAF">
      <w:pPr>
        <w:pStyle w:val="CRReference"/>
        <w:rPr>
          <w:noProof/>
        </w:rPr>
      </w:pPr>
      <w:r w:rsidRPr="00216DAF">
        <w:rPr>
          <w:noProof/>
        </w:rPr>
        <w:fldChar w:fldCharType="begin"/>
      </w:r>
      <w:r w:rsidRPr="00216DAF">
        <w:rPr>
          <w:noProof/>
        </w:rPr>
        <w:instrText xml:space="preserve"> QUOTE "</w:instrText>
      </w:r>
      <w:r w:rsidRPr="00216DAF">
        <w:rPr>
          <w:rStyle w:val="CRMarker"/>
          <w:noProof/>
        </w:rPr>
        <w:instrText>ê</w:instrText>
      </w:r>
      <w:r w:rsidRPr="00216DAF">
        <w:rPr>
          <w:noProof/>
        </w:rPr>
        <w:instrText xml:space="preserve">" </w:instrText>
      </w:r>
      <w:r w:rsidRPr="00216DAF">
        <w:rPr>
          <w:noProof/>
        </w:rPr>
        <w:fldChar w:fldCharType="separate"/>
      </w:r>
      <w:r w:rsidRPr="00216DAF">
        <w:rPr>
          <w:rStyle w:val="CRMarker"/>
          <w:noProof/>
        </w:rPr>
        <w:t>ê</w:t>
      </w:r>
      <w:r w:rsidRPr="00216DAF">
        <w:rPr>
          <w:noProof/>
        </w:rPr>
        <w:fldChar w:fldCharType="end"/>
      </w:r>
      <w:r w:rsidRPr="00216DAF">
        <w:rPr>
          <w:noProof/>
        </w:rPr>
        <w:t> </w:t>
      </w:r>
      <w:r>
        <w:rPr>
          <w:noProof/>
        </w:rPr>
        <w:t>2015/719 bod odůvodnění 10</w:t>
      </w:r>
    </w:p>
    <w:p w14:paraId="6BFFBFD4" w14:textId="22B5E1C0" w:rsidR="00E120CE" w:rsidRDefault="00C8069C" w:rsidP="00C8069C">
      <w:pPr>
        <w:pStyle w:val="ManualConsidrant"/>
        <w:rPr>
          <w:noProof/>
        </w:rPr>
      </w:pPr>
      <w:r w:rsidRPr="00C8069C">
        <w:t>(20)</w:t>
      </w:r>
      <w:r w:rsidRPr="00C8069C">
        <w:tab/>
      </w:r>
      <w:r w:rsidR="00216DAF" w:rsidRPr="00216DAF">
        <w:rPr>
          <w:noProof/>
        </w:rPr>
        <w:t>S cílem dále podpořit operace intermodální přepravy a zohlednit hmotnost prázdných kontejnerů či výměnných nástaveb o délce až 45 stop by měl být povolen provoz třínápravových motorových vozidel s dvounápravovým nebo třínápravovým návěsem s celkovou povolenou hmotností až 44 tun. Pro operace intermodální přepravy by měla být povolena dvounápravová motorová vozidla s třínápravovým návěsem přepravující kontejnery nebo výměnné nástavby o délce až 45 stop, a to s celkovou povolenou hmotností až 42 tun.</w:t>
      </w:r>
    </w:p>
    <w:p w14:paraId="2B2FBAAE" w14:textId="1F7674C5" w:rsidR="00E120CE" w:rsidRPr="00CA39FE" w:rsidRDefault="00E120CE" w:rsidP="00E120CE">
      <w:pPr>
        <w:pStyle w:val="CRSeparator"/>
        <w:rPr>
          <w:noProof/>
          <w:lang w:val="cs-CZ"/>
        </w:rPr>
      </w:pPr>
    </w:p>
    <w:p w14:paraId="1E6A788B" w14:textId="3C553A00" w:rsidR="00E120CE" w:rsidRPr="00E120CE" w:rsidRDefault="00E120CE" w:rsidP="00E120CE">
      <w:pPr>
        <w:pStyle w:val="CRReference"/>
        <w:rPr>
          <w:noProof/>
        </w:rPr>
      </w:pPr>
      <w:r w:rsidRPr="00E120CE">
        <w:rPr>
          <w:noProof/>
        </w:rPr>
        <w:fldChar w:fldCharType="begin"/>
      </w:r>
      <w:r w:rsidRPr="00E120CE">
        <w:rPr>
          <w:noProof/>
        </w:rPr>
        <w:instrText xml:space="preserve"> QUOTE "</w:instrText>
      </w:r>
      <w:r w:rsidRPr="00E120CE">
        <w:rPr>
          <w:rStyle w:val="CRMarker"/>
          <w:noProof/>
        </w:rPr>
        <w:instrText>ê</w:instrText>
      </w:r>
      <w:r w:rsidRPr="00E120CE">
        <w:rPr>
          <w:noProof/>
        </w:rPr>
        <w:instrText xml:space="preserve">" </w:instrText>
      </w:r>
      <w:r w:rsidRPr="00E120CE">
        <w:rPr>
          <w:noProof/>
        </w:rPr>
        <w:fldChar w:fldCharType="separate"/>
      </w:r>
      <w:r w:rsidRPr="00E120CE">
        <w:rPr>
          <w:rStyle w:val="CRMarker"/>
          <w:noProof/>
        </w:rPr>
        <w:t>ê</w:t>
      </w:r>
      <w:r w:rsidRPr="00E120CE">
        <w:rPr>
          <w:noProof/>
        </w:rPr>
        <w:fldChar w:fldCharType="end"/>
      </w:r>
      <w:r w:rsidRPr="00E120CE">
        <w:rPr>
          <w:noProof/>
        </w:rPr>
        <w:t> </w:t>
      </w:r>
      <w:r>
        <w:rPr>
          <w:noProof/>
        </w:rPr>
        <w:t>2015/719 bod odůvodnění 12</w:t>
      </w:r>
    </w:p>
    <w:p w14:paraId="3E55A343" w14:textId="20D4E730" w:rsidR="00E120CE" w:rsidRPr="00E120CE" w:rsidRDefault="00C8069C" w:rsidP="00C8069C">
      <w:pPr>
        <w:pStyle w:val="ManualConsidrant"/>
        <w:rPr>
          <w:noProof/>
        </w:rPr>
      </w:pPr>
      <w:r w:rsidRPr="00C8069C">
        <w:t>(21)</w:t>
      </w:r>
      <w:r w:rsidRPr="00C8069C">
        <w:tab/>
      </w:r>
      <w:r w:rsidR="00E120CE" w:rsidRPr="00E120CE">
        <w:rPr>
          <w:noProof/>
        </w:rPr>
        <w:t>Porušení předpisů týkajících se přetížení vozidel musí členské státy řešit přiměřeně, aby nedocházelo k narušení hospodářské soutěže a byla zajištěna bezpečnost silničního provozu.</w:t>
      </w:r>
    </w:p>
    <w:p w14:paraId="1B420EC7" w14:textId="7B834F46" w:rsidR="00216DAF" w:rsidRPr="00E120CE" w:rsidRDefault="00216DAF" w:rsidP="00216DAF">
      <w:pPr>
        <w:pStyle w:val="CRSeparator"/>
        <w:rPr>
          <w:noProof/>
          <w:lang w:val="cs-CZ"/>
        </w:rPr>
      </w:pPr>
    </w:p>
    <w:p w14:paraId="77852D55" w14:textId="069FA83D" w:rsidR="00216DAF" w:rsidRPr="00216DAF" w:rsidRDefault="00216DAF" w:rsidP="00216DAF">
      <w:pPr>
        <w:pStyle w:val="CRReference"/>
        <w:rPr>
          <w:noProof/>
        </w:rPr>
      </w:pPr>
      <w:r w:rsidRPr="00216DAF">
        <w:rPr>
          <w:noProof/>
        </w:rPr>
        <w:fldChar w:fldCharType="begin"/>
      </w:r>
      <w:r w:rsidRPr="00216DAF">
        <w:rPr>
          <w:noProof/>
        </w:rPr>
        <w:instrText xml:space="preserve"> QUOTE "</w:instrText>
      </w:r>
      <w:r w:rsidRPr="00216DAF">
        <w:rPr>
          <w:rStyle w:val="CRMarker"/>
          <w:noProof/>
        </w:rPr>
        <w:instrText>ê</w:instrText>
      </w:r>
      <w:r w:rsidRPr="00216DAF">
        <w:rPr>
          <w:noProof/>
        </w:rPr>
        <w:instrText xml:space="preserve">" </w:instrText>
      </w:r>
      <w:r w:rsidRPr="00216DAF">
        <w:rPr>
          <w:noProof/>
        </w:rPr>
        <w:fldChar w:fldCharType="separate"/>
      </w:r>
      <w:r w:rsidRPr="00216DAF">
        <w:rPr>
          <w:rStyle w:val="CRMarker"/>
          <w:noProof/>
        </w:rPr>
        <w:t>ê</w:t>
      </w:r>
      <w:r w:rsidRPr="00216DAF">
        <w:rPr>
          <w:noProof/>
        </w:rPr>
        <w:fldChar w:fldCharType="end"/>
      </w:r>
      <w:r w:rsidRPr="00216DAF">
        <w:rPr>
          <w:noProof/>
        </w:rPr>
        <w:t> </w:t>
      </w:r>
      <w:r>
        <w:rPr>
          <w:noProof/>
        </w:rPr>
        <w:t>2015/719 bod odůvodnění 13 (přizpůsobený)</w:t>
      </w:r>
    </w:p>
    <w:p w14:paraId="1B7A7008" w14:textId="282B5126" w:rsidR="002254D9" w:rsidRDefault="00C8069C" w:rsidP="00C8069C">
      <w:pPr>
        <w:pStyle w:val="ManualConsidrant"/>
        <w:rPr>
          <w:noProof/>
        </w:rPr>
      </w:pPr>
      <w:r w:rsidRPr="00C8069C">
        <w:t>(22)</w:t>
      </w:r>
      <w:r w:rsidRPr="00C8069C">
        <w:tab/>
      </w:r>
      <w:r w:rsidR="00216DAF" w:rsidRPr="00216DAF">
        <w:rPr>
          <w:noProof/>
        </w:rPr>
        <w:t>K zajištění nenarušené hospodářské soutěže mezi podnikateli v silniční dopravě a účinnějšího odhalování porušení</w:t>
      </w:r>
      <w:r w:rsidR="00942955">
        <w:rPr>
          <w:noProof/>
        </w:rPr>
        <w:t xml:space="preserve"> předpisů by členské státy měly</w:t>
      </w:r>
      <w:r w:rsidR="00216DAF" w:rsidRPr="00216DAF">
        <w:rPr>
          <w:noProof/>
        </w:rPr>
        <w:t xml:space="preserve"> přijmout zvláštní opatření pro identifikaci vozidel nebo souprav vozidel v provozu, v jejichž případě pravděpodobně došlo k překročení příslušných omezení hmotnosti, a u nichž by tudíž měla být provedena kontrola. Tuto identifikaci lze provádět pomocí váhových mechanismů zabudovaných do silniční infrastruktury nebo pomocí palubních senzorů umístěných ve vozidlech, které zasílají dálkově údaje příslušným orgánům. Tyto palubní údaje by měl mít k dispozici také řidič. Každý členský stát by měl každoročně provést odpovídající počet kontrol hmotnosti vozidel. Počet těchto kontrol by měl být přiměřený celkovému počtu vozidel, která jsou v dotčeném členském státě každoročně kontrolována.</w:t>
      </w:r>
    </w:p>
    <w:p w14:paraId="1C1CAEC1" w14:textId="6DB1776E" w:rsidR="002254D9" w:rsidRPr="00CA39FE" w:rsidRDefault="002254D9" w:rsidP="002254D9">
      <w:pPr>
        <w:pStyle w:val="CRSeparator"/>
        <w:rPr>
          <w:noProof/>
          <w:lang w:val="cs-CZ"/>
        </w:rPr>
      </w:pPr>
    </w:p>
    <w:p w14:paraId="4C3F9884" w14:textId="03D2350A" w:rsidR="002254D9" w:rsidRPr="002254D9" w:rsidRDefault="002254D9" w:rsidP="002254D9">
      <w:pPr>
        <w:pStyle w:val="CRReference"/>
        <w:rPr>
          <w:noProof/>
        </w:rPr>
      </w:pPr>
      <w:r w:rsidRPr="002254D9">
        <w:rPr>
          <w:noProof/>
        </w:rPr>
        <w:fldChar w:fldCharType="begin"/>
      </w:r>
      <w:r w:rsidRPr="002254D9">
        <w:rPr>
          <w:noProof/>
        </w:rPr>
        <w:instrText xml:space="preserve"> QUOTE "</w:instrText>
      </w:r>
      <w:r w:rsidRPr="002254D9">
        <w:rPr>
          <w:rStyle w:val="CRMarker"/>
          <w:noProof/>
        </w:rPr>
        <w:instrText>ê</w:instrText>
      </w:r>
      <w:r w:rsidRPr="002254D9">
        <w:rPr>
          <w:noProof/>
        </w:rPr>
        <w:instrText xml:space="preserve">" </w:instrText>
      </w:r>
      <w:r w:rsidRPr="002254D9">
        <w:rPr>
          <w:noProof/>
        </w:rPr>
        <w:fldChar w:fldCharType="separate"/>
      </w:r>
      <w:r w:rsidRPr="002254D9">
        <w:rPr>
          <w:rStyle w:val="CRMarker"/>
          <w:noProof/>
        </w:rPr>
        <w:t>ê</w:t>
      </w:r>
      <w:r w:rsidRPr="002254D9">
        <w:rPr>
          <w:noProof/>
        </w:rPr>
        <w:fldChar w:fldCharType="end"/>
      </w:r>
      <w:r w:rsidRPr="002254D9">
        <w:rPr>
          <w:noProof/>
        </w:rPr>
        <w:t> </w:t>
      </w:r>
      <w:r>
        <w:rPr>
          <w:noProof/>
        </w:rPr>
        <w:t>2015/719 bod odůvodnění 15</w:t>
      </w:r>
    </w:p>
    <w:p w14:paraId="7ED8CDD4" w14:textId="4C45ADDA" w:rsidR="00216DAF" w:rsidRPr="009F6BD4" w:rsidRDefault="00C8069C" w:rsidP="00C8069C">
      <w:pPr>
        <w:pStyle w:val="ManualConsidrant"/>
        <w:rPr>
          <w:noProof/>
        </w:rPr>
      </w:pPr>
      <w:r w:rsidRPr="00C8069C">
        <w:t>(23)</w:t>
      </w:r>
      <w:r w:rsidRPr="00C8069C">
        <w:tab/>
      </w:r>
      <w:r w:rsidR="002254D9" w:rsidRPr="002254D9">
        <w:rPr>
          <w:noProof/>
          <w:lang w:val="fr-FR" w:eastAsia="da-DK"/>
        </w:rPr>
        <w:t>Je důležité, aby si příslušné orgány členských států vyměňovaly informace s cílem zefektivnit kontroly hmotnosti vozidel nebo souprav vozidel na mezinárodní úrovni a zjednodušit hladký průběh těchto kontrol. Pro výměnu těchto informací by mělo sloužit kontaktní místo určené v souladu s nařízením Evropského parlamentu a Rady (ES) č. 1071/2009</w:t>
      </w:r>
      <w:r w:rsidR="002254D9" w:rsidRPr="005D7D8A">
        <w:rPr>
          <w:rStyle w:val="FootnoteReference"/>
          <w:noProof/>
        </w:rPr>
        <w:footnoteReference w:id="10"/>
      </w:r>
      <w:r w:rsidR="002254D9" w:rsidRPr="002254D9">
        <w:rPr>
          <w:noProof/>
          <w:lang w:val="fr-FR" w:eastAsia="da-DK"/>
        </w:rPr>
        <w:t>.</w:t>
      </w:r>
    </w:p>
    <w:p w14:paraId="31058E21" w14:textId="06F993B2" w:rsidR="009F6BD4" w:rsidRDefault="009F6BD4" w:rsidP="009F6BD4">
      <w:pPr>
        <w:pStyle w:val="CRSeparator"/>
        <w:rPr>
          <w:rFonts w:eastAsiaTheme="minorHAnsi"/>
          <w:noProof/>
        </w:rPr>
      </w:pPr>
    </w:p>
    <w:p w14:paraId="2FA3C891" w14:textId="3FB19816" w:rsidR="009F6BD4" w:rsidRPr="009F6BD4" w:rsidRDefault="009F6BD4" w:rsidP="009F6BD4">
      <w:pPr>
        <w:pStyle w:val="CRReference"/>
        <w:rPr>
          <w:noProof/>
        </w:rPr>
      </w:pPr>
      <w:r w:rsidRPr="009F6BD4">
        <w:rPr>
          <w:noProof/>
        </w:rPr>
        <w:fldChar w:fldCharType="begin"/>
      </w:r>
      <w:r w:rsidRPr="009F6BD4">
        <w:rPr>
          <w:noProof/>
        </w:rPr>
        <w:instrText xml:space="preserve"> QUOTE "</w:instrText>
      </w:r>
      <w:r w:rsidRPr="009F6BD4">
        <w:rPr>
          <w:rStyle w:val="CRMarker"/>
          <w:noProof/>
        </w:rPr>
        <w:instrText>ê</w:instrText>
      </w:r>
      <w:r w:rsidRPr="009F6BD4">
        <w:rPr>
          <w:noProof/>
        </w:rPr>
        <w:instrText xml:space="preserve">" </w:instrText>
      </w:r>
      <w:r w:rsidRPr="009F6BD4">
        <w:rPr>
          <w:noProof/>
        </w:rPr>
        <w:fldChar w:fldCharType="separate"/>
      </w:r>
      <w:r w:rsidRPr="009F6BD4">
        <w:rPr>
          <w:rStyle w:val="CRMarker"/>
          <w:noProof/>
        </w:rPr>
        <w:t>ê</w:t>
      </w:r>
      <w:r w:rsidRPr="009F6BD4">
        <w:rPr>
          <w:noProof/>
        </w:rPr>
        <w:fldChar w:fldCharType="end"/>
      </w:r>
      <w:r w:rsidRPr="009F6BD4">
        <w:rPr>
          <w:noProof/>
        </w:rPr>
        <w:t> </w:t>
      </w:r>
      <w:r>
        <w:rPr>
          <w:noProof/>
        </w:rPr>
        <w:t>2015/719 bod odůvodnění 14</w:t>
      </w:r>
    </w:p>
    <w:p w14:paraId="1CCD0F0E" w14:textId="52BA330F" w:rsidR="002254D9" w:rsidRDefault="00C8069C" w:rsidP="00C8069C">
      <w:pPr>
        <w:pStyle w:val="ManualConsidrant"/>
        <w:rPr>
          <w:noProof/>
        </w:rPr>
      </w:pPr>
      <w:r w:rsidRPr="00C8069C">
        <w:t>(24)</w:t>
      </w:r>
      <w:r w:rsidRPr="00C8069C">
        <w:tab/>
      </w:r>
      <w:r w:rsidR="009F6BD4" w:rsidRPr="009F6BD4">
        <w:rPr>
          <w:noProof/>
        </w:rPr>
        <w:t>K zajištění dodržování této směrnice by měly členské státy stanovit sankce za porušení této směrnice a zajistit jejich uplatňování. Tyto sankce by měly být účinné, nediskriminační, přiměřené a odrazující.</w:t>
      </w:r>
    </w:p>
    <w:p w14:paraId="2C313102" w14:textId="5BD892C0" w:rsidR="009F6BD4" w:rsidRPr="00CA39FE" w:rsidRDefault="009F6BD4" w:rsidP="009F6BD4">
      <w:pPr>
        <w:pStyle w:val="CRSeparator"/>
        <w:rPr>
          <w:noProof/>
          <w:lang w:val="cs-CZ"/>
        </w:rPr>
      </w:pPr>
    </w:p>
    <w:p w14:paraId="1E82B847" w14:textId="0DBEFBFE" w:rsidR="009F6BD4" w:rsidRPr="009F6BD4" w:rsidRDefault="009F6BD4" w:rsidP="009F6BD4">
      <w:pPr>
        <w:pStyle w:val="CRReference"/>
        <w:rPr>
          <w:noProof/>
        </w:rPr>
      </w:pPr>
      <w:r w:rsidRPr="009F6BD4">
        <w:rPr>
          <w:noProof/>
        </w:rPr>
        <w:fldChar w:fldCharType="begin"/>
      </w:r>
      <w:r w:rsidRPr="009F6BD4">
        <w:rPr>
          <w:noProof/>
        </w:rPr>
        <w:instrText xml:space="preserve"> QUOTE "</w:instrText>
      </w:r>
      <w:r w:rsidRPr="009F6BD4">
        <w:rPr>
          <w:rStyle w:val="CRMarker"/>
          <w:noProof/>
        </w:rPr>
        <w:instrText>ê</w:instrText>
      </w:r>
      <w:r w:rsidRPr="009F6BD4">
        <w:rPr>
          <w:noProof/>
        </w:rPr>
        <w:instrText xml:space="preserve">" </w:instrText>
      </w:r>
      <w:r w:rsidRPr="009F6BD4">
        <w:rPr>
          <w:noProof/>
        </w:rPr>
        <w:fldChar w:fldCharType="separate"/>
      </w:r>
      <w:r w:rsidRPr="009F6BD4">
        <w:rPr>
          <w:rStyle w:val="CRMarker"/>
          <w:noProof/>
        </w:rPr>
        <w:t>ê</w:t>
      </w:r>
      <w:r w:rsidRPr="009F6BD4">
        <w:rPr>
          <w:noProof/>
        </w:rPr>
        <w:fldChar w:fldCharType="end"/>
      </w:r>
      <w:r w:rsidRPr="009F6BD4">
        <w:rPr>
          <w:noProof/>
        </w:rPr>
        <w:t> </w:t>
      </w:r>
      <w:r>
        <w:rPr>
          <w:noProof/>
        </w:rPr>
        <w:t xml:space="preserve">2015/719 bod odůvodnění </w:t>
      </w:r>
      <w:r w:rsidR="00CA39FE">
        <w:rPr>
          <w:noProof/>
        </w:rPr>
        <w:t>16</w:t>
      </w:r>
    </w:p>
    <w:p w14:paraId="05301B61" w14:textId="56A6A950" w:rsidR="009F6BD4" w:rsidRDefault="00C8069C" w:rsidP="00C8069C">
      <w:pPr>
        <w:pStyle w:val="ManualConsidrant"/>
        <w:rPr>
          <w:noProof/>
        </w:rPr>
      </w:pPr>
      <w:r w:rsidRPr="00C8069C">
        <w:t>(25)</w:t>
      </w:r>
      <w:r w:rsidRPr="00C8069C">
        <w:tab/>
      </w:r>
      <w:r w:rsidR="009F6BD4" w:rsidRPr="009F6BD4">
        <w:rPr>
          <w:noProof/>
        </w:rPr>
        <w:t>Evropský parlament a Rada by měly být pravidelně informovány o kontrolách silničního provozu prováděných příslušnými orgány členských států. Předávání těchto informací členskými státy umožní Komisi zajistit dodržování této směrnice ze strany přepravců a stanovit, zda je nutno vypracovat další donucovací opatření, či nikoli.</w:t>
      </w:r>
    </w:p>
    <w:p w14:paraId="0BB65904" w14:textId="40FF4AEF" w:rsidR="00CA39FE" w:rsidRPr="00C82850" w:rsidRDefault="00CA39FE" w:rsidP="00CA39FE">
      <w:pPr>
        <w:pStyle w:val="CRSeparator"/>
        <w:rPr>
          <w:noProof/>
          <w:lang w:val="cs-CZ"/>
        </w:rPr>
      </w:pPr>
    </w:p>
    <w:p w14:paraId="1CEA8DF1" w14:textId="2576FBDA" w:rsidR="00CA39FE" w:rsidRPr="00CA39FE" w:rsidRDefault="00CA39FE" w:rsidP="00CA39FE">
      <w:pPr>
        <w:pStyle w:val="CRReference"/>
        <w:rPr>
          <w:noProof/>
        </w:rPr>
      </w:pPr>
      <w:r w:rsidRPr="00CA39FE">
        <w:rPr>
          <w:noProof/>
        </w:rPr>
        <w:fldChar w:fldCharType="begin"/>
      </w:r>
      <w:r w:rsidRPr="00CA39FE">
        <w:rPr>
          <w:noProof/>
        </w:rPr>
        <w:instrText xml:space="preserve"> QUOTE "</w:instrText>
      </w:r>
      <w:r w:rsidRPr="00CA39FE">
        <w:rPr>
          <w:rStyle w:val="CRMarker"/>
          <w:noProof/>
        </w:rPr>
        <w:instrText>ê</w:instrText>
      </w:r>
      <w:r w:rsidRPr="00CA39FE">
        <w:rPr>
          <w:noProof/>
        </w:rPr>
        <w:instrText xml:space="preserve">" </w:instrText>
      </w:r>
      <w:r w:rsidRPr="00CA39FE">
        <w:rPr>
          <w:noProof/>
        </w:rPr>
        <w:fldChar w:fldCharType="separate"/>
      </w:r>
      <w:r w:rsidRPr="00CA39FE">
        <w:rPr>
          <w:rStyle w:val="CRMarker"/>
          <w:noProof/>
        </w:rPr>
        <w:t>ê</w:t>
      </w:r>
      <w:r w:rsidRPr="00CA39FE">
        <w:rPr>
          <w:noProof/>
        </w:rPr>
        <w:fldChar w:fldCharType="end"/>
      </w:r>
      <w:r w:rsidRPr="00CA39FE">
        <w:rPr>
          <w:noProof/>
        </w:rPr>
        <w:t> </w:t>
      </w:r>
      <w:r>
        <w:rPr>
          <w:noProof/>
        </w:rPr>
        <w:t>2015/719 bod odůvodnění 19</w:t>
      </w:r>
      <w:r w:rsidR="00482F79">
        <w:rPr>
          <w:noProof/>
        </w:rPr>
        <w:t xml:space="preserve"> (přizpůsobený)</w:t>
      </w:r>
    </w:p>
    <w:p w14:paraId="6A7F6586" w14:textId="2A2E8B67" w:rsidR="009F6BD4" w:rsidRDefault="00C8069C" w:rsidP="00C8069C">
      <w:pPr>
        <w:pStyle w:val="ManualConsidrant"/>
        <w:rPr>
          <w:noProof/>
        </w:rPr>
      </w:pPr>
      <w:r w:rsidRPr="00C8069C">
        <w:t>(26)</w:t>
      </w:r>
      <w:r w:rsidRPr="00C8069C">
        <w:tab/>
      </w:r>
      <w:r w:rsidR="00CA39FE" w:rsidRPr="00CA39FE">
        <w:rPr>
          <w:noProof/>
        </w:rPr>
        <w:t xml:space="preserve">Za účelem aktualizace seznamu alternativních paliv uvedeného v této směrnici s ohledem na nejnovější technologický vývoj by měla být na Komisi přenesena pravomoc přijímat akty v souladu s článkem 290 Smlouvy o fungování </w:t>
      </w:r>
      <w:r w:rsidR="00FE009E" w:rsidRPr="00267B76">
        <w:rPr>
          <w:noProof/>
        </w:rPr>
        <w:t>Evropské unie</w:t>
      </w:r>
      <w:r w:rsidR="00CA39FE" w:rsidRPr="00CA39FE">
        <w:rPr>
          <w:noProof/>
        </w:rPr>
        <w:t>. Je obzvláště důležité, aby Komise</w:t>
      </w:r>
      <w:r w:rsidR="00CA39FE" w:rsidRPr="00482F79">
        <w:rPr>
          <w:noProof/>
        </w:rPr>
        <w:t xml:space="preserve"> v rámci přípravné činnosti </w:t>
      </w:r>
      <w:r w:rsidR="00482F79" w:rsidRPr="00482F79">
        <w:rPr>
          <w:noProof/>
        </w:rPr>
        <w:fldChar w:fldCharType="begin"/>
      </w:r>
      <w:r w:rsidR="00482F79" w:rsidRPr="00732AF8">
        <w:rPr>
          <w:noProof/>
        </w:rPr>
        <w:instrText xml:space="preserve"> QUOTE "</w:instrText>
      </w:r>
      <w:r w:rsidR="00482F79" w:rsidRPr="00732AF8">
        <w:rPr>
          <w:rStyle w:val="CRMarker"/>
          <w:noProof/>
        </w:rPr>
        <w:instrText>Ö</w:instrText>
      </w:r>
      <w:r w:rsidR="00482F79" w:rsidRPr="00732AF8">
        <w:rPr>
          <w:noProof/>
        </w:rPr>
        <w:instrText xml:space="preserve">" </w:instrText>
      </w:r>
      <w:r w:rsidR="00482F79" w:rsidRPr="00482F79">
        <w:rPr>
          <w:noProof/>
        </w:rPr>
        <w:fldChar w:fldCharType="separate"/>
      </w:r>
      <w:r w:rsidR="00482F79" w:rsidRPr="00732AF8">
        <w:rPr>
          <w:rStyle w:val="CRMarker"/>
          <w:noProof/>
        </w:rPr>
        <w:t>Ö</w:t>
      </w:r>
      <w:r w:rsidR="00482F79" w:rsidRPr="00482F79">
        <w:rPr>
          <w:noProof/>
        </w:rPr>
        <w:fldChar w:fldCharType="end"/>
      </w:r>
      <w:r w:rsidR="00482F79" w:rsidRPr="00482F79">
        <w:rPr>
          <w:noProof/>
        </w:rPr>
        <w:t> vedla </w:t>
      </w:r>
      <w:r w:rsidR="00482F79" w:rsidRPr="00482F79">
        <w:rPr>
          <w:noProof/>
        </w:rPr>
        <w:fldChar w:fldCharType="begin"/>
      </w:r>
      <w:r w:rsidR="00482F79" w:rsidRPr="00482F79">
        <w:rPr>
          <w:noProof/>
        </w:rPr>
        <w:instrText xml:space="preserve"> QUOTE "</w:instrText>
      </w:r>
      <w:r w:rsidR="00482F79" w:rsidRPr="00732AF8">
        <w:rPr>
          <w:rStyle w:val="CRMarker"/>
          <w:noProof/>
        </w:rPr>
        <w:instrText>Õ</w:instrText>
      </w:r>
      <w:r w:rsidR="00482F79" w:rsidRPr="00482F79">
        <w:rPr>
          <w:noProof/>
        </w:rPr>
        <w:instrText xml:space="preserve">" </w:instrText>
      </w:r>
      <w:r w:rsidR="00482F79" w:rsidRPr="00482F79">
        <w:rPr>
          <w:noProof/>
        </w:rPr>
        <w:fldChar w:fldCharType="separate"/>
      </w:r>
      <w:r w:rsidR="00482F79" w:rsidRPr="00732AF8">
        <w:rPr>
          <w:rStyle w:val="CRMarker"/>
          <w:noProof/>
        </w:rPr>
        <w:t>Õ</w:t>
      </w:r>
      <w:r w:rsidR="00482F79" w:rsidRPr="00482F79">
        <w:rPr>
          <w:noProof/>
        </w:rPr>
        <w:fldChar w:fldCharType="end"/>
      </w:r>
      <w:r w:rsidR="00482F79" w:rsidRPr="00482F79">
        <w:rPr>
          <w:noProof/>
        </w:rPr>
        <w:t xml:space="preserve"> </w:t>
      </w:r>
      <w:r w:rsidR="00CA39FE" w:rsidRPr="00482F79">
        <w:rPr>
          <w:noProof/>
        </w:rPr>
        <w:t xml:space="preserve">odpovídající konzultace, </w:t>
      </w:r>
      <w:r w:rsidR="00CA39FE" w:rsidRPr="009B6DD3">
        <w:rPr>
          <w:noProof/>
        </w:rPr>
        <w:t xml:space="preserve">a </w:t>
      </w:r>
      <w:r w:rsidR="00CA39FE" w:rsidRPr="00732AF8">
        <w:rPr>
          <w:noProof/>
        </w:rPr>
        <w:t>to i</w:t>
      </w:r>
      <w:r w:rsidR="00482F79" w:rsidRPr="009B6DD3">
        <w:rPr>
          <w:noProof/>
        </w:rPr>
        <w:t xml:space="preserve"> </w:t>
      </w:r>
      <w:r w:rsidR="00482F79" w:rsidRPr="009B6DD3">
        <w:rPr>
          <w:noProof/>
        </w:rPr>
        <w:fldChar w:fldCharType="begin"/>
      </w:r>
      <w:r w:rsidR="00482F79" w:rsidRPr="009B6DD3">
        <w:rPr>
          <w:noProof/>
        </w:rPr>
        <w:instrText xml:space="preserve"> QUOTE "</w:instrText>
      </w:r>
      <w:r w:rsidR="00482F79" w:rsidRPr="00732AF8">
        <w:rPr>
          <w:rStyle w:val="CRMarker"/>
          <w:noProof/>
        </w:rPr>
        <w:instrText>Ö</w:instrText>
      </w:r>
      <w:r w:rsidR="00482F79" w:rsidRPr="009B6DD3">
        <w:rPr>
          <w:noProof/>
        </w:rPr>
        <w:instrText xml:space="preserve">" </w:instrText>
      </w:r>
      <w:r w:rsidR="00482F79" w:rsidRPr="009B6DD3">
        <w:rPr>
          <w:noProof/>
        </w:rPr>
        <w:fldChar w:fldCharType="separate"/>
      </w:r>
      <w:r w:rsidR="00482F79" w:rsidRPr="00732AF8">
        <w:rPr>
          <w:rStyle w:val="CRMarker"/>
          <w:noProof/>
        </w:rPr>
        <w:t>Ö</w:t>
      </w:r>
      <w:r w:rsidR="00482F79" w:rsidRPr="009B6DD3">
        <w:rPr>
          <w:noProof/>
        </w:rPr>
        <w:fldChar w:fldCharType="end"/>
      </w:r>
      <w:r w:rsidR="00482F79" w:rsidRPr="009B6DD3">
        <w:rPr>
          <w:noProof/>
        </w:rPr>
        <w:t xml:space="preserve"> na odborné úrovni, </w:t>
      </w:r>
      <w:r w:rsidR="007E5976">
        <w:rPr>
          <w:noProof/>
        </w:rPr>
        <w:t xml:space="preserve">a </w:t>
      </w:r>
      <w:r w:rsidR="00482F79" w:rsidRPr="009B6DD3">
        <w:rPr>
          <w:noProof/>
        </w:rPr>
        <w:t>aby tyto konzultace probíhaly v souladu se zásadami stanovenými v interinstituc</w:t>
      </w:r>
      <w:r w:rsidR="001F6729">
        <w:rPr>
          <w:noProof/>
        </w:rPr>
        <w:t>ionální dohodě ze dne 13. dubna </w:t>
      </w:r>
      <w:r w:rsidR="00482F79" w:rsidRPr="009B6DD3">
        <w:rPr>
          <w:noProof/>
        </w:rPr>
        <w:t>2016 o zdokonalení tvorby</w:t>
      </w:r>
      <w:r w:rsidR="00482F79" w:rsidRPr="00482F79">
        <w:rPr>
          <w:noProof/>
        </w:rPr>
        <w:t xml:space="preserve"> právních předpisů</w:t>
      </w:r>
      <w:r w:rsidR="0000091C">
        <w:rPr>
          <w:rStyle w:val="FootnoteReference"/>
          <w:noProof/>
        </w:rPr>
        <w:footnoteReference w:id="11"/>
      </w:r>
      <w:r w:rsidR="00482F79">
        <w:rPr>
          <w:noProof/>
        </w:rPr>
        <w:t>.</w:t>
      </w:r>
      <w:r w:rsidR="00CA39FE" w:rsidRPr="00CA39FE">
        <w:rPr>
          <w:noProof/>
        </w:rPr>
        <w:t xml:space="preserve"> </w:t>
      </w:r>
      <w:r w:rsidR="00EF28B5" w:rsidRPr="00EF28B5">
        <w:rPr>
          <w:noProof/>
        </w:rPr>
        <w:t>Pro zajištění rovné účasti na </w:t>
      </w:r>
      <w:r w:rsidR="00EF28B5" w:rsidRPr="00EF28B5">
        <w:rPr>
          <w:noProof/>
        </w:rPr>
        <w:fldChar w:fldCharType="begin"/>
      </w:r>
      <w:r w:rsidR="00EF28B5" w:rsidRPr="00EF28B5">
        <w:rPr>
          <w:noProof/>
        </w:rPr>
        <w:instrText xml:space="preserve"> QUOTE "</w:instrText>
      </w:r>
      <w:r w:rsidR="00EF28B5" w:rsidRPr="00732AF8">
        <w:rPr>
          <w:rStyle w:val="CRMarker"/>
          <w:noProof/>
        </w:rPr>
        <w:instrText>Õ</w:instrText>
      </w:r>
      <w:r w:rsidR="00EF28B5" w:rsidRPr="00EF28B5">
        <w:rPr>
          <w:noProof/>
        </w:rPr>
        <w:instrText xml:space="preserve">" </w:instrText>
      </w:r>
      <w:r w:rsidR="00EF28B5" w:rsidRPr="00EF28B5">
        <w:rPr>
          <w:noProof/>
        </w:rPr>
        <w:fldChar w:fldCharType="separate"/>
      </w:r>
      <w:r w:rsidR="00EF28B5" w:rsidRPr="00732AF8">
        <w:rPr>
          <w:rStyle w:val="CRMarker"/>
          <w:noProof/>
        </w:rPr>
        <w:t>Õ</w:t>
      </w:r>
      <w:r w:rsidR="00EF28B5" w:rsidRPr="00EF28B5">
        <w:rPr>
          <w:noProof/>
        </w:rPr>
        <w:fldChar w:fldCharType="end"/>
      </w:r>
      <w:r w:rsidR="00EF28B5" w:rsidRPr="00EF28B5">
        <w:rPr>
          <w:noProof/>
        </w:rPr>
        <w:t xml:space="preserve"> </w:t>
      </w:r>
      <w:r w:rsidR="00CA39FE" w:rsidRPr="00CA39FE">
        <w:rPr>
          <w:noProof/>
        </w:rPr>
        <w:t xml:space="preserve">vypracovávání aktů v přenesené pravomoci </w:t>
      </w:r>
      <w:r w:rsidR="00EF28B5" w:rsidRPr="00EF28B5">
        <w:rPr>
          <w:noProof/>
        </w:rPr>
        <w:fldChar w:fldCharType="begin"/>
      </w:r>
      <w:r w:rsidR="00EF28B5" w:rsidRPr="00EF28B5">
        <w:rPr>
          <w:noProof/>
        </w:rPr>
        <w:instrText xml:space="preserve"> QUOTE "</w:instrText>
      </w:r>
      <w:r w:rsidR="00EF28B5" w:rsidRPr="00732AF8">
        <w:rPr>
          <w:rStyle w:val="CRMarker"/>
          <w:noProof/>
        </w:rPr>
        <w:instrText>Ö</w:instrText>
      </w:r>
      <w:r w:rsidR="00EF28B5" w:rsidRPr="00EF28B5">
        <w:rPr>
          <w:noProof/>
        </w:rPr>
        <w:instrText xml:space="preserve">" </w:instrText>
      </w:r>
      <w:r w:rsidR="00EF28B5" w:rsidRPr="00EF28B5">
        <w:rPr>
          <w:noProof/>
        </w:rPr>
        <w:fldChar w:fldCharType="separate"/>
      </w:r>
      <w:r w:rsidR="00EF28B5" w:rsidRPr="00732AF8">
        <w:rPr>
          <w:rStyle w:val="CRMarker"/>
          <w:noProof/>
        </w:rPr>
        <w:t>Ö</w:t>
      </w:r>
      <w:r w:rsidR="00EF28B5" w:rsidRPr="00EF28B5">
        <w:rPr>
          <w:noProof/>
        </w:rPr>
        <w:fldChar w:fldCharType="end"/>
      </w:r>
      <w:r w:rsidR="00EF28B5" w:rsidRPr="00EF28B5">
        <w:rPr>
          <w:noProof/>
        </w:rPr>
        <w:t> obdrží </w:t>
      </w:r>
      <w:r w:rsidR="00EF28B5" w:rsidRPr="00EF28B5">
        <w:rPr>
          <w:noProof/>
        </w:rPr>
        <w:fldChar w:fldCharType="begin"/>
      </w:r>
      <w:r w:rsidR="00EF28B5" w:rsidRPr="00EF28B5">
        <w:rPr>
          <w:noProof/>
        </w:rPr>
        <w:instrText xml:space="preserve"> QUOTE "</w:instrText>
      </w:r>
      <w:r w:rsidR="00EF28B5" w:rsidRPr="00732AF8">
        <w:rPr>
          <w:rStyle w:val="CRMarker"/>
          <w:noProof/>
        </w:rPr>
        <w:instrText>Õ</w:instrText>
      </w:r>
      <w:r w:rsidR="00EF28B5" w:rsidRPr="00EF28B5">
        <w:rPr>
          <w:noProof/>
        </w:rPr>
        <w:instrText xml:space="preserve">" </w:instrText>
      </w:r>
      <w:r w:rsidR="00EF28B5" w:rsidRPr="00EF28B5">
        <w:rPr>
          <w:noProof/>
        </w:rPr>
        <w:fldChar w:fldCharType="separate"/>
      </w:r>
      <w:r w:rsidR="00EF28B5" w:rsidRPr="00732AF8">
        <w:rPr>
          <w:rStyle w:val="CRMarker"/>
          <w:noProof/>
        </w:rPr>
        <w:t>Õ</w:t>
      </w:r>
      <w:r w:rsidR="00EF28B5" w:rsidRPr="00EF28B5">
        <w:rPr>
          <w:noProof/>
        </w:rPr>
        <w:fldChar w:fldCharType="end"/>
      </w:r>
      <w:r w:rsidR="00EF28B5" w:rsidRPr="00EF28B5">
        <w:rPr>
          <w:noProof/>
        </w:rPr>
        <w:t xml:space="preserve"> </w:t>
      </w:r>
      <w:r w:rsidR="00CA39FE" w:rsidRPr="00CA39FE">
        <w:rPr>
          <w:noProof/>
        </w:rPr>
        <w:t>Evropsk</w:t>
      </w:r>
      <w:r w:rsidR="00EF28B5" w:rsidRPr="00EF28B5">
        <w:rPr>
          <w:noProof/>
        </w:rPr>
        <w:t>ý</w:t>
      </w:r>
      <w:r w:rsidR="00CA39FE" w:rsidRPr="00CA39FE">
        <w:rPr>
          <w:noProof/>
        </w:rPr>
        <w:t xml:space="preserve"> parlament a Rad</w:t>
      </w:r>
      <w:r w:rsidR="00EF28B5">
        <w:rPr>
          <w:noProof/>
        </w:rPr>
        <w:t xml:space="preserve">a </w:t>
      </w:r>
      <w:r w:rsidR="00EF28B5" w:rsidRPr="00EF28B5">
        <w:rPr>
          <w:noProof/>
        </w:rPr>
        <w:fldChar w:fldCharType="begin"/>
      </w:r>
      <w:r w:rsidR="00EF28B5" w:rsidRPr="00EF28B5">
        <w:rPr>
          <w:noProof/>
        </w:rPr>
        <w:instrText xml:space="preserve"> QUOTE "</w:instrText>
      </w:r>
      <w:r w:rsidR="00EF28B5" w:rsidRPr="00732AF8">
        <w:rPr>
          <w:rStyle w:val="CRMarker"/>
          <w:noProof/>
        </w:rPr>
        <w:instrText>Ö</w:instrText>
      </w:r>
      <w:r w:rsidR="00EF28B5" w:rsidRPr="00EF28B5">
        <w:rPr>
          <w:noProof/>
        </w:rPr>
        <w:instrText xml:space="preserve">" </w:instrText>
      </w:r>
      <w:r w:rsidR="00EF28B5" w:rsidRPr="00EF28B5">
        <w:rPr>
          <w:noProof/>
        </w:rPr>
        <w:fldChar w:fldCharType="separate"/>
      </w:r>
      <w:r w:rsidR="00EF28B5" w:rsidRPr="00732AF8">
        <w:rPr>
          <w:rStyle w:val="CRMarker"/>
          <w:noProof/>
        </w:rPr>
        <w:t>Ö</w:t>
      </w:r>
      <w:r w:rsidR="00EF28B5" w:rsidRPr="00EF28B5">
        <w:rPr>
          <w:noProof/>
        </w:rPr>
        <w:fldChar w:fldCharType="end"/>
      </w:r>
      <w:r w:rsidR="00EF28B5" w:rsidRPr="00EF28B5">
        <w:rPr>
          <w:noProof/>
        </w:rPr>
        <w:t> veškeré dokumenty současně s odborníky z členských států a jejich odborníci mají automaticky přístup na zasedání skupin odborníků Komise, jež se věnují přípravě aktů v přenesené pravomoci </w:t>
      </w:r>
      <w:r w:rsidR="00EF28B5" w:rsidRPr="00EF28B5">
        <w:rPr>
          <w:noProof/>
        </w:rPr>
        <w:fldChar w:fldCharType="begin"/>
      </w:r>
      <w:r w:rsidR="00EF28B5" w:rsidRPr="00EF28B5">
        <w:rPr>
          <w:noProof/>
        </w:rPr>
        <w:instrText xml:space="preserve"> QUOTE "</w:instrText>
      </w:r>
      <w:r w:rsidR="00EF28B5" w:rsidRPr="00732AF8">
        <w:rPr>
          <w:rStyle w:val="CRMarker"/>
          <w:noProof/>
        </w:rPr>
        <w:instrText>Õ</w:instrText>
      </w:r>
      <w:r w:rsidR="00EF28B5" w:rsidRPr="00EF28B5">
        <w:rPr>
          <w:noProof/>
        </w:rPr>
        <w:instrText xml:space="preserve">" </w:instrText>
      </w:r>
      <w:r w:rsidR="00EF28B5" w:rsidRPr="00EF28B5">
        <w:rPr>
          <w:noProof/>
        </w:rPr>
        <w:fldChar w:fldCharType="separate"/>
      </w:r>
      <w:r w:rsidR="00EF28B5" w:rsidRPr="00732AF8">
        <w:rPr>
          <w:rStyle w:val="CRMarker"/>
          <w:noProof/>
        </w:rPr>
        <w:t>Õ</w:t>
      </w:r>
      <w:r w:rsidR="00EF28B5" w:rsidRPr="00EF28B5">
        <w:rPr>
          <w:noProof/>
        </w:rPr>
        <w:fldChar w:fldCharType="end"/>
      </w:r>
      <w:r w:rsidR="00CA39FE" w:rsidRPr="00CA39FE">
        <w:rPr>
          <w:noProof/>
        </w:rPr>
        <w:t>.</w:t>
      </w:r>
    </w:p>
    <w:p w14:paraId="2E6D83E1" w14:textId="78C28040" w:rsidR="009B6DD3" w:rsidRPr="009B6DD3" w:rsidRDefault="009B6DD3" w:rsidP="009B6DD3">
      <w:pPr>
        <w:pStyle w:val="CRSeparator"/>
        <w:rPr>
          <w:noProof/>
          <w:lang w:val="cs-CZ"/>
        </w:rPr>
      </w:pPr>
    </w:p>
    <w:p w14:paraId="58BF1E7F" w14:textId="30CD32A7" w:rsidR="009B6DD3" w:rsidRPr="009B6DD3" w:rsidRDefault="009B6DD3" w:rsidP="009B6DD3">
      <w:pPr>
        <w:pStyle w:val="CRReference"/>
        <w:rPr>
          <w:noProof/>
        </w:rPr>
      </w:pPr>
      <w:r w:rsidRPr="009B6DD3">
        <w:rPr>
          <w:noProof/>
        </w:rPr>
        <w:fldChar w:fldCharType="begin"/>
      </w:r>
      <w:r w:rsidRPr="009B6DD3">
        <w:rPr>
          <w:noProof/>
        </w:rPr>
        <w:instrText xml:space="preserve"> QUOTE "</w:instrText>
      </w:r>
      <w:r w:rsidRPr="009B6DD3">
        <w:rPr>
          <w:rStyle w:val="CRMarker"/>
          <w:noProof/>
        </w:rPr>
        <w:instrText>ê</w:instrText>
      </w:r>
      <w:r w:rsidRPr="009B6DD3">
        <w:rPr>
          <w:noProof/>
        </w:rPr>
        <w:instrText xml:space="preserve">" </w:instrText>
      </w:r>
      <w:r w:rsidRPr="009B6DD3">
        <w:rPr>
          <w:noProof/>
        </w:rPr>
        <w:fldChar w:fldCharType="separate"/>
      </w:r>
      <w:r w:rsidRPr="009B6DD3">
        <w:rPr>
          <w:rStyle w:val="CRMarker"/>
          <w:noProof/>
        </w:rPr>
        <w:t>ê</w:t>
      </w:r>
      <w:r w:rsidRPr="009B6DD3">
        <w:rPr>
          <w:noProof/>
        </w:rPr>
        <w:fldChar w:fldCharType="end"/>
      </w:r>
      <w:r w:rsidRPr="009B6DD3">
        <w:rPr>
          <w:noProof/>
        </w:rPr>
        <w:t> </w:t>
      </w:r>
      <w:r>
        <w:rPr>
          <w:noProof/>
        </w:rPr>
        <w:t>2015/719 bod odůvodnění 17</w:t>
      </w:r>
    </w:p>
    <w:p w14:paraId="0F2950F7" w14:textId="0F4A2307" w:rsidR="00CA39FE" w:rsidRPr="004D0B49" w:rsidRDefault="00C8069C" w:rsidP="00C8069C">
      <w:pPr>
        <w:pStyle w:val="ManualConsidrant"/>
        <w:rPr>
          <w:noProof/>
        </w:rPr>
      </w:pPr>
      <w:r w:rsidRPr="00C8069C">
        <w:t>(27)</w:t>
      </w:r>
      <w:r w:rsidRPr="00C8069C">
        <w:tab/>
      </w:r>
      <w:r w:rsidR="004D0B49" w:rsidRPr="004D0B49">
        <w:rPr>
          <w:noProof/>
          <w:lang w:val="fr-FR" w:eastAsia="da-DK"/>
        </w:rPr>
        <w:t>Za účelem zajištění jednotných podmínek k provedení této směrnice by měly být Komisi svěřeny prováděcí pravomoci. Tyto pravomoci by měly být vykonávány v souladu s nařízením Evropského parlamentu a Rady (EU) č. 182/2011</w:t>
      </w:r>
      <w:r w:rsidR="004D0B49" w:rsidRPr="005D7D8A">
        <w:rPr>
          <w:rStyle w:val="FootnoteReference"/>
          <w:noProof/>
        </w:rPr>
        <w:footnoteReference w:id="12"/>
      </w:r>
      <w:r w:rsidR="004D0B49" w:rsidRPr="004D0B49">
        <w:rPr>
          <w:noProof/>
          <w:lang w:val="fr-FR" w:eastAsia="da-DK"/>
        </w:rPr>
        <w:t>.</w:t>
      </w:r>
    </w:p>
    <w:p w14:paraId="6820D83B" w14:textId="4FEF0230" w:rsidR="004D0B49" w:rsidRDefault="004D0B49" w:rsidP="004D0B49">
      <w:pPr>
        <w:pStyle w:val="CRSeparator"/>
        <w:rPr>
          <w:rFonts w:eastAsiaTheme="minorHAnsi"/>
          <w:noProof/>
        </w:rPr>
      </w:pPr>
    </w:p>
    <w:p w14:paraId="1F33D96F" w14:textId="0AC40F84" w:rsidR="004D0B49" w:rsidRPr="004D0B49" w:rsidRDefault="004D0B49" w:rsidP="004D0B49">
      <w:pPr>
        <w:pStyle w:val="CRReference"/>
        <w:rPr>
          <w:noProof/>
        </w:rPr>
      </w:pPr>
      <w:r w:rsidRPr="004D0B49">
        <w:rPr>
          <w:noProof/>
        </w:rPr>
        <w:fldChar w:fldCharType="begin"/>
      </w:r>
      <w:r w:rsidRPr="004D0B49">
        <w:rPr>
          <w:noProof/>
        </w:rPr>
        <w:instrText xml:space="preserve"> QUOTE "</w:instrText>
      </w:r>
      <w:r w:rsidRPr="004D0B49">
        <w:rPr>
          <w:rStyle w:val="CRMarker"/>
          <w:noProof/>
        </w:rPr>
        <w:instrText>ê</w:instrText>
      </w:r>
      <w:r w:rsidRPr="004D0B49">
        <w:rPr>
          <w:noProof/>
        </w:rPr>
        <w:instrText xml:space="preserve">" </w:instrText>
      </w:r>
      <w:r w:rsidRPr="004D0B49">
        <w:rPr>
          <w:noProof/>
        </w:rPr>
        <w:fldChar w:fldCharType="separate"/>
      </w:r>
      <w:r w:rsidRPr="004D0B49">
        <w:rPr>
          <w:rStyle w:val="CRMarker"/>
          <w:noProof/>
        </w:rPr>
        <w:t>ê</w:t>
      </w:r>
      <w:r w:rsidRPr="004D0B49">
        <w:rPr>
          <w:noProof/>
        </w:rPr>
        <w:fldChar w:fldCharType="end"/>
      </w:r>
      <w:r w:rsidRPr="004D0B49">
        <w:rPr>
          <w:noProof/>
        </w:rPr>
        <w:t> </w:t>
      </w:r>
      <w:r>
        <w:rPr>
          <w:noProof/>
        </w:rPr>
        <w:t>2015/719 bod odůvodnění 18</w:t>
      </w:r>
    </w:p>
    <w:p w14:paraId="0A00940D" w14:textId="0B8F30A7" w:rsidR="004D0B49" w:rsidRDefault="00C8069C" w:rsidP="00C8069C">
      <w:pPr>
        <w:pStyle w:val="ManualConsidrant"/>
        <w:rPr>
          <w:noProof/>
        </w:rPr>
      </w:pPr>
      <w:r w:rsidRPr="00C8069C">
        <w:t>(28)</w:t>
      </w:r>
      <w:r w:rsidRPr="00C8069C">
        <w:tab/>
      </w:r>
      <w:r w:rsidR="004D0B49" w:rsidRPr="004D0B49">
        <w:rPr>
          <w:noProof/>
        </w:rPr>
        <w:t>Komise by neměla přijímat prováděcí akty týkající se provozních požadavků na používání aerodynamických zařízení nebo podrobných specifikací pro palubní zařízení pro zjišťování hmotnosti, nevydá-li výbor zřízený podle této směrnice k návrhu prováděcího aktu předloženému Komisí žádné stanovisko.</w:t>
      </w:r>
    </w:p>
    <w:p w14:paraId="604F5CA1" w14:textId="38E4BA4A" w:rsidR="004D0B49" w:rsidRDefault="004D0B49" w:rsidP="004D0B49">
      <w:pPr>
        <w:pStyle w:val="CRSeparator"/>
        <w:rPr>
          <w:noProof/>
        </w:rPr>
      </w:pPr>
    </w:p>
    <w:p w14:paraId="39CB72FD" w14:textId="57C901FD" w:rsidR="004D0B49" w:rsidRPr="004D0B49" w:rsidRDefault="004D0B49" w:rsidP="004D0B49">
      <w:pPr>
        <w:pStyle w:val="CRReference"/>
        <w:rPr>
          <w:noProof/>
        </w:rPr>
      </w:pPr>
      <w:r w:rsidRPr="004D0B49">
        <w:rPr>
          <w:noProof/>
        </w:rPr>
        <w:fldChar w:fldCharType="begin"/>
      </w:r>
      <w:r w:rsidRPr="004D0B49">
        <w:rPr>
          <w:noProof/>
        </w:rPr>
        <w:instrText xml:space="preserve"> QUOTE "</w:instrText>
      </w:r>
      <w:r w:rsidRPr="004D0B49">
        <w:rPr>
          <w:rStyle w:val="CRMarker"/>
          <w:noProof/>
        </w:rPr>
        <w:instrText>ê</w:instrText>
      </w:r>
      <w:r w:rsidRPr="004D0B49">
        <w:rPr>
          <w:noProof/>
        </w:rPr>
        <w:instrText xml:space="preserve">" </w:instrText>
      </w:r>
      <w:r w:rsidRPr="004D0B49">
        <w:rPr>
          <w:noProof/>
        </w:rPr>
        <w:fldChar w:fldCharType="separate"/>
      </w:r>
      <w:r w:rsidRPr="004D0B49">
        <w:rPr>
          <w:rStyle w:val="CRMarker"/>
          <w:noProof/>
        </w:rPr>
        <w:t>ê</w:t>
      </w:r>
      <w:r w:rsidRPr="004D0B49">
        <w:rPr>
          <w:noProof/>
        </w:rPr>
        <w:fldChar w:fldCharType="end"/>
      </w:r>
      <w:r w:rsidRPr="004D0B49">
        <w:rPr>
          <w:noProof/>
        </w:rPr>
        <w:t> </w:t>
      </w:r>
      <w:r>
        <w:rPr>
          <w:noProof/>
        </w:rPr>
        <w:t>2015/719 bod odůvodnění 20</w:t>
      </w:r>
    </w:p>
    <w:p w14:paraId="71C33BE9" w14:textId="06E7F42E" w:rsidR="004D0B49" w:rsidRDefault="00C8069C" w:rsidP="00C8069C">
      <w:pPr>
        <w:pStyle w:val="ManualConsidrant"/>
        <w:rPr>
          <w:noProof/>
        </w:rPr>
      </w:pPr>
      <w:r w:rsidRPr="00C8069C">
        <w:t>(29)</w:t>
      </w:r>
      <w:r w:rsidRPr="00C8069C">
        <w:tab/>
      </w:r>
      <w:r w:rsidR="004D0B49" w:rsidRPr="004D0B49">
        <w:rPr>
          <w:noProof/>
        </w:rPr>
        <w:t>Jelikož cílů této směrnice nemůže být dosaženo uspokojivě členskými státy, ale spíše jich z důvodu jejího rozsahu a účinků může být lépe dosaženo na úrovni Unie, může Unie přijmout opatření v souladu se zásadou subsidiarity stanovenou v článku 5 Smlouvy o Evropské unii. V souladu se zásadou proporcionality stanovenou v uvedeném článku nepřekračuje tato směrnice rámec toho, co je nezbytné k dosažení těchto cílů.</w:t>
      </w:r>
    </w:p>
    <w:p w14:paraId="3D0E46C4" w14:textId="2A5832FB" w:rsidR="0006348C" w:rsidRPr="00C82850" w:rsidRDefault="0006348C" w:rsidP="0006348C">
      <w:pPr>
        <w:pStyle w:val="CRSeparator"/>
        <w:rPr>
          <w:noProof/>
          <w:lang w:val="cs-CZ"/>
        </w:rPr>
      </w:pPr>
    </w:p>
    <w:p w14:paraId="14A881A1" w14:textId="4C700AE0" w:rsidR="0006348C" w:rsidRPr="0006348C" w:rsidRDefault="0006348C" w:rsidP="0006348C">
      <w:pPr>
        <w:pStyle w:val="CRReference"/>
        <w:rPr>
          <w:noProof/>
        </w:rPr>
      </w:pPr>
      <w:r w:rsidRPr="0006348C">
        <w:rPr>
          <w:noProof/>
        </w:rPr>
        <w:fldChar w:fldCharType="begin"/>
      </w:r>
      <w:r w:rsidRPr="0006348C">
        <w:rPr>
          <w:noProof/>
        </w:rPr>
        <w:instrText xml:space="preserve"> QUOTE "</w:instrText>
      </w:r>
      <w:r w:rsidRPr="0006348C">
        <w:rPr>
          <w:rStyle w:val="CRMarker"/>
          <w:noProof/>
        </w:rPr>
        <w:instrText>ê</w:instrText>
      </w:r>
      <w:r w:rsidRPr="0006348C">
        <w:rPr>
          <w:noProof/>
        </w:rPr>
        <w:instrText xml:space="preserve">" </w:instrText>
      </w:r>
      <w:r w:rsidRPr="0006348C">
        <w:rPr>
          <w:noProof/>
        </w:rPr>
        <w:fldChar w:fldCharType="separate"/>
      </w:r>
      <w:r w:rsidRPr="0006348C">
        <w:rPr>
          <w:rStyle w:val="CRMarker"/>
          <w:noProof/>
        </w:rPr>
        <w:t>ê</w:t>
      </w:r>
      <w:r w:rsidRPr="0006348C">
        <w:rPr>
          <w:noProof/>
        </w:rPr>
        <w:fldChar w:fldCharType="end"/>
      </w:r>
      <w:r w:rsidRPr="0006348C">
        <w:rPr>
          <w:noProof/>
        </w:rPr>
        <w:t> </w:t>
      </w:r>
      <w:r>
        <w:rPr>
          <w:noProof/>
        </w:rPr>
        <w:t>96/53 bod odůvodnění 24 (přizpůsobený)</w:t>
      </w:r>
    </w:p>
    <w:p w14:paraId="126746AD" w14:textId="37A3184C" w:rsidR="004D0B49" w:rsidRDefault="00C8069C" w:rsidP="00C8069C">
      <w:pPr>
        <w:pStyle w:val="ManualConsidrant"/>
        <w:rPr>
          <w:noProof/>
        </w:rPr>
      </w:pPr>
      <w:r w:rsidRPr="00C8069C">
        <w:t>(30)</w:t>
      </w:r>
      <w:r w:rsidRPr="00C8069C">
        <w:tab/>
      </w:r>
      <w:r w:rsidR="0006348C">
        <w:rPr>
          <w:noProof/>
        </w:rPr>
        <w:t>T</w:t>
      </w:r>
      <w:r w:rsidR="00F76E91">
        <w:rPr>
          <w:noProof/>
        </w:rPr>
        <w:t>outo směrnicí</w:t>
      </w:r>
      <w:r w:rsidR="0006348C" w:rsidRPr="0006348C">
        <w:rPr>
          <w:noProof/>
        </w:rPr>
        <w:t xml:space="preserve"> </w:t>
      </w:r>
      <w:r w:rsidR="0006348C" w:rsidRPr="0006348C">
        <w:rPr>
          <w:noProof/>
        </w:rPr>
        <w:fldChar w:fldCharType="begin"/>
      </w:r>
      <w:r w:rsidR="0006348C" w:rsidRPr="0006348C">
        <w:rPr>
          <w:noProof/>
        </w:rPr>
        <w:instrText xml:space="preserve"> QUOTE "</w:instrText>
      </w:r>
      <w:r w:rsidR="0006348C" w:rsidRPr="00732AF8">
        <w:rPr>
          <w:rStyle w:val="CRMarker"/>
          <w:noProof/>
        </w:rPr>
        <w:instrText>Ö</w:instrText>
      </w:r>
      <w:r w:rsidR="0006348C" w:rsidRPr="0006348C">
        <w:rPr>
          <w:noProof/>
        </w:rPr>
        <w:instrText xml:space="preserve">" </w:instrText>
      </w:r>
      <w:r w:rsidR="0006348C" w:rsidRPr="0006348C">
        <w:rPr>
          <w:noProof/>
        </w:rPr>
        <w:fldChar w:fldCharType="separate"/>
      </w:r>
      <w:r w:rsidR="0006348C" w:rsidRPr="00732AF8">
        <w:rPr>
          <w:rStyle w:val="CRMarker"/>
          <w:noProof/>
        </w:rPr>
        <w:t>Ö</w:t>
      </w:r>
      <w:r w:rsidR="0006348C" w:rsidRPr="0006348C">
        <w:rPr>
          <w:noProof/>
        </w:rPr>
        <w:fldChar w:fldCharType="end"/>
      </w:r>
      <w:r w:rsidR="0006348C" w:rsidRPr="0006348C">
        <w:rPr>
          <w:noProof/>
        </w:rPr>
        <w:t> by neměly být </w:t>
      </w:r>
      <w:r w:rsidR="0006348C" w:rsidRPr="0006348C">
        <w:rPr>
          <w:noProof/>
        </w:rPr>
        <w:fldChar w:fldCharType="begin"/>
      </w:r>
      <w:r w:rsidR="0006348C" w:rsidRPr="0006348C">
        <w:rPr>
          <w:noProof/>
        </w:rPr>
        <w:instrText xml:space="preserve"> QUOTE "</w:instrText>
      </w:r>
      <w:r w:rsidR="0006348C" w:rsidRPr="00732AF8">
        <w:rPr>
          <w:rStyle w:val="CRMarker"/>
          <w:noProof/>
        </w:rPr>
        <w:instrText>Õ</w:instrText>
      </w:r>
      <w:r w:rsidR="0006348C" w:rsidRPr="0006348C">
        <w:rPr>
          <w:noProof/>
        </w:rPr>
        <w:instrText xml:space="preserve">" </w:instrText>
      </w:r>
      <w:r w:rsidR="0006348C" w:rsidRPr="0006348C">
        <w:rPr>
          <w:noProof/>
        </w:rPr>
        <w:fldChar w:fldCharType="separate"/>
      </w:r>
      <w:r w:rsidR="0006348C" w:rsidRPr="00732AF8">
        <w:rPr>
          <w:rStyle w:val="CRMarker"/>
          <w:noProof/>
        </w:rPr>
        <w:t>Õ</w:t>
      </w:r>
      <w:r w:rsidR="0006348C" w:rsidRPr="0006348C">
        <w:rPr>
          <w:noProof/>
        </w:rPr>
        <w:fldChar w:fldCharType="end"/>
      </w:r>
      <w:r w:rsidR="0006348C" w:rsidRPr="0006348C">
        <w:rPr>
          <w:noProof/>
        </w:rPr>
        <w:t xml:space="preserve"> </w:t>
      </w:r>
      <w:r w:rsidR="00F76E91">
        <w:rPr>
          <w:noProof/>
        </w:rPr>
        <w:t>dotčeny</w:t>
      </w:r>
      <w:r w:rsidR="0006348C" w:rsidRPr="0006348C">
        <w:rPr>
          <w:noProof/>
        </w:rPr>
        <w:t xml:space="preserve"> </w:t>
      </w:r>
      <w:r w:rsidR="0006348C" w:rsidRPr="0006348C">
        <w:rPr>
          <w:noProof/>
        </w:rPr>
        <w:fldChar w:fldCharType="begin"/>
      </w:r>
      <w:r w:rsidR="0006348C" w:rsidRPr="0006348C">
        <w:rPr>
          <w:noProof/>
        </w:rPr>
        <w:instrText xml:space="preserve"> QUOTE "</w:instrText>
      </w:r>
      <w:r w:rsidR="0006348C" w:rsidRPr="00732AF8">
        <w:rPr>
          <w:rStyle w:val="CRMarker"/>
          <w:noProof/>
        </w:rPr>
        <w:instrText>Ö</w:instrText>
      </w:r>
      <w:r w:rsidR="0006348C" w:rsidRPr="0006348C">
        <w:rPr>
          <w:noProof/>
        </w:rPr>
        <w:instrText xml:space="preserve">" </w:instrText>
      </w:r>
      <w:r w:rsidR="0006348C" w:rsidRPr="0006348C">
        <w:rPr>
          <w:noProof/>
        </w:rPr>
        <w:fldChar w:fldCharType="separate"/>
      </w:r>
      <w:r w:rsidR="0006348C" w:rsidRPr="00732AF8">
        <w:rPr>
          <w:rStyle w:val="CRMarker"/>
          <w:noProof/>
        </w:rPr>
        <w:t>Ö</w:t>
      </w:r>
      <w:r w:rsidR="0006348C" w:rsidRPr="0006348C">
        <w:rPr>
          <w:noProof/>
        </w:rPr>
        <w:fldChar w:fldCharType="end"/>
      </w:r>
      <w:r w:rsidR="0006348C" w:rsidRPr="0006348C">
        <w:rPr>
          <w:noProof/>
        </w:rPr>
        <w:t> povinnosti </w:t>
      </w:r>
      <w:r w:rsidR="0006348C" w:rsidRPr="0006348C">
        <w:rPr>
          <w:noProof/>
        </w:rPr>
        <w:fldChar w:fldCharType="begin"/>
      </w:r>
      <w:r w:rsidR="0006348C" w:rsidRPr="0006348C">
        <w:rPr>
          <w:noProof/>
        </w:rPr>
        <w:instrText xml:space="preserve"> QUOTE "</w:instrText>
      </w:r>
      <w:r w:rsidR="0006348C" w:rsidRPr="00732AF8">
        <w:rPr>
          <w:rStyle w:val="CRMarker"/>
          <w:noProof/>
        </w:rPr>
        <w:instrText>Õ</w:instrText>
      </w:r>
      <w:r w:rsidR="0006348C" w:rsidRPr="0006348C">
        <w:rPr>
          <w:noProof/>
        </w:rPr>
        <w:instrText xml:space="preserve">" </w:instrText>
      </w:r>
      <w:r w:rsidR="0006348C" w:rsidRPr="0006348C">
        <w:rPr>
          <w:noProof/>
        </w:rPr>
        <w:fldChar w:fldCharType="separate"/>
      </w:r>
      <w:r w:rsidR="0006348C" w:rsidRPr="00732AF8">
        <w:rPr>
          <w:rStyle w:val="CRMarker"/>
          <w:noProof/>
        </w:rPr>
        <w:t>Õ</w:t>
      </w:r>
      <w:r w:rsidR="0006348C" w:rsidRPr="0006348C">
        <w:rPr>
          <w:noProof/>
        </w:rPr>
        <w:fldChar w:fldCharType="end"/>
      </w:r>
      <w:r w:rsidR="0006348C" w:rsidRPr="0006348C">
        <w:rPr>
          <w:noProof/>
        </w:rPr>
        <w:t xml:space="preserve"> </w:t>
      </w:r>
      <w:r w:rsidR="00F76E91">
        <w:rPr>
          <w:noProof/>
        </w:rPr>
        <w:t>členských států</w:t>
      </w:r>
      <w:r w:rsidR="0006348C" w:rsidRPr="0006348C">
        <w:rPr>
          <w:noProof/>
        </w:rPr>
        <w:t xml:space="preserve"> </w:t>
      </w:r>
      <w:r w:rsidR="004751B7" w:rsidRPr="004751B7">
        <w:rPr>
          <w:noProof/>
        </w:rPr>
        <w:fldChar w:fldCharType="begin"/>
      </w:r>
      <w:r w:rsidR="004751B7" w:rsidRPr="004751B7">
        <w:rPr>
          <w:noProof/>
        </w:rPr>
        <w:instrText xml:space="preserve"> QUOTE "</w:instrText>
      </w:r>
      <w:r w:rsidR="004751B7" w:rsidRPr="00732AF8">
        <w:rPr>
          <w:rStyle w:val="CRMarker"/>
          <w:noProof/>
        </w:rPr>
        <w:instrText>Ö</w:instrText>
      </w:r>
      <w:r w:rsidR="004751B7" w:rsidRPr="004751B7">
        <w:rPr>
          <w:noProof/>
        </w:rPr>
        <w:instrText xml:space="preserve">" </w:instrText>
      </w:r>
      <w:r w:rsidR="004751B7" w:rsidRPr="004751B7">
        <w:rPr>
          <w:noProof/>
        </w:rPr>
        <w:fldChar w:fldCharType="separate"/>
      </w:r>
      <w:r w:rsidR="004751B7" w:rsidRPr="00732AF8">
        <w:rPr>
          <w:rStyle w:val="CRMarker"/>
          <w:noProof/>
        </w:rPr>
        <w:t>Ö</w:t>
      </w:r>
      <w:r w:rsidR="004751B7" w:rsidRPr="004751B7">
        <w:rPr>
          <w:noProof/>
        </w:rPr>
        <w:fldChar w:fldCharType="end"/>
      </w:r>
      <w:r w:rsidR="004751B7" w:rsidRPr="004751B7">
        <w:rPr>
          <w:noProof/>
        </w:rPr>
        <w:t> týkající se lhůt </w:t>
      </w:r>
      <w:r w:rsidR="004751B7" w:rsidRPr="004751B7">
        <w:rPr>
          <w:noProof/>
        </w:rPr>
        <w:fldChar w:fldCharType="begin"/>
      </w:r>
      <w:r w:rsidR="004751B7" w:rsidRPr="004751B7">
        <w:rPr>
          <w:noProof/>
        </w:rPr>
        <w:instrText xml:space="preserve"> QUOTE "</w:instrText>
      </w:r>
      <w:r w:rsidR="004751B7" w:rsidRPr="00732AF8">
        <w:rPr>
          <w:rStyle w:val="CRMarker"/>
          <w:noProof/>
        </w:rPr>
        <w:instrText>Õ</w:instrText>
      </w:r>
      <w:r w:rsidR="004751B7" w:rsidRPr="004751B7">
        <w:rPr>
          <w:noProof/>
        </w:rPr>
        <w:instrText xml:space="preserve">" </w:instrText>
      </w:r>
      <w:r w:rsidR="004751B7" w:rsidRPr="004751B7">
        <w:rPr>
          <w:noProof/>
        </w:rPr>
        <w:fldChar w:fldCharType="separate"/>
      </w:r>
      <w:r w:rsidR="004751B7" w:rsidRPr="00732AF8">
        <w:rPr>
          <w:rStyle w:val="CRMarker"/>
          <w:noProof/>
        </w:rPr>
        <w:t>Õ</w:t>
      </w:r>
      <w:r w:rsidR="004751B7" w:rsidRPr="004751B7">
        <w:rPr>
          <w:noProof/>
        </w:rPr>
        <w:fldChar w:fldCharType="end"/>
      </w:r>
      <w:r w:rsidR="004751B7" w:rsidRPr="004751B7">
        <w:rPr>
          <w:noProof/>
        </w:rPr>
        <w:t xml:space="preserve"> </w:t>
      </w:r>
      <w:r w:rsidR="0006348C" w:rsidRPr="0006348C">
        <w:rPr>
          <w:noProof/>
        </w:rPr>
        <w:t xml:space="preserve">pro provedení směrnic </w:t>
      </w:r>
      <w:r w:rsidR="004751B7" w:rsidRPr="004751B7">
        <w:rPr>
          <w:noProof/>
        </w:rPr>
        <w:fldChar w:fldCharType="begin"/>
      </w:r>
      <w:r w:rsidR="004751B7" w:rsidRPr="004751B7">
        <w:rPr>
          <w:noProof/>
        </w:rPr>
        <w:instrText xml:space="preserve"> QUOTE "</w:instrText>
      </w:r>
      <w:r w:rsidR="004751B7" w:rsidRPr="00732AF8">
        <w:rPr>
          <w:rStyle w:val="CRMarker"/>
          <w:noProof/>
        </w:rPr>
        <w:instrText>Ö</w:instrText>
      </w:r>
      <w:r w:rsidR="004751B7" w:rsidRPr="004751B7">
        <w:rPr>
          <w:noProof/>
        </w:rPr>
        <w:instrText xml:space="preserve">" </w:instrText>
      </w:r>
      <w:r w:rsidR="004751B7" w:rsidRPr="004751B7">
        <w:rPr>
          <w:noProof/>
        </w:rPr>
        <w:fldChar w:fldCharType="separate"/>
      </w:r>
      <w:r w:rsidR="004751B7" w:rsidRPr="00732AF8">
        <w:rPr>
          <w:rStyle w:val="CRMarker"/>
          <w:noProof/>
        </w:rPr>
        <w:t>Ö</w:t>
      </w:r>
      <w:r w:rsidR="004751B7" w:rsidRPr="004751B7">
        <w:rPr>
          <w:noProof/>
        </w:rPr>
        <w:fldChar w:fldCharType="end"/>
      </w:r>
      <w:r w:rsidR="004751B7" w:rsidRPr="004751B7">
        <w:rPr>
          <w:noProof/>
        </w:rPr>
        <w:t xml:space="preserve"> uvedených v příloze </w:t>
      </w:r>
      <w:r w:rsidR="004751B7">
        <w:rPr>
          <w:noProof/>
        </w:rPr>
        <w:t xml:space="preserve">IV </w:t>
      </w:r>
      <w:r w:rsidR="004751B7" w:rsidRPr="004751B7">
        <w:rPr>
          <w:noProof/>
        </w:rPr>
        <w:t>části B </w:t>
      </w:r>
      <w:r w:rsidR="004751B7" w:rsidRPr="004751B7">
        <w:rPr>
          <w:noProof/>
        </w:rPr>
        <w:fldChar w:fldCharType="begin"/>
      </w:r>
      <w:r w:rsidR="004751B7" w:rsidRPr="004751B7">
        <w:rPr>
          <w:noProof/>
        </w:rPr>
        <w:instrText xml:space="preserve"> QUOTE "</w:instrText>
      </w:r>
      <w:r w:rsidR="004751B7" w:rsidRPr="00732AF8">
        <w:rPr>
          <w:rStyle w:val="CRMarker"/>
          <w:noProof/>
        </w:rPr>
        <w:instrText>Õ</w:instrText>
      </w:r>
      <w:r w:rsidR="004751B7" w:rsidRPr="004751B7">
        <w:rPr>
          <w:noProof/>
        </w:rPr>
        <w:instrText xml:space="preserve">" </w:instrText>
      </w:r>
      <w:r w:rsidR="004751B7" w:rsidRPr="004751B7">
        <w:rPr>
          <w:noProof/>
        </w:rPr>
        <w:fldChar w:fldCharType="separate"/>
      </w:r>
      <w:r w:rsidR="004751B7" w:rsidRPr="00732AF8">
        <w:rPr>
          <w:rStyle w:val="CRMarker"/>
          <w:noProof/>
        </w:rPr>
        <w:t>Õ</w:t>
      </w:r>
      <w:r w:rsidR="004751B7" w:rsidRPr="004751B7">
        <w:rPr>
          <w:noProof/>
        </w:rPr>
        <w:fldChar w:fldCharType="end"/>
      </w:r>
      <w:r w:rsidR="0006348C" w:rsidRPr="0006348C">
        <w:rPr>
          <w:noProof/>
        </w:rPr>
        <w:t xml:space="preserve"> ve vnitrostátní</w:t>
      </w:r>
      <w:r w:rsidR="004751B7">
        <w:rPr>
          <w:noProof/>
        </w:rPr>
        <w:t>m</w:t>
      </w:r>
      <w:r w:rsidR="0006348C" w:rsidRPr="0006348C">
        <w:rPr>
          <w:noProof/>
        </w:rPr>
        <w:t xml:space="preserve"> práv</w:t>
      </w:r>
      <w:r w:rsidR="004751B7">
        <w:rPr>
          <w:noProof/>
        </w:rPr>
        <w:t>u</w:t>
      </w:r>
      <w:r w:rsidR="0006348C" w:rsidRPr="0006348C">
        <w:rPr>
          <w:noProof/>
        </w:rPr>
        <w:t>,</w:t>
      </w:r>
    </w:p>
    <w:p w14:paraId="5A283DD0" w14:textId="7518CF50" w:rsidR="0006348C" w:rsidRPr="0006348C" w:rsidRDefault="0006348C" w:rsidP="0006348C">
      <w:pPr>
        <w:pStyle w:val="CRSeparator"/>
        <w:rPr>
          <w:noProof/>
          <w:lang w:val="cs-CZ"/>
        </w:rPr>
      </w:pPr>
    </w:p>
    <w:p w14:paraId="53D62F24" w14:textId="11F40809" w:rsidR="0006348C" w:rsidRPr="00C82850" w:rsidRDefault="0006348C" w:rsidP="0006348C">
      <w:pPr>
        <w:pStyle w:val="CRReference"/>
        <w:rPr>
          <w:noProof/>
          <w:lang w:val="cs-CZ"/>
        </w:rPr>
      </w:pPr>
      <w:r w:rsidRPr="0006348C">
        <w:rPr>
          <w:noProof/>
        </w:rPr>
        <w:fldChar w:fldCharType="begin"/>
      </w:r>
      <w:r w:rsidRPr="00C82850">
        <w:rPr>
          <w:noProof/>
          <w:lang w:val="cs-CZ"/>
        </w:rPr>
        <w:instrText xml:space="preserve"> QUOTE "</w:instrText>
      </w:r>
      <w:r w:rsidRPr="00C82850">
        <w:rPr>
          <w:rStyle w:val="CRMarker"/>
          <w:noProof/>
          <w:lang w:val="cs-CZ"/>
        </w:rPr>
        <w:instrText>ê</w:instrText>
      </w:r>
      <w:r w:rsidRPr="00C82850">
        <w:rPr>
          <w:noProof/>
          <w:lang w:val="cs-CZ"/>
        </w:rPr>
        <w:instrText xml:space="preserve">" </w:instrText>
      </w:r>
      <w:r w:rsidRPr="0006348C">
        <w:rPr>
          <w:noProof/>
        </w:rPr>
        <w:fldChar w:fldCharType="separate"/>
      </w:r>
      <w:r w:rsidRPr="00C82850">
        <w:rPr>
          <w:rStyle w:val="CRMarker"/>
          <w:noProof/>
          <w:lang w:val="cs-CZ"/>
        </w:rPr>
        <w:t>ê</w:t>
      </w:r>
      <w:r w:rsidRPr="0006348C">
        <w:rPr>
          <w:noProof/>
        </w:rPr>
        <w:fldChar w:fldCharType="end"/>
      </w:r>
      <w:r w:rsidRPr="00C82850">
        <w:rPr>
          <w:noProof/>
          <w:lang w:val="cs-CZ"/>
        </w:rPr>
        <w:t> 96/53</w:t>
      </w:r>
    </w:p>
    <w:p w14:paraId="38C34987" w14:textId="77777777" w:rsidR="00CB25DF" w:rsidRPr="00267B76" w:rsidRDefault="00CB25DF" w:rsidP="00CA39FE">
      <w:pPr>
        <w:pStyle w:val="Formuledadoption"/>
        <w:rPr>
          <w:noProof/>
        </w:rPr>
      </w:pPr>
      <w:r w:rsidRPr="00267B76">
        <w:rPr>
          <w:noProof/>
        </w:rPr>
        <w:t>PŘIJALY TUTO SMĚRNICI:</w:t>
      </w:r>
    </w:p>
    <w:p w14:paraId="36E88414" w14:textId="77777777" w:rsidR="00C15382" w:rsidRDefault="00C15382" w:rsidP="00C15382">
      <w:pPr>
        <w:pStyle w:val="Titrearticle"/>
        <w:rPr>
          <w:noProof/>
        </w:rPr>
      </w:pPr>
      <w:r>
        <w:rPr>
          <w:noProof/>
        </w:rPr>
        <w:t>Článek 1</w:t>
      </w:r>
    </w:p>
    <w:p w14:paraId="111FCA69" w14:textId="09D43B78" w:rsidR="00C15382" w:rsidRDefault="004865D9" w:rsidP="00C15382">
      <w:pPr>
        <w:rPr>
          <w:noProof/>
        </w:rPr>
      </w:pPr>
      <w:r>
        <w:rPr>
          <w:noProof/>
        </w:rPr>
        <w:t xml:space="preserve">1. </w:t>
      </w:r>
      <w:r w:rsidR="00C15382">
        <w:rPr>
          <w:noProof/>
        </w:rPr>
        <w:t>Tato směrnice se vztahuje na</w:t>
      </w:r>
      <w:r w:rsidR="00AE14F7">
        <w:rPr>
          <w:noProof/>
        </w:rPr>
        <w:t>:</w:t>
      </w:r>
    </w:p>
    <w:p w14:paraId="0BA4DB24" w14:textId="77777777" w:rsidR="00C15382" w:rsidRPr="007151D7" w:rsidRDefault="00C15382" w:rsidP="00C15382">
      <w:pPr>
        <w:pStyle w:val="CRSeparator"/>
        <w:rPr>
          <w:noProof/>
          <w:lang w:val="cs-CZ"/>
        </w:rPr>
      </w:pPr>
    </w:p>
    <w:p w14:paraId="4E77A202" w14:textId="02B50F6D" w:rsidR="00C15382" w:rsidRPr="007151D7" w:rsidRDefault="00C15382" w:rsidP="00C15382">
      <w:pPr>
        <w:pStyle w:val="CRReference"/>
        <w:rPr>
          <w:noProof/>
          <w:lang w:val="cs-CZ"/>
        </w:rPr>
      </w:pPr>
      <w:r>
        <w:rPr>
          <w:noProof/>
        </w:rPr>
        <w:fldChar w:fldCharType="begin"/>
      </w:r>
      <w:r w:rsidRPr="007151D7">
        <w:rPr>
          <w:noProof/>
          <w:lang w:val="cs-CZ"/>
        </w:rPr>
        <w:instrText xml:space="preserve"> QUOTE "</w:instrText>
      </w:r>
      <w:r w:rsidRPr="007151D7">
        <w:rPr>
          <w:rStyle w:val="CRMarker"/>
          <w:noProof/>
          <w:lang w:val="cs-CZ"/>
        </w:rPr>
        <w:instrText>ê</w:instrText>
      </w:r>
      <w:r w:rsidRPr="007151D7">
        <w:rPr>
          <w:noProof/>
          <w:lang w:val="cs-CZ"/>
        </w:rPr>
        <w:instrText xml:space="preserve">" </w:instrText>
      </w:r>
      <w:r>
        <w:rPr>
          <w:noProof/>
        </w:rPr>
        <w:fldChar w:fldCharType="separate"/>
      </w:r>
      <w:r w:rsidRPr="007151D7">
        <w:rPr>
          <w:rStyle w:val="CRMarker"/>
          <w:noProof/>
          <w:lang w:val="cs-CZ"/>
        </w:rPr>
        <w:t>ê</w:t>
      </w:r>
      <w:r>
        <w:rPr>
          <w:noProof/>
        </w:rPr>
        <w:fldChar w:fldCharType="end"/>
      </w:r>
      <w:r w:rsidRPr="007151D7">
        <w:rPr>
          <w:noProof/>
          <w:lang w:val="cs-CZ"/>
        </w:rPr>
        <w:t> 2015/719</w:t>
      </w:r>
      <w:r w:rsidR="004865D9">
        <w:rPr>
          <w:noProof/>
          <w:lang w:val="cs-CZ"/>
        </w:rPr>
        <w:t xml:space="preserve"> čl. 1 bod 1</w:t>
      </w:r>
      <w:r w:rsidR="00AE14F7">
        <w:rPr>
          <w:noProof/>
          <w:lang w:val="cs-CZ"/>
        </w:rPr>
        <w:t xml:space="preserve"> (přizpůsobený)</w:t>
      </w:r>
    </w:p>
    <w:p w14:paraId="5E8F0DD4" w14:textId="339F4580" w:rsidR="00C15382" w:rsidRDefault="00C15382" w:rsidP="00C15382">
      <w:pPr>
        <w:pStyle w:val="Point0"/>
        <w:rPr>
          <w:noProof/>
        </w:rPr>
      </w:pPr>
      <w:r>
        <w:rPr>
          <w:noProof/>
        </w:rPr>
        <w:t>a)</w:t>
      </w:r>
      <w:r>
        <w:rPr>
          <w:noProof/>
        </w:rPr>
        <w:tab/>
        <w:t xml:space="preserve">rozměry motorových vozidel kategorií M2 a M3 a jejich přípojných vozidel kategorie </w:t>
      </w:r>
      <w:r w:rsidR="008B30C7">
        <w:rPr>
          <w:noProof/>
        </w:rPr>
        <w:t>0</w:t>
      </w:r>
      <w:r>
        <w:rPr>
          <w:noProof/>
        </w:rPr>
        <w:t xml:space="preserve"> a rozměry motorových vozidel kategorií N2 a N3 a jejich přípojných vozidel kategorií </w:t>
      </w:r>
      <w:r w:rsidR="008B30C7">
        <w:rPr>
          <w:noProof/>
        </w:rPr>
        <w:t>0</w:t>
      </w:r>
      <w:r>
        <w:rPr>
          <w:noProof/>
        </w:rPr>
        <w:t xml:space="preserve">3 a </w:t>
      </w:r>
      <w:r w:rsidR="008B30C7">
        <w:rPr>
          <w:noProof/>
        </w:rPr>
        <w:t>0</w:t>
      </w:r>
      <w:r>
        <w:rPr>
          <w:noProof/>
        </w:rPr>
        <w:t xml:space="preserve">4 </w:t>
      </w:r>
      <w:r w:rsidR="008B30C7" w:rsidRPr="008B30C7">
        <w:rPr>
          <w:noProof/>
        </w:rPr>
        <w:fldChar w:fldCharType="begin"/>
      </w:r>
      <w:r w:rsidR="008B30C7" w:rsidRPr="008B30C7">
        <w:rPr>
          <w:noProof/>
        </w:rPr>
        <w:instrText xml:space="preserve"> QUOTE "</w:instrText>
      </w:r>
      <w:r w:rsidR="008B30C7" w:rsidRPr="008B30C7">
        <w:rPr>
          <w:rStyle w:val="CRMarker"/>
          <w:noProof/>
        </w:rPr>
        <w:instrText>Ö</w:instrText>
      </w:r>
      <w:r w:rsidR="008B30C7" w:rsidRPr="008B30C7">
        <w:rPr>
          <w:noProof/>
        </w:rPr>
        <w:instrText xml:space="preserve">" </w:instrText>
      </w:r>
      <w:r w:rsidR="008B30C7" w:rsidRPr="008B30C7">
        <w:rPr>
          <w:noProof/>
        </w:rPr>
        <w:fldChar w:fldCharType="separate"/>
      </w:r>
      <w:r w:rsidR="008B30C7" w:rsidRPr="008B30C7">
        <w:rPr>
          <w:rStyle w:val="CRMarker"/>
          <w:noProof/>
        </w:rPr>
        <w:t>Ö</w:t>
      </w:r>
      <w:r w:rsidR="008B30C7" w:rsidRPr="008B30C7">
        <w:rPr>
          <w:noProof/>
        </w:rPr>
        <w:fldChar w:fldCharType="end"/>
      </w:r>
      <w:r w:rsidR="008B30C7" w:rsidRPr="008B30C7">
        <w:rPr>
          <w:noProof/>
        </w:rPr>
        <w:t> </w:t>
      </w:r>
      <w:r w:rsidR="000A080E">
        <w:rPr>
          <w:noProof/>
        </w:rPr>
        <w:t>jak jsou stanoveny</w:t>
      </w:r>
      <w:r w:rsidR="008B30C7" w:rsidRPr="008B30C7">
        <w:rPr>
          <w:noProof/>
        </w:rPr>
        <w:t> </w:t>
      </w:r>
      <w:r w:rsidR="008B30C7" w:rsidRPr="008B30C7">
        <w:rPr>
          <w:noProof/>
        </w:rPr>
        <w:fldChar w:fldCharType="begin"/>
      </w:r>
      <w:r w:rsidR="008B30C7" w:rsidRPr="008B30C7">
        <w:rPr>
          <w:noProof/>
        </w:rPr>
        <w:instrText xml:space="preserve"> QUOTE "</w:instrText>
      </w:r>
      <w:r w:rsidR="008B30C7" w:rsidRPr="008B30C7">
        <w:rPr>
          <w:rStyle w:val="CRMarker"/>
          <w:noProof/>
        </w:rPr>
        <w:instrText>Õ</w:instrText>
      </w:r>
      <w:r w:rsidR="008B30C7" w:rsidRPr="008B30C7">
        <w:rPr>
          <w:noProof/>
        </w:rPr>
        <w:instrText xml:space="preserve">" </w:instrText>
      </w:r>
      <w:r w:rsidR="008B30C7" w:rsidRPr="008B30C7">
        <w:rPr>
          <w:noProof/>
        </w:rPr>
        <w:fldChar w:fldCharType="separate"/>
      </w:r>
      <w:r w:rsidR="008B30C7" w:rsidRPr="008B30C7">
        <w:rPr>
          <w:rStyle w:val="CRMarker"/>
          <w:noProof/>
        </w:rPr>
        <w:t>Õ</w:t>
      </w:r>
      <w:r w:rsidR="008B30C7" w:rsidRPr="008B30C7">
        <w:rPr>
          <w:noProof/>
        </w:rPr>
        <w:fldChar w:fldCharType="end"/>
      </w:r>
      <w:r>
        <w:rPr>
          <w:noProof/>
        </w:rPr>
        <w:t xml:space="preserve"> </w:t>
      </w:r>
      <w:r w:rsidR="00BF79E1">
        <w:rPr>
          <w:noProof/>
        </w:rPr>
        <w:t xml:space="preserve">v </w:t>
      </w:r>
      <w:r w:rsidR="00C82850" w:rsidRPr="00732AF8">
        <w:rPr>
          <w:noProof/>
        </w:rPr>
        <w:t>článku 4 nařízení</w:t>
      </w:r>
      <w:r w:rsidR="00732AF8" w:rsidRPr="00732AF8">
        <w:rPr>
          <w:noProof/>
        </w:rPr>
        <w:t xml:space="preserve"> </w:t>
      </w:r>
      <w:r>
        <w:rPr>
          <w:noProof/>
        </w:rPr>
        <w:t xml:space="preserve">Evropského parlamentu a Rady </w:t>
      </w:r>
      <w:r w:rsidR="00AE14F7" w:rsidRPr="00732AF8">
        <w:rPr>
          <w:noProof/>
        </w:rPr>
        <w:t>(EU) 2018/858</w:t>
      </w:r>
      <w:r w:rsidR="00C82850" w:rsidRPr="00732AF8">
        <w:rPr>
          <w:rStyle w:val="FootnoteReference"/>
          <w:noProof/>
        </w:rPr>
        <w:footnoteReference w:id="13"/>
      </w:r>
      <w:r>
        <w:rPr>
          <w:noProof/>
        </w:rPr>
        <w:t>;</w:t>
      </w:r>
    </w:p>
    <w:p w14:paraId="31125575" w14:textId="77777777" w:rsidR="00C15382" w:rsidRPr="00732AF8" w:rsidRDefault="00C15382" w:rsidP="00C15382">
      <w:pPr>
        <w:pStyle w:val="CRSeparator"/>
        <w:rPr>
          <w:noProof/>
          <w:lang w:val="cs-CZ"/>
        </w:rPr>
      </w:pPr>
    </w:p>
    <w:p w14:paraId="2765425F" w14:textId="5053C3FE" w:rsidR="00C15382" w:rsidRPr="00732AF8" w:rsidRDefault="00C15382" w:rsidP="00C15382">
      <w:pPr>
        <w:pStyle w:val="CRReference"/>
        <w:rPr>
          <w:noProof/>
          <w:lang w:val="cs-CZ"/>
        </w:rPr>
      </w:pPr>
      <w:r>
        <w:rPr>
          <w:noProof/>
        </w:rPr>
        <w:fldChar w:fldCharType="begin"/>
      </w:r>
      <w:r w:rsidRPr="00732AF8">
        <w:rPr>
          <w:noProof/>
          <w:lang w:val="cs-CZ"/>
        </w:rPr>
        <w:instrText xml:space="preserve"> QUOTE "</w:instrText>
      </w:r>
      <w:r w:rsidRPr="00732AF8">
        <w:rPr>
          <w:rStyle w:val="CRMarker"/>
          <w:noProof/>
          <w:lang w:val="cs-CZ"/>
        </w:rPr>
        <w:instrText>ê</w:instrText>
      </w:r>
      <w:r w:rsidRPr="00732AF8">
        <w:rPr>
          <w:noProof/>
          <w:lang w:val="cs-CZ"/>
        </w:rPr>
        <w:instrText xml:space="preserve">" </w:instrText>
      </w:r>
      <w:r>
        <w:rPr>
          <w:noProof/>
        </w:rPr>
        <w:fldChar w:fldCharType="separate"/>
      </w:r>
      <w:r w:rsidRPr="00732AF8">
        <w:rPr>
          <w:rStyle w:val="CRMarker"/>
          <w:noProof/>
          <w:lang w:val="cs-CZ"/>
        </w:rPr>
        <w:t>ê</w:t>
      </w:r>
      <w:r>
        <w:rPr>
          <w:noProof/>
        </w:rPr>
        <w:fldChar w:fldCharType="end"/>
      </w:r>
      <w:r w:rsidR="0056782C">
        <w:rPr>
          <w:noProof/>
          <w:lang w:val="cs-CZ"/>
        </w:rPr>
        <w:t> </w:t>
      </w:r>
      <w:r w:rsidRPr="00732AF8">
        <w:rPr>
          <w:noProof/>
          <w:lang w:val="cs-CZ"/>
        </w:rPr>
        <w:t>96/53</w:t>
      </w:r>
      <w:r w:rsidR="00B735AF">
        <w:rPr>
          <w:noProof/>
          <w:lang w:val="cs-CZ"/>
        </w:rPr>
        <w:t xml:space="preserve"> (přizpůsobený)</w:t>
      </w:r>
    </w:p>
    <w:p w14:paraId="72AFFA52" w14:textId="4ACD1CA2" w:rsidR="00C15382" w:rsidRDefault="00C15382" w:rsidP="00C15382">
      <w:pPr>
        <w:pStyle w:val="Point0"/>
        <w:rPr>
          <w:noProof/>
        </w:rPr>
      </w:pPr>
      <w:r>
        <w:rPr>
          <w:noProof/>
        </w:rPr>
        <w:t>b)</w:t>
      </w:r>
      <w:r>
        <w:rPr>
          <w:noProof/>
        </w:rPr>
        <w:tab/>
        <w:t xml:space="preserve">hmotnosti a některé další charakteristiky vozidel </w:t>
      </w:r>
      <w:r w:rsidR="00B735AF" w:rsidRPr="00B735AF">
        <w:rPr>
          <w:noProof/>
        </w:rPr>
        <w:fldChar w:fldCharType="begin"/>
      </w:r>
      <w:r w:rsidR="00B735AF" w:rsidRPr="00B735AF">
        <w:rPr>
          <w:noProof/>
        </w:rPr>
        <w:instrText xml:space="preserve"> QUOTE "</w:instrText>
      </w:r>
      <w:r w:rsidR="00B735AF" w:rsidRPr="00732AF8">
        <w:rPr>
          <w:rStyle w:val="CRMarker"/>
          <w:noProof/>
        </w:rPr>
        <w:instrText>Ö</w:instrText>
      </w:r>
      <w:r w:rsidR="00B735AF" w:rsidRPr="00B735AF">
        <w:rPr>
          <w:noProof/>
        </w:rPr>
        <w:instrText xml:space="preserve">" </w:instrText>
      </w:r>
      <w:r w:rsidR="00B735AF" w:rsidRPr="00B735AF">
        <w:rPr>
          <w:noProof/>
        </w:rPr>
        <w:fldChar w:fldCharType="separate"/>
      </w:r>
      <w:r w:rsidR="00B735AF" w:rsidRPr="00732AF8">
        <w:rPr>
          <w:rStyle w:val="CRMarker"/>
          <w:noProof/>
        </w:rPr>
        <w:t>Ö</w:t>
      </w:r>
      <w:r w:rsidR="00B735AF" w:rsidRPr="00B735AF">
        <w:rPr>
          <w:noProof/>
        </w:rPr>
        <w:fldChar w:fldCharType="end"/>
      </w:r>
      <w:r w:rsidR="00B735AF" w:rsidRPr="00B735AF">
        <w:rPr>
          <w:noProof/>
        </w:rPr>
        <w:t> </w:t>
      </w:r>
      <w:r w:rsidR="004F37EC" w:rsidRPr="00EC4896">
        <w:rPr>
          <w:noProof/>
        </w:rPr>
        <w:t>uveden</w:t>
      </w:r>
      <w:r w:rsidR="00EC4896" w:rsidRPr="00732AF8">
        <w:rPr>
          <w:noProof/>
        </w:rPr>
        <w:t>ých</w:t>
      </w:r>
      <w:r w:rsidR="00B735AF" w:rsidRPr="00B735AF">
        <w:rPr>
          <w:noProof/>
        </w:rPr>
        <w:t> </w:t>
      </w:r>
      <w:r w:rsidR="00B735AF" w:rsidRPr="00B735AF">
        <w:rPr>
          <w:noProof/>
        </w:rPr>
        <w:fldChar w:fldCharType="begin"/>
      </w:r>
      <w:r w:rsidR="00B735AF" w:rsidRPr="00B735AF">
        <w:rPr>
          <w:noProof/>
        </w:rPr>
        <w:instrText xml:space="preserve"> QUOTE "</w:instrText>
      </w:r>
      <w:r w:rsidR="00B735AF" w:rsidRPr="00732AF8">
        <w:rPr>
          <w:rStyle w:val="CRMarker"/>
          <w:noProof/>
        </w:rPr>
        <w:instrText>Õ</w:instrText>
      </w:r>
      <w:r w:rsidR="00B735AF" w:rsidRPr="00B735AF">
        <w:rPr>
          <w:noProof/>
        </w:rPr>
        <w:instrText xml:space="preserve">" </w:instrText>
      </w:r>
      <w:r w:rsidR="00B735AF" w:rsidRPr="00B735AF">
        <w:rPr>
          <w:noProof/>
        </w:rPr>
        <w:fldChar w:fldCharType="separate"/>
      </w:r>
      <w:r w:rsidR="00B735AF" w:rsidRPr="00732AF8">
        <w:rPr>
          <w:rStyle w:val="CRMarker"/>
          <w:noProof/>
        </w:rPr>
        <w:t>Õ</w:t>
      </w:r>
      <w:r w:rsidR="00B735AF" w:rsidRPr="00B735AF">
        <w:rPr>
          <w:noProof/>
        </w:rPr>
        <w:fldChar w:fldCharType="end"/>
      </w:r>
      <w:r w:rsidR="00B735AF" w:rsidRPr="00B735AF">
        <w:rPr>
          <w:noProof/>
        </w:rPr>
        <w:t xml:space="preserve"> </w:t>
      </w:r>
      <w:r>
        <w:rPr>
          <w:noProof/>
        </w:rPr>
        <w:t xml:space="preserve">v </w:t>
      </w:r>
      <w:r w:rsidRPr="00B735AF">
        <w:rPr>
          <w:noProof/>
        </w:rPr>
        <w:t>písmenu</w:t>
      </w:r>
      <w:r>
        <w:rPr>
          <w:noProof/>
        </w:rPr>
        <w:t xml:space="preserve"> a) a specifikovaných v </w:t>
      </w:r>
      <w:r w:rsidRPr="00B735AF">
        <w:rPr>
          <w:noProof/>
        </w:rPr>
        <w:t>bodě</w:t>
      </w:r>
      <w:r>
        <w:rPr>
          <w:noProof/>
        </w:rPr>
        <w:t xml:space="preserve"> 2 přílohy I.</w:t>
      </w:r>
    </w:p>
    <w:p w14:paraId="64230463" w14:textId="1478EF74" w:rsidR="00C15382" w:rsidRDefault="003664E3" w:rsidP="00C15382">
      <w:pPr>
        <w:rPr>
          <w:noProof/>
        </w:rPr>
      </w:pPr>
      <w:r>
        <w:rPr>
          <w:noProof/>
        </w:rPr>
        <w:t xml:space="preserve">2. </w:t>
      </w:r>
      <w:r w:rsidR="00C15382">
        <w:rPr>
          <w:noProof/>
        </w:rPr>
        <w:t>Veškeré hodnoty hmotností uvedené v příloze I platí jako provozní normy</w:t>
      </w:r>
      <w:r w:rsidR="00EC4896">
        <w:rPr>
          <w:noProof/>
        </w:rPr>
        <w:t>,</w:t>
      </w:r>
      <w:r w:rsidR="00C15382">
        <w:rPr>
          <w:noProof/>
        </w:rPr>
        <w:t xml:space="preserve"> a proto se vztahují k podmínkám zátěže,</w:t>
      </w:r>
      <w:r w:rsidR="00E516F9">
        <w:rPr>
          <w:noProof/>
        </w:rPr>
        <w:t xml:space="preserve"> nikoliv k normám výroby, které</w:t>
      </w:r>
      <w:r w:rsidR="00EF45D6">
        <w:rPr>
          <w:noProof/>
        </w:rPr>
        <w:t xml:space="preserve"> </w:t>
      </w:r>
      <w:r w:rsidR="00EF45D6" w:rsidRPr="00EF45D6">
        <w:rPr>
          <w:noProof/>
        </w:rPr>
        <w:fldChar w:fldCharType="begin"/>
      </w:r>
      <w:r w:rsidR="00EF45D6" w:rsidRPr="00EF45D6">
        <w:rPr>
          <w:noProof/>
        </w:rPr>
        <w:instrText xml:space="preserve"> QUOTE "</w:instrText>
      </w:r>
      <w:r w:rsidR="00EF45D6" w:rsidRPr="00732AF8">
        <w:rPr>
          <w:rStyle w:val="CRMarker"/>
          <w:noProof/>
        </w:rPr>
        <w:instrText>Ö</w:instrText>
      </w:r>
      <w:r w:rsidR="00EF45D6" w:rsidRPr="00EF45D6">
        <w:rPr>
          <w:noProof/>
        </w:rPr>
        <w:instrText xml:space="preserve">" </w:instrText>
      </w:r>
      <w:r w:rsidR="00EF45D6" w:rsidRPr="00EF45D6">
        <w:rPr>
          <w:noProof/>
        </w:rPr>
        <w:fldChar w:fldCharType="separate"/>
      </w:r>
      <w:r w:rsidR="00EF45D6" w:rsidRPr="00732AF8">
        <w:rPr>
          <w:rStyle w:val="CRMarker"/>
          <w:noProof/>
        </w:rPr>
        <w:t>Ö</w:t>
      </w:r>
      <w:r w:rsidR="00EF45D6" w:rsidRPr="00EF45D6">
        <w:rPr>
          <w:noProof/>
        </w:rPr>
        <w:fldChar w:fldCharType="end"/>
      </w:r>
      <w:r w:rsidR="00EF45D6" w:rsidRPr="00EF45D6">
        <w:rPr>
          <w:noProof/>
        </w:rPr>
        <w:t> </w:t>
      </w:r>
      <w:r w:rsidR="00EF45D6" w:rsidRPr="00EC4896">
        <w:rPr>
          <w:noProof/>
        </w:rPr>
        <w:t>jsou stanoven</w:t>
      </w:r>
      <w:r w:rsidR="00EC4896" w:rsidRPr="00732AF8">
        <w:rPr>
          <w:noProof/>
        </w:rPr>
        <w:t>y</w:t>
      </w:r>
      <w:r w:rsidR="00EF45D6" w:rsidRPr="00EC4896">
        <w:rPr>
          <w:noProof/>
        </w:rPr>
        <w:t xml:space="preserve"> v</w:t>
      </w:r>
      <w:r w:rsidR="00EF45D6" w:rsidRPr="00EF45D6">
        <w:rPr>
          <w:noProof/>
        </w:rPr>
        <w:t xml:space="preserve"> nařízení Komise (EU) č.</w:t>
      </w:r>
      <w:r w:rsidR="00EF45D6">
        <w:rPr>
          <w:noProof/>
        </w:rPr>
        <w:t xml:space="preserve"> 1230/2012</w:t>
      </w:r>
      <w:r w:rsidR="00833711">
        <w:rPr>
          <w:rStyle w:val="FootnoteReference"/>
          <w:noProof/>
        </w:rPr>
        <w:footnoteReference w:id="14"/>
      </w:r>
      <w:r w:rsidR="00EF45D6" w:rsidRPr="00EF45D6">
        <w:rPr>
          <w:noProof/>
        </w:rPr>
        <w:t> </w:t>
      </w:r>
      <w:r w:rsidR="00EF45D6" w:rsidRPr="00EF45D6">
        <w:rPr>
          <w:noProof/>
        </w:rPr>
        <w:fldChar w:fldCharType="begin"/>
      </w:r>
      <w:r w:rsidR="00EF45D6" w:rsidRPr="00EF45D6">
        <w:rPr>
          <w:noProof/>
        </w:rPr>
        <w:instrText xml:space="preserve"> QUOTE "</w:instrText>
      </w:r>
      <w:r w:rsidR="00EF45D6" w:rsidRPr="00732AF8">
        <w:rPr>
          <w:rStyle w:val="CRMarker"/>
          <w:noProof/>
        </w:rPr>
        <w:instrText>Õ</w:instrText>
      </w:r>
      <w:r w:rsidR="00EF45D6" w:rsidRPr="00EF45D6">
        <w:rPr>
          <w:noProof/>
        </w:rPr>
        <w:instrText xml:space="preserve">" </w:instrText>
      </w:r>
      <w:r w:rsidR="00EF45D6" w:rsidRPr="00EF45D6">
        <w:rPr>
          <w:noProof/>
        </w:rPr>
        <w:fldChar w:fldCharType="separate"/>
      </w:r>
      <w:r w:rsidR="00EF45D6" w:rsidRPr="00732AF8">
        <w:rPr>
          <w:rStyle w:val="CRMarker"/>
          <w:noProof/>
        </w:rPr>
        <w:t>Õ</w:t>
      </w:r>
      <w:r w:rsidR="00EF45D6" w:rsidRPr="00EF45D6">
        <w:rPr>
          <w:noProof/>
        </w:rPr>
        <w:fldChar w:fldCharType="end"/>
      </w:r>
      <w:r w:rsidR="00C15382">
        <w:rPr>
          <w:noProof/>
        </w:rPr>
        <w:t>.</w:t>
      </w:r>
    </w:p>
    <w:p w14:paraId="2E6C39AF" w14:textId="77777777" w:rsidR="00C15382" w:rsidRPr="00C15382" w:rsidRDefault="00C15382" w:rsidP="00C15382">
      <w:pPr>
        <w:pStyle w:val="CRSeparator"/>
        <w:rPr>
          <w:noProof/>
          <w:lang w:val="cs-CZ"/>
        </w:rPr>
      </w:pPr>
    </w:p>
    <w:p w14:paraId="08EDC1C0" w14:textId="2C57AB6A" w:rsidR="00C15382" w:rsidRPr="00C15382" w:rsidRDefault="00C15382" w:rsidP="00C15382">
      <w:pPr>
        <w:pStyle w:val="CRReference"/>
        <w:rPr>
          <w:noProof/>
          <w:lang w:val="cs-CZ"/>
        </w:rPr>
      </w:pPr>
      <w:r>
        <w:rPr>
          <w:noProof/>
        </w:rPr>
        <w:fldChar w:fldCharType="begin"/>
      </w:r>
      <w:r w:rsidRPr="00C15382">
        <w:rPr>
          <w:noProof/>
          <w:lang w:val="cs-CZ"/>
        </w:rPr>
        <w:instrText xml:space="preserve"> QUOTE "</w:instrText>
      </w:r>
      <w:r w:rsidRPr="00C15382">
        <w:rPr>
          <w:rStyle w:val="CRMarker"/>
          <w:noProof/>
          <w:lang w:val="cs-CZ"/>
        </w:rPr>
        <w:instrText>ê</w:instrText>
      </w:r>
      <w:r w:rsidRPr="00C15382">
        <w:rPr>
          <w:noProof/>
          <w:lang w:val="cs-CZ"/>
        </w:rPr>
        <w:instrText xml:space="preserve">" </w:instrText>
      </w:r>
      <w:r>
        <w:rPr>
          <w:noProof/>
        </w:rPr>
        <w:fldChar w:fldCharType="separate"/>
      </w:r>
      <w:r w:rsidRPr="00C15382">
        <w:rPr>
          <w:rStyle w:val="CRMarker"/>
          <w:noProof/>
          <w:lang w:val="cs-CZ"/>
        </w:rPr>
        <w:t>ê</w:t>
      </w:r>
      <w:r>
        <w:rPr>
          <w:noProof/>
        </w:rPr>
        <w:fldChar w:fldCharType="end"/>
      </w:r>
      <w:r w:rsidRPr="00C15382">
        <w:rPr>
          <w:noProof/>
          <w:lang w:val="cs-CZ"/>
        </w:rPr>
        <w:t> 2002/7</w:t>
      </w:r>
      <w:r w:rsidR="0021727C">
        <w:rPr>
          <w:noProof/>
          <w:lang w:val="cs-CZ"/>
        </w:rPr>
        <w:t xml:space="preserve"> </w:t>
      </w:r>
      <w:r w:rsidR="0021727C" w:rsidRPr="0021727C">
        <w:rPr>
          <w:noProof/>
          <w:lang w:val="cs-CZ"/>
        </w:rPr>
        <w:t xml:space="preserve">čl. 1 bod 1 písm. </w:t>
      </w:r>
      <w:r w:rsidR="0021727C">
        <w:rPr>
          <w:noProof/>
          <w:lang w:val="cs-CZ"/>
        </w:rPr>
        <w:t>b)</w:t>
      </w:r>
    </w:p>
    <w:p w14:paraId="242E87B1" w14:textId="613E7EEC" w:rsidR="00C15382" w:rsidRDefault="0021727C" w:rsidP="00C15382">
      <w:pPr>
        <w:rPr>
          <w:noProof/>
        </w:rPr>
      </w:pPr>
      <w:r>
        <w:rPr>
          <w:noProof/>
        </w:rPr>
        <w:t xml:space="preserve">3. </w:t>
      </w:r>
      <w:r w:rsidR="00C15382">
        <w:rPr>
          <w:noProof/>
        </w:rPr>
        <w:t>Tato směrnice se nevztahuje na kloubové autobusy s více než jednou kloubovou částí.</w:t>
      </w:r>
    </w:p>
    <w:p w14:paraId="281859D5" w14:textId="77777777" w:rsidR="00C15382" w:rsidRPr="00C15382" w:rsidRDefault="00C15382" w:rsidP="00C15382">
      <w:pPr>
        <w:pStyle w:val="CRSeparator"/>
        <w:rPr>
          <w:noProof/>
          <w:lang w:val="cs-CZ"/>
        </w:rPr>
      </w:pPr>
    </w:p>
    <w:p w14:paraId="493B13A0" w14:textId="78ECBDA3" w:rsidR="00C15382" w:rsidRPr="0021727C" w:rsidRDefault="00C15382" w:rsidP="00C15382">
      <w:pPr>
        <w:pStyle w:val="CRReference"/>
        <w:rPr>
          <w:noProof/>
          <w:lang w:val="cs-CZ"/>
        </w:rPr>
      </w:pPr>
      <w:r>
        <w:rPr>
          <w:noProof/>
        </w:rPr>
        <w:fldChar w:fldCharType="begin"/>
      </w:r>
      <w:r w:rsidRPr="0021727C">
        <w:rPr>
          <w:noProof/>
          <w:lang w:val="cs-CZ"/>
        </w:rPr>
        <w:instrText xml:space="preserve"> QUOTE "</w:instrText>
      </w:r>
      <w:r w:rsidRPr="0021727C">
        <w:rPr>
          <w:rStyle w:val="CRMarker"/>
          <w:noProof/>
          <w:lang w:val="cs-CZ"/>
        </w:rPr>
        <w:instrText>ê</w:instrText>
      </w:r>
      <w:r w:rsidRPr="0021727C">
        <w:rPr>
          <w:noProof/>
          <w:lang w:val="cs-CZ"/>
        </w:rPr>
        <w:instrText xml:space="preserve">" </w:instrText>
      </w:r>
      <w:r>
        <w:rPr>
          <w:noProof/>
        </w:rPr>
        <w:fldChar w:fldCharType="separate"/>
      </w:r>
      <w:r w:rsidRPr="0021727C">
        <w:rPr>
          <w:rStyle w:val="CRMarker"/>
          <w:noProof/>
          <w:lang w:val="cs-CZ"/>
        </w:rPr>
        <w:t>ê</w:t>
      </w:r>
      <w:r>
        <w:rPr>
          <w:noProof/>
        </w:rPr>
        <w:fldChar w:fldCharType="end"/>
      </w:r>
      <w:r w:rsidR="006E6D14">
        <w:rPr>
          <w:noProof/>
          <w:lang w:val="cs-CZ"/>
        </w:rPr>
        <w:t> </w:t>
      </w:r>
      <w:r w:rsidRPr="0021727C">
        <w:rPr>
          <w:noProof/>
          <w:lang w:val="cs-CZ"/>
        </w:rPr>
        <w:t>96/53</w:t>
      </w:r>
      <w:r w:rsidR="0021727C">
        <w:rPr>
          <w:noProof/>
          <w:lang w:val="cs-CZ"/>
        </w:rPr>
        <w:t xml:space="preserve"> (přizpůsobený)</w:t>
      </w:r>
    </w:p>
    <w:p w14:paraId="7A6CB365" w14:textId="77777777" w:rsidR="00C15382" w:rsidRPr="0021727C" w:rsidRDefault="00C15382" w:rsidP="00C15382">
      <w:pPr>
        <w:pStyle w:val="Titrearticle"/>
        <w:rPr>
          <w:noProof/>
        </w:rPr>
      </w:pPr>
      <w:r w:rsidRPr="0021727C">
        <w:rPr>
          <w:noProof/>
        </w:rPr>
        <w:t>Článek 2</w:t>
      </w:r>
    </w:p>
    <w:p w14:paraId="372B1477" w14:textId="789317C0" w:rsidR="00C15382" w:rsidRPr="0021727C" w:rsidRDefault="00C15382" w:rsidP="006043A5">
      <w:pPr>
        <w:keepNext/>
        <w:rPr>
          <w:noProof/>
        </w:rPr>
      </w:pPr>
      <w:r w:rsidRPr="0021727C">
        <w:rPr>
          <w:noProof/>
        </w:rPr>
        <w:t>Pro účely této směrnice se</w:t>
      </w:r>
      <w:r w:rsidR="0021727C">
        <w:rPr>
          <w:noProof/>
        </w:rPr>
        <w:t xml:space="preserve"> </w:t>
      </w:r>
      <w:r w:rsidR="0021727C" w:rsidRPr="00374A01">
        <w:rPr>
          <w:noProof/>
        </w:rPr>
        <w:fldChar w:fldCharType="begin"/>
      </w:r>
      <w:r w:rsidR="0021727C" w:rsidRPr="0021727C">
        <w:rPr>
          <w:noProof/>
        </w:rPr>
        <w:instrText xml:space="preserve"> QUOTE "</w:instrText>
      </w:r>
      <w:r w:rsidR="0021727C" w:rsidRPr="00732AF8">
        <w:rPr>
          <w:rStyle w:val="CRMarker"/>
          <w:noProof/>
        </w:rPr>
        <w:instrText>Ö</w:instrText>
      </w:r>
      <w:r w:rsidR="0021727C" w:rsidRPr="0021727C">
        <w:rPr>
          <w:noProof/>
        </w:rPr>
        <w:instrText xml:space="preserve">" </w:instrText>
      </w:r>
      <w:r w:rsidR="0021727C" w:rsidRPr="00374A01">
        <w:rPr>
          <w:noProof/>
        </w:rPr>
        <w:fldChar w:fldCharType="separate"/>
      </w:r>
      <w:r w:rsidR="0021727C" w:rsidRPr="00732AF8">
        <w:rPr>
          <w:rStyle w:val="CRMarker"/>
          <w:noProof/>
        </w:rPr>
        <w:t>Ö</w:t>
      </w:r>
      <w:r w:rsidR="0021727C" w:rsidRPr="00374A01">
        <w:rPr>
          <w:noProof/>
        </w:rPr>
        <w:fldChar w:fldCharType="end"/>
      </w:r>
      <w:r w:rsidR="0021727C" w:rsidRPr="0021727C">
        <w:rPr>
          <w:noProof/>
        </w:rPr>
        <w:t> rozumí </w:t>
      </w:r>
      <w:r w:rsidR="0021727C" w:rsidRPr="00374A01">
        <w:rPr>
          <w:noProof/>
        </w:rPr>
        <w:fldChar w:fldCharType="begin"/>
      </w:r>
      <w:r w:rsidR="0021727C" w:rsidRPr="0021727C">
        <w:rPr>
          <w:noProof/>
        </w:rPr>
        <w:instrText xml:space="preserve"> QUOTE "</w:instrText>
      </w:r>
      <w:r w:rsidR="0021727C" w:rsidRPr="00732AF8">
        <w:rPr>
          <w:rStyle w:val="CRMarker"/>
          <w:noProof/>
        </w:rPr>
        <w:instrText>Õ</w:instrText>
      </w:r>
      <w:r w:rsidR="0021727C" w:rsidRPr="0021727C">
        <w:rPr>
          <w:noProof/>
        </w:rPr>
        <w:instrText xml:space="preserve">" </w:instrText>
      </w:r>
      <w:r w:rsidR="0021727C" w:rsidRPr="00374A01">
        <w:rPr>
          <w:noProof/>
        </w:rPr>
        <w:fldChar w:fldCharType="separate"/>
      </w:r>
      <w:r w:rsidR="0021727C" w:rsidRPr="00732AF8">
        <w:rPr>
          <w:rStyle w:val="CRMarker"/>
          <w:noProof/>
        </w:rPr>
        <w:t>Õ</w:t>
      </w:r>
      <w:r w:rsidR="0021727C" w:rsidRPr="00374A01">
        <w:rPr>
          <w:noProof/>
        </w:rPr>
        <w:fldChar w:fldCharType="end"/>
      </w:r>
      <w:r w:rsidRPr="0021727C">
        <w:rPr>
          <w:noProof/>
        </w:rPr>
        <w:t>:</w:t>
      </w:r>
    </w:p>
    <w:p w14:paraId="0ABCECEE" w14:textId="7A213F30" w:rsidR="00C15382" w:rsidRPr="00374A01" w:rsidRDefault="00374A01" w:rsidP="00374A01">
      <w:pPr>
        <w:pStyle w:val="Point0"/>
        <w:rPr>
          <w:noProof/>
        </w:rPr>
      </w:pPr>
      <w:r w:rsidRPr="006043A5">
        <w:rPr>
          <w:noProof/>
        </w:rPr>
        <w:t>1</w:t>
      </w:r>
      <w:r w:rsidR="0055576D" w:rsidRPr="006043A5">
        <w:rPr>
          <w:noProof/>
        </w:rPr>
        <w:t>)</w:t>
      </w:r>
      <w:r w:rsidRPr="00374A01">
        <w:rPr>
          <w:noProof/>
        </w:rPr>
        <w:tab/>
      </w:r>
      <w:r w:rsidR="00D022D8">
        <w:rPr>
          <w:noProof/>
        </w:rPr>
        <w:t>„vozidlem“</w:t>
      </w:r>
      <w:r w:rsidR="00C15382" w:rsidRPr="0021727C">
        <w:rPr>
          <w:noProof/>
        </w:rPr>
        <w:t xml:space="preserve"> každé vozidlo poháněné silou, které jezdí po </w:t>
      </w:r>
      <w:r w:rsidR="00C15382" w:rsidRPr="00374A01">
        <w:rPr>
          <w:noProof/>
        </w:rPr>
        <w:t>silnici vlastní silou</w:t>
      </w:r>
      <w:r w:rsidRPr="00732AF8">
        <w:rPr>
          <w:noProof/>
        </w:rPr>
        <w:t>;</w:t>
      </w:r>
    </w:p>
    <w:p w14:paraId="0CDA15D2" w14:textId="58B137D7" w:rsidR="00C15382" w:rsidRPr="00374A01" w:rsidRDefault="00374A01" w:rsidP="00374A01">
      <w:pPr>
        <w:pStyle w:val="Point0"/>
        <w:rPr>
          <w:noProof/>
        </w:rPr>
      </w:pPr>
      <w:r w:rsidRPr="00732AF8">
        <w:rPr>
          <w:noProof/>
        </w:rPr>
        <w:t>2</w:t>
      </w:r>
      <w:r w:rsidR="0055576D" w:rsidRPr="00732AF8">
        <w:rPr>
          <w:noProof/>
        </w:rPr>
        <w:t>)</w:t>
      </w:r>
      <w:r>
        <w:rPr>
          <w:noProof/>
        </w:rPr>
        <w:tab/>
      </w:r>
      <w:r w:rsidR="00C15382" w:rsidRPr="00374A01">
        <w:rPr>
          <w:noProof/>
        </w:rPr>
        <w:t>„přívěsem</w:t>
      </w:r>
      <w:r w:rsidR="00D022D8">
        <w:rPr>
          <w:noProof/>
        </w:rPr>
        <w:t>“</w:t>
      </w:r>
      <w:r w:rsidR="00C15382" w:rsidRPr="00374A01">
        <w:rPr>
          <w:noProof/>
        </w:rPr>
        <w:t xml:space="preserve"> každé vozidlo konstruované a vybavené k přepravě zboží určené k připojení k motorovému vozidlu, kromě návěsu</w:t>
      </w:r>
      <w:r w:rsidRPr="00732AF8">
        <w:rPr>
          <w:noProof/>
        </w:rPr>
        <w:t>;</w:t>
      </w:r>
    </w:p>
    <w:p w14:paraId="2583C4F9" w14:textId="6EDAD0B2" w:rsidR="00C15382" w:rsidRPr="00374A01" w:rsidRDefault="00374A01" w:rsidP="00374A01">
      <w:pPr>
        <w:pStyle w:val="Point0"/>
        <w:rPr>
          <w:noProof/>
        </w:rPr>
      </w:pPr>
      <w:r w:rsidRPr="00732AF8">
        <w:rPr>
          <w:noProof/>
        </w:rPr>
        <w:t>3</w:t>
      </w:r>
      <w:r w:rsidR="0055576D" w:rsidRPr="00732AF8">
        <w:rPr>
          <w:noProof/>
        </w:rPr>
        <w:t>)</w:t>
      </w:r>
      <w:r>
        <w:rPr>
          <w:noProof/>
        </w:rPr>
        <w:tab/>
      </w:r>
      <w:r w:rsidR="00C15382" w:rsidRPr="00374A01">
        <w:rPr>
          <w:noProof/>
        </w:rPr>
        <w:t>„návěsem“ rozumí každé vozidlo konstruované a vybavené k přepravě zboží určené ke spřažení s motorovým vozidlem tak, že jeho část spočívá na motorovém vozidle, přičemž je podstatná část jeho hmotnosti a nákladu nesena motorovým vozidlem</w:t>
      </w:r>
      <w:r w:rsidRPr="00732AF8">
        <w:rPr>
          <w:noProof/>
        </w:rPr>
        <w:t>;</w:t>
      </w:r>
    </w:p>
    <w:p w14:paraId="4B285A53" w14:textId="6B5FC5FA" w:rsidR="00C15382" w:rsidRDefault="00496F3D" w:rsidP="00496F3D">
      <w:pPr>
        <w:pStyle w:val="Point0"/>
        <w:rPr>
          <w:noProof/>
        </w:rPr>
      </w:pPr>
      <w:r w:rsidRPr="00732AF8">
        <w:rPr>
          <w:noProof/>
        </w:rPr>
        <w:t>4</w:t>
      </w:r>
      <w:r w:rsidR="0055576D" w:rsidRPr="00732AF8">
        <w:rPr>
          <w:noProof/>
        </w:rPr>
        <w:t>)</w:t>
      </w:r>
      <w:r>
        <w:rPr>
          <w:noProof/>
        </w:rPr>
        <w:tab/>
      </w:r>
      <w:r w:rsidR="00C15382">
        <w:rPr>
          <w:noProof/>
        </w:rPr>
        <w:t>„soupravou vozidel</w:t>
      </w:r>
      <w:r w:rsidR="00D022D8">
        <w:rPr>
          <w:noProof/>
        </w:rPr>
        <w:t>“:</w:t>
      </w:r>
    </w:p>
    <w:p w14:paraId="661E0222" w14:textId="2630F72A" w:rsidR="00C15382" w:rsidRDefault="00496F3D" w:rsidP="00496F3D">
      <w:pPr>
        <w:pStyle w:val="Point1"/>
        <w:rPr>
          <w:noProof/>
        </w:rPr>
      </w:pPr>
      <w:r w:rsidRPr="00732AF8">
        <w:rPr>
          <w:noProof/>
        </w:rPr>
        <w:t>a)</w:t>
      </w:r>
      <w:r>
        <w:rPr>
          <w:noProof/>
        </w:rPr>
        <w:tab/>
      </w:r>
      <w:r w:rsidR="00C15382">
        <w:rPr>
          <w:noProof/>
        </w:rPr>
        <w:t>přívěsová souprava skládající se z motorového vozidla spřaženého s přívěsem</w:t>
      </w:r>
      <w:r w:rsidRPr="00732AF8">
        <w:rPr>
          <w:noProof/>
        </w:rPr>
        <w:t>;</w:t>
      </w:r>
    </w:p>
    <w:p w14:paraId="2844C658" w14:textId="210707C6" w:rsidR="00C15382" w:rsidRDefault="00496F3D" w:rsidP="00496F3D">
      <w:pPr>
        <w:pStyle w:val="Point1"/>
        <w:rPr>
          <w:noProof/>
        </w:rPr>
      </w:pPr>
      <w:r w:rsidRPr="00732AF8">
        <w:rPr>
          <w:noProof/>
        </w:rPr>
        <w:t>b)</w:t>
      </w:r>
      <w:r>
        <w:rPr>
          <w:noProof/>
        </w:rPr>
        <w:tab/>
      </w:r>
      <w:r w:rsidR="00C15382">
        <w:rPr>
          <w:noProof/>
        </w:rPr>
        <w:t>návěsová soupravu skládající se z motorového vozidla spřaženého s návěsem</w:t>
      </w:r>
      <w:r w:rsidRPr="00732AF8">
        <w:rPr>
          <w:noProof/>
        </w:rPr>
        <w:t>;</w:t>
      </w:r>
    </w:p>
    <w:p w14:paraId="7179D856" w14:textId="2E1559AD" w:rsidR="00C15382" w:rsidRDefault="00346E26" w:rsidP="00346E26">
      <w:pPr>
        <w:pStyle w:val="Point0"/>
        <w:rPr>
          <w:noProof/>
        </w:rPr>
      </w:pPr>
      <w:r w:rsidRPr="00732AF8">
        <w:rPr>
          <w:noProof/>
        </w:rPr>
        <w:t>5</w:t>
      </w:r>
      <w:r w:rsidR="0055576D" w:rsidRPr="00732AF8">
        <w:rPr>
          <w:noProof/>
        </w:rPr>
        <w:t>)</w:t>
      </w:r>
      <w:r>
        <w:rPr>
          <w:noProof/>
        </w:rPr>
        <w:tab/>
      </w:r>
      <w:r w:rsidR="00C15382">
        <w:rPr>
          <w:noProof/>
        </w:rPr>
        <w:t>„klimatizovaným vozidlem</w:t>
      </w:r>
      <w:r w:rsidR="00D022D8">
        <w:rPr>
          <w:noProof/>
        </w:rPr>
        <w:t>“</w:t>
      </w:r>
      <w:r w:rsidR="00C15382">
        <w:rPr>
          <w:noProof/>
        </w:rPr>
        <w:t xml:space="preserve"> každé vozidlo, jehož pevné nebo pohyblivé nástavby jsou speciálně vybaveny pro přepravu zboží při řízených teplotách a jehož boční stěny včetně izolace jsou nejméně 45 mm silné</w:t>
      </w:r>
      <w:r w:rsidRPr="00732AF8">
        <w:rPr>
          <w:noProof/>
        </w:rPr>
        <w:t>;</w:t>
      </w:r>
    </w:p>
    <w:p w14:paraId="6A6D4830" w14:textId="3C1DF7AF" w:rsidR="00C15382" w:rsidRDefault="007E3525" w:rsidP="007E3525">
      <w:pPr>
        <w:pStyle w:val="Point0"/>
        <w:rPr>
          <w:noProof/>
        </w:rPr>
      </w:pPr>
      <w:r w:rsidRPr="00732AF8">
        <w:rPr>
          <w:noProof/>
        </w:rPr>
        <w:t>6</w:t>
      </w:r>
      <w:r w:rsidR="0055576D" w:rsidRPr="00732AF8">
        <w:rPr>
          <w:noProof/>
        </w:rPr>
        <w:t>)</w:t>
      </w:r>
      <w:r>
        <w:rPr>
          <w:noProof/>
        </w:rPr>
        <w:tab/>
      </w:r>
      <w:r w:rsidR="00C15382">
        <w:rPr>
          <w:noProof/>
        </w:rPr>
        <w:t>„autobusem</w:t>
      </w:r>
      <w:r w:rsidR="00C15382" w:rsidRPr="00380586">
        <w:rPr>
          <w:noProof/>
        </w:rPr>
        <w:t>“ vozidlo</w:t>
      </w:r>
      <w:r w:rsidR="00C15382">
        <w:rPr>
          <w:noProof/>
        </w:rPr>
        <w:t xml:space="preserve"> s více než devíti sedadly včetně sedadla řidiče, konstruované a vybavené pro přepravu cestujících a jejich zavazadel. Může mít jedno nebo dvě podlaží a také zavazadlový přívěs</w:t>
      </w:r>
      <w:r w:rsidRPr="00732AF8">
        <w:rPr>
          <w:noProof/>
        </w:rPr>
        <w:t>;</w:t>
      </w:r>
    </w:p>
    <w:p w14:paraId="7D773778" w14:textId="026BFCB4" w:rsidR="00C15382" w:rsidRDefault="007E3525" w:rsidP="007E3525">
      <w:pPr>
        <w:pStyle w:val="Point0"/>
        <w:rPr>
          <w:noProof/>
        </w:rPr>
      </w:pPr>
      <w:r w:rsidRPr="00732AF8">
        <w:rPr>
          <w:noProof/>
        </w:rPr>
        <w:t>7</w:t>
      </w:r>
      <w:r w:rsidR="0055576D" w:rsidRPr="00732AF8">
        <w:rPr>
          <w:noProof/>
        </w:rPr>
        <w:t>)</w:t>
      </w:r>
      <w:r>
        <w:rPr>
          <w:noProof/>
        </w:rPr>
        <w:tab/>
      </w:r>
      <w:r w:rsidR="00C15382">
        <w:rPr>
          <w:noProof/>
        </w:rPr>
        <w:t>„kloubovým autobusem</w:t>
      </w:r>
      <w:r w:rsidR="00D022D8">
        <w:rPr>
          <w:noProof/>
        </w:rPr>
        <w:t>“</w:t>
      </w:r>
      <w:r w:rsidR="00C15382" w:rsidRPr="00380586">
        <w:rPr>
          <w:noProof/>
        </w:rPr>
        <w:t xml:space="preserve"> autobus</w:t>
      </w:r>
      <w:r w:rsidR="00C15382">
        <w:rPr>
          <w:noProof/>
        </w:rPr>
        <w:t xml:space="preserve"> skládající se ze dvou pevných oddělení spolu spojených kloubovým úsekem. U tohoto typu vozidla musí být oddělení pro cestující v každém z pevných oddělení ve vzájemném spojení. Kloubový úsek musí dovolovat volný pohyb cestujících mezi pevnými částmi. Spojení a rozpojení obou oddělení musí být proveditelné pouze v dílně</w:t>
      </w:r>
      <w:r w:rsidRPr="00732AF8">
        <w:rPr>
          <w:noProof/>
        </w:rPr>
        <w:t>;</w:t>
      </w:r>
    </w:p>
    <w:p w14:paraId="6197F539" w14:textId="34B54BE8" w:rsidR="00C15382" w:rsidRDefault="007E3525" w:rsidP="007E3525">
      <w:pPr>
        <w:pStyle w:val="Point0"/>
        <w:rPr>
          <w:noProof/>
        </w:rPr>
      </w:pPr>
      <w:r w:rsidRPr="00732AF8">
        <w:rPr>
          <w:noProof/>
        </w:rPr>
        <w:t>8</w:t>
      </w:r>
      <w:r w:rsidR="0055576D" w:rsidRPr="00732AF8">
        <w:rPr>
          <w:noProof/>
        </w:rPr>
        <w:t>)</w:t>
      </w:r>
      <w:r>
        <w:rPr>
          <w:noProof/>
        </w:rPr>
        <w:tab/>
      </w:r>
      <w:r w:rsidR="00C15382">
        <w:rPr>
          <w:noProof/>
        </w:rPr>
        <w:t>„m</w:t>
      </w:r>
      <w:r w:rsidR="00D022D8">
        <w:rPr>
          <w:noProof/>
        </w:rPr>
        <w:t>aximálními přípustnými rozměry“</w:t>
      </w:r>
      <w:r w:rsidR="00C15382">
        <w:rPr>
          <w:noProof/>
        </w:rPr>
        <w:t xml:space="preserve"> maximální rozměry využitelné vozidl</w:t>
      </w:r>
      <w:r w:rsidR="00D022D8">
        <w:rPr>
          <w:noProof/>
        </w:rPr>
        <w:t>em podle ustanovení v příloze I</w:t>
      </w:r>
      <w:r w:rsidRPr="00732AF8">
        <w:rPr>
          <w:noProof/>
        </w:rPr>
        <w:t>;</w:t>
      </w:r>
    </w:p>
    <w:p w14:paraId="1DA764A6" w14:textId="1E2DDB80" w:rsidR="00C15382" w:rsidRDefault="007E3525" w:rsidP="007E3525">
      <w:pPr>
        <w:pStyle w:val="Point0"/>
        <w:rPr>
          <w:noProof/>
        </w:rPr>
      </w:pPr>
      <w:r w:rsidRPr="00732AF8">
        <w:rPr>
          <w:noProof/>
        </w:rPr>
        <w:t>9</w:t>
      </w:r>
      <w:r w:rsidR="0055576D" w:rsidRPr="00732AF8">
        <w:rPr>
          <w:noProof/>
        </w:rPr>
        <w:t>)</w:t>
      </w:r>
      <w:r>
        <w:rPr>
          <w:noProof/>
        </w:rPr>
        <w:tab/>
      </w:r>
      <w:r w:rsidR="00C15382">
        <w:rPr>
          <w:noProof/>
        </w:rPr>
        <w:t>„maximální přípustnou hmotností“ maximální hmotnost využitelná naloženým vozidlem v mezinárodním provozu</w:t>
      </w:r>
      <w:r w:rsidRPr="00732AF8">
        <w:rPr>
          <w:noProof/>
        </w:rPr>
        <w:t>;</w:t>
      </w:r>
    </w:p>
    <w:p w14:paraId="39CCFF15" w14:textId="0696686A" w:rsidR="00C15382" w:rsidRDefault="007E3525" w:rsidP="007E3525">
      <w:pPr>
        <w:pStyle w:val="Point0"/>
        <w:rPr>
          <w:noProof/>
        </w:rPr>
      </w:pPr>
      <w:r w:rsidRPr="00732AF8">
        <w:rPr>
          <w:noProof/>
        </w:rPr>
        <w:t>10</w:t>
      </w:r>
      <w:r w:rsidR="0055576D" w:rsidRPr="00732AF8">
        <w:rPr>
          <w:noProof/>
        </w:rPr>
        <w:t>)</w:t>
      </w:r>
      <w:r>
        <w:rPr>
          <w:noProof/>
        </w:rPr>
        <w:tab/>
      </w:r>
      <w:r w:rsidR="00C15382">
        <w:rPr>
          <w:noProof/>
        </w:rPr>
        <w:t>„maximální</w:t>
      </w:r>
      <w:r w:rsidR="00F43EB6">
        <w:rPr>
          <w:noProof/>
        </w:rPr>
        <w:t>m přípustným zatížením nápravy“</w:t>
      </w:r>
      <w:r w:rsidR="00C15382">
        <w:rPr>
          <w:noProof/>
        </w:rPr>
        <w:t xml:space="preserve"> maximální zatížení nápravy nebo skupiny náprav</w:t>
      </w:r>
      <w:r w:rsidRPr="00732AF8">
        <w:rPr>
          <w:noProof/>
        </w:rPr>
        <w:t>;</w:t>
      </w:r>
    </w:p>
    <w:p w14:paraId="0862AD1D" w14:textId="0956FCE9" w:rsidR="00C15382" w:rsidRDefault="00474A4A" w:rsidP="00474A4A">
      <w:pPr>
        <w:pStyle w:val="Point0"/>
        <w:rPr>
          <w:noProof/>
        </w:rPr>
      </w:pPr>
      <w:r w:rsidRPr="00732AF8">
        <w:rPr>
          <w:noProof/>
        </w:rPr>
        <w:t>11</w:t>
      </w:r>
      <w:r w:rsidR="0055576D" w:rsidRPr="00732AF8">
        <w:rPr>
          <w:noProof/>
        </w:rPr>
        <w:t>)</w:t>
      </w:r>
      <w:r>
        <w:rPr>
          <w:noProof/>
        </w:rPr>
        <w:tab/>
      </w:r>
      <w:r w:rsidR="00F43EB6">
        <w:rPr>
          <w:noProof/>
        </w:rPr>
        <w:t>„nedělitelným nákladem“</w:t>
      </w:r>
      <w:r w:rsidR="00C15382">
        <w:rPr>
          <w:noProof/>
        </w:rPr>
        <w:t xml:space="preserve"> náklad, který pro účely přepravy po silnici nelze rozdělit na dva nebo více nákladů bez nepřiměřených nákladů nebo nebezpečí poškození a který vzhledem ke svým rozměrům nebo hmotnosti nemůže být přepravován motorovým vozidlem, přívěsem, přívěsovou soupravou ani kloubovým vozidlem vyhovujícím této směrnici ve všech ohledech</w:t>
      </w:r>
      <w:r w:rsidRPr="00732AF8">
        <w:rPr>
          <w:noProof/>
        </w:rPr>
        <w:t>;</w:t>
      </w:r>
    </w:p>
    <w:p w14:paraId="4C97D4E7" w14:textId="7D220EA9" w:rsidR="00C15382" w:rsidRDefault="00474A4A" w:rsidP="00474A4A">
      <w:pPr>
        <w:pStyle w:val="Point0"/>
        <w:rPr>
          <w:noProof/>
        </w:rPr>
      </w:pPr>
      <w:r w:rsidRPr="00732AF8">
        <w:rPr>
          <w:noProof/>
        </w:rPr>
        <w:t>12</w:t>
      </w:r>
      <w:r w:rsidR="0055576D" w:rsidRPr="00732AF8">
        <w:rPr>
          <w:noProof/>
        </w:rPr>
        <w:t>)</w:t>
      </w:r>
      <w:r>
        <w:rPr>
          <w:noProof/>
        </w:rPr>
        <w:tab/>
      </w:r>
      <w:r w:rsidR="00C15382">
        <w:rPr>
          <w:noProof/>
        </w:rPr>
        <w:t xml:space="preserve">„tunou“ pro účely zatížení </w:t>
      </w:r>
      <w:r w:rsidR="00F43EB6">
        <w:rPr>
          <w:noProof/>
        </w:rPr>
        <w:t>nápravy</w:t>
      </w:r>
      <w:r w:rsidR="00C15382">
        <w:rPr>
          <w:noProof/>
        </w:rPr>
        <w:t xml:space="preserve"> váha vyvinutá hmotností jedné tuny, která odpovídá hodnotě 9,8 kilonewtonů (kN)</w:t>
      </w:r>
      <w:r w:rsidRPr="00732AF8">
        <w:rPr>
          <w:noProof/>
        </w:rPr>
        <w:t>;</w:t>
      </w:r>
    </w:p>
    <w:p w14:paraId="77CF7190" w14:textId="77777777" w:rsidR="00C15382" w:rsidRPr="00046338" w:rsidRDefault="00C15382" w:rsidP="00C15382">
      <w:pPr>
        <w:pStyle w:val="CRSeparator"/>
        <w:rPr>
          <w:noProof/>
          <w:lang w:val="cs-CZ"/>
        </w:rPr>
      </w:pPr>
    </w:p>
    <w:p w14:paraId="6C44A4BC" w14:textId="66A49527" w:rsidR="00C15382" w:rsidRPr="00732AF8" w:rsidRDefault="00C15382" w:rsidP="00C15382">
      <w:pPr>
        <w:pStyle w:val="CRReference"/>
        <w:rPr>
          <w:noProof/>
          <w:lang w:val="cs-CZ"/>
        </w:rPr>
      </w:pPr>
      <w:r>
        <w:rPr>
          <w:noProof/>
        </w:rPr>
        <w:fldChar w:fldCharType="begin"/>
      </w:r>
      <w:r w:rsidRPr="00732AF8">
        <w:rPr>
          <w:noProof/>
          <w:lang w:val="cs-CZ"/>
        </w:rPr>
        <w:instrText xml:space="preserve"> QUOTE "</w:instrText>
      </w:r>
      <w:r w:rsidRPr="00732AF8">
        <w:rPr>
          <w:rStyle w:val="CRMarker"/>
          <w:noProof/>
          <w:lang w:val="cs-CZ"/>
        </w:rPr>
        <w:instrText>ê</w:instrText>
      </w:r>
      <w:r w:rsidRPr="00732AF8">
        <w:rPr>
          <w:noProof/>
          <w:lang w:val="cs-CZ"/>
        </w:rPr>
        <w:instrText xml:space="preserve">" </w:instrText>
      </w:r>
      <w:r>
        <w:rPr>
          <w:noProof/>
        </w:rPr>
        <w:fldChar w:fldCharType="separate"/>
      </w:r>
      <w:r w:rsidRPr="00732AF8">
        <w:rPr>
          <w:rStyle w:val="CRMarker"/>
          <w:noProof/>
          <w:lang w:val="cs-CZ"/>
        </w:rPr>
        <w:t>ê</w:t>
      </w:r>
      <w:r>
        <w:rPr>
          <w:noProof/>
        </w:rPr>
        <w:fldChar w:fldCharType="end"/>
      </w:r>
      <w:r w:rsidRPr="00732AF8">
        <w:rPr>
          <w:noProof/>
          <w:lang w:val="cs-CZ"/>
        </w:rPr>
        <w:t> 2015/719</w:t>
      </w:r>
      <w:r w:rsidR="005065E0" w:rsidRPr="00732AF8">
        <w:rPr>
          <w:noProof/>
          <w:lang w:val="cs-CZ"/>
        </w:rPr>
        <w:t xml:space="preserve"> čl. 1 bod 2 písm. a)</w:t>
      </w:r>
      <w:r w:rsidR="002A685E" w:rsidRPr="00732AF8">
        <w:rPr>
          <w:noProof/>
          <w:lang w:val="cs-CZ"/>
        </w:rPr>
        <w:t xml:space="preserve"> (přizpůsobený)</w:t>
      </w:r>
    </w:p>
    <w:p w14:paraId="2070B137" w14:textId="217280C5" w:rsidR="00C15382" w:rsidRDefault="00830133" w:rsidP="00830133">
      <w:pPr>
        <w:pStyle w:val="Point0"/>
        <w:rPr>
          <w:noProof/>
        </w:rPr>
      </w:pPr>
      <w:r w:rsidRPr="00732AF8">
        <w:rPr>
          <w:noProof/>
        </w:rPr>
        <w:t>13</w:t>
      </w:r>
      <w:r w:rsidR="0055576D" w:rsidRPr="00732AF8">
        <w:rPr>
          <w:noProof/>
        </w:rPr>
        <w:t>)</w:t>
      </w:r>
      <w:r w:rsidRPr="00732AF8">
        <w:rPr>
          <w:noProof/>
        </w:rPr>
        <w:tab/>
      </w:r>
      <w:r w:rsidR="00C15382">
        <w:rPr>
          <w:noProof/>
        </w:rPr>
        <w:t>„alternativními palivy“ paliva nebo zdroje energie, které slouží alespoň zčásti jako náhrada zdrojů fosilní ropy v dodávkách energie pro dopravu a které mají potenciál přispět k její dekarbonizaci a zvýšit environmentální výkonnost odvětví dopravy. Patří mezi ně:</w:t>
      </w:r>
    </w:p>
    <w:p w14:paraId="1E4B5AA2" w14:textId="355E5397" w:rsidR="00C15382" w:rsidRDefault="00C15382" w:rsidP="00C15382">
      <w:pPr>
        <w:pStyle w:val="Point1"/>
        <w:rPr>
          <w:noProof/>
        </w:rPr>
      </w:pPr>
      <w:r>
        <w:rPr>
          <w:noProof/>
        </w:rPr>
        <w:t>a)</w:t>
      </w:r>
      <w:r>
        <w:rPr>
          <w:noProof/>
        </w:rPr>
        <w:tab/>
        <w:t>elektřina spotřebovávaná ve všech typech elektrických vozidel</w:t>
      </w:r>
      <w:r w:rsidR="006E6D14" w:rsidRPr="00732AF8">
        <w:rPr>
          <w:noProof/>
        </w:rPr>
        <w:t>;</w:t>
      </w:r>
    </w:p>
    <w:p w14:paraId="4BE0AF8C" w14:textId="7EB9A570" w:rsidR="00C15382" w:rsidRDefault="00C15382" w:rsidP="00C15382">
      <w:pPr>
        <w:pStyle w:val="Point1"/>
        <w:rPr>
          <w:noProof/>
        </w:rPr>
      </w:pPr>
      <w:r>
        <w:rPr>
          <w:noProof/>
        </w:rPr>
        <w:t>b)</w:t>
      </w:r>
      <w:r>
        <w:rPr>
          <w:noProof/>
        </w:rPr>
        <w:tab/>
        <w:t>vodík</w:t>
      </w:r>
      <w:r w:rsidR="006E6D14" w:rsidRPr="00732AF8">
        <w:rPr>
          <w:noProof/>
        </w:rPr>
        <w:t>;</w:t>
      </w:r>
    </w:p>
    <w:p w14:paraId="05BB7EA1" w14:textId="330CB4DF" w:rsidR="00C15382" w:rsidRDefault="00C15382" w:rsidP="00C15382">
      <w:pPr>
        <w:pStyle w:val="Point1"/>
        <w:rPr>
          <w:noProof/>
        </w:rPr>
      </w:pPr>
      <w:r>
        <w:rPr>
          <w:noProof/>
        </w:rPr>
        <w:t>c)</w:t>
      </w:r>
      <w:r>
        <w:rPr>
          <w:noProof/>
        </w:rPr>
        <w:tab/>
        <w:t>zemní plyn, včetně biomethanu, v plynné formě (stlačený zemní plyn – CNG) a ve zkapalněné formě (zkapalněný zemní plyn – LNG)</w:t>
      </w:r>
      <w:r w:rsidR="006E6D14" w:rsidRPr="00732AF8">
        <w:rPr>
          <w:noProof/>
        </w:rPr>
        <w:t>;</w:t>
      </w:r>
    </w:p>
    <w:p w14:paraId="04F5A821" w14:textId="09839A2B" w:rsidR="00C15382" w:rsidRDefault="006E6D14" w:rsidP="00C15382">
      <w:pPr>
        <w:pStyle w:val="Point1"/>
        <w:rPr>
          <w:noProof/>
        </w:rPr>
      </w:pPr>
      <w:r>
        <w:rPr>
          <w:noProof/>
        </w:rPr>
        <w:t>d)</w:t>
      </w:r>
      <w:r>
        <w:rPr>
          <w:noProof/>
        </w:rPr>
        <w:tab/>
        <w:t>zkapalněný ropný plyn (LPG)</w:t>
      </w:r>
      <w:r w:rsidRPr="00732AF8">
        <w:rPr>
          <w:noProof/>
        </w:rPr>
        <w:t>;</w:t>
      </w:r>
    </w:p>
    <w:p w14:paraId="5F3FB1F5" w14:textId="1372237A" w:rsidR="00C15382" w:rsidRDefault="00C15382" w:rsidP="00C15382">
      <w:pPr>
        <w:pStyle w:val="Point1"/>
        <w:rPr>
          <w:noProof/>
        </w:rPr>
      </w:pPr>
      <w:r>
        <w:rPr>
          <w:noProof/>
        </w:rPr>
        <w:t>e)</w:t>
      </w:r>
      <w:r>
        <w:rPr>
          <w:noProof/>
        </w:rPr>
        <w:tab/>
        <w:t>mechanická energie ze zásobníku</w:t>
      </w:r>
      <w:r w:rsidR="002A685E" w:rsidRPr="002A685E">
        <w:rPr>
          <w:noProof/>
        </w:rPr>
        <w:t xml:space="preserve"> </w:t>
      </w:r>
      <w:r w:rsidR="002A685E" w:rsidRPr="002A685E">
        <w:rPr>
          <w:noProof/>
        </w:rPr>
        <w:fldChar w:fldCharType="begin"/>
      </w:r>
      <w:r w:rsidR="002A685E" w:rsidRPr="002A685E">
        <w:rPr>
          <w:noProof/>
        </w:rPr>
        <w:instrText xml:space="preserve"> QUOTE "</w:instrText>
      </w:r>
      <w:r w:rsidR="002A685E" w:rsidRPr="00732AF8">
        <w:rPr>
          <w:rStyle w:val="CRMarker"/>
          <w:noProof/>
        </w:rPr>
        <w:instrText>Ö</w:instrText>
      </w:r>
      <w:r w:rsidR="002A685E" w:rsidRPr="002A685E">
        <w:rPr>
          <w:noProof/>
        </w:rPr>
        <w:instrText xml:space="preserve">" </w:instrText>
      </w:r>
      <w:r w:rsidR="002A685E" w:rsidRPr="002A685E">
        <w:rPr>
          <w:noProof/>
        </w:rPr>
        <w:fldChar w:fldCharType="separate"/>
      </w:r>
      <w:r w:rsidR="002A685E" w:rsidRPr="00732AF8">
        <w:rPr>
          <w:rStyle w:val="CRMarker"/>
          <w:noProof/>
        </w:rPr>
        <w:t>Ö</w:t>
      </w:r>
      <w:r w:rsidR="002A685E" w:rsidRPr="002A685E">
        <w:rPr>
          <w:noProof/>
        </w:rPr>
        <w:fldChar w:fldCharType="end"/>
      </w:r>
      <w:r w:rsidR="002A685E" w:rsidRPr="002A685E">
        <w:rPr>
          <w:noProof/>
        </w:rPr>
        <w:t> </w:t>
      </w:r>
      <w:r w:rsidR="002A685E">
        <w:rPr>
          <w:noProof/>
        </w:rPr>
        <w:t>nebo</w:t>
      </w:r>
      <w:r w:rsidR="002A685E" w:rsidRPr="002A685E">
        <w:rPr>
          <w:noProof/>
        </w:rPr>
        <w:t> </w:t>
      </w:r>
      <w:r w:rsidR="002A685E" w:rsidRPr="002A685E">
        <w:rPr>
          <w:noProof/>
        </w:rPr>
        <w:fldChar w:fldCharType="begin"/>
      </w:r>
      <w:r w:rsidR="002A685E" w:rsidRPr="002A685E">
        <w:rPr>
          <w:noProof/>
        </w:rPr>
        <w:instrText xml:space="preserve"> QUOTE "</w:instrText>
      </w:r>
      <w:r w:rsidR="002A685E" w:rsidRPr="00732AF8">
        <w:rPr>
          <w:rStyle w:val="CRMarker"/>
          <w:noProof/>
        </w:rPr>
        <w:instrText>Õ</w:instrText>
      </w:r>
      <w:r w:rsidR="002A685E" w:rsidRPr="002A685E">
        <w:rPr>
          <w:noProof/>
        </w:rPr>
        <w:instrText xml:space="preserve">" </w:instrText>
      </w:r>
      <w:r w:rsidR="002A685E" w:rsidRPr="002A685E">
        <w:rPr>
          <w:noProof/>
        </w:rPr>
        <w:fldChar w:fldCharType="separate"/>
      </w:r>
      <w:r w:rsidR="002A685E" w:rsidRPr="00732AF8">
        <w:rPr>
          <w:rStyle w:val="CRMarker"/>
          <w:noProof/>
        </w:rPr>
        <w:t>Õ</w:t>
      </w:r>
      <w:r w:rsidR="002A685E" w:rsidRPr="002A685E">
        <w:rPr>
          <w:noProof/>
        </w:rPr>
        <w:fldChar w:fldCharType="end"/>
      </w:r>
      <w:r w:rsidR="002A685E" w:rsidRPr="002A685E">
        <w:rPr>
          <w:noProof/>
        </w:rPr>
        <w:t xml:space="preserve"> </w:t>
      </w:r>
      <w:r>
        <w:rPr>
          <w:noProof/>
        </w:rPr>
        <w:t>zdroje ve vozidle, včetně tepelné energie z odpadu</w:t>
      </w:r>
      <w:r w:rsidR="006E6D14" w:rsidRPr="00732AF8">
        <w:rPr>
          <w:noProof/>
        </w:rPr>
        <w:t>;</w:t>
      </w:r>
    </w:p>
    <w:p w14:paraId="299AF825" w14:textId="3313145F" w:rsidR="00C15382" w:rsidRDefault="00830133" w:rsidP="00830133">
      <w:pPr>
        <w:pStyle w:val="Point0"/>
        <w:rPr>
          <w:noProof/>
        </w:rPr>
      </w:pPr>
      <w:r w:rsidRPr="00732AF8">
        <w:rPr>
          <w:noProof/>
        </w:rPr>
        <w:t>14</w:t>
      </w:r>
      <w:r w:rsidR="0055576D" w:rsidRPr="00732AF8">
        <w:rPr>
          <w:noProof/>
        </w:rPr>
        <w:t>)</w:t>
      </w:r>
      <w:r>
        <w:rPr>
          <w:noProof/>
        </w:rPr>
        <w:tab/>
      </w:r>
      <w:r w:rsidR="00C15382">
        <w:rPr>
          <w:noProof/>
        </w:rPr>
        <w:t>„vozidlem na alternativní paliva</w:t>
      </w:r>
      <w:r w:rsidR="00F43EB6">
        <w:rPr>
          <w:noProof/>
        </w:rPr>
        <w:t>“</w:t>
      </w:r>
      <w:r w:rsidR="00C15382">
        <w:rPr>
          <w:noProof/>
        </w:rPr>
        <w:t xml:space="preserve"> motorové vozidlo, které je úplně nebo zčásti poháněné alternativním palivem a jež bylo schváleno podle rámce stanoveného v </w:t>
      </w:r>
      <w:r w:rsidRPr="00732AF8">
        <w:rPr>
          <w:noProof/>
        </w:rPr>
        <w:t>nařízení (EU) 2018/858;</w:t>
      </w:r>
    </w:p>
    <w:p w14:paraId="392E6BBF" w14:textId="77777777" w:rsidR="00C15382" w:rsidRPr="00046338" w:rsidRDefault="00C15382" w:rsidP="00C15382">
      <w:pPr>
        <w:pStyle w:val="CRSeparator"/>
        <w:rPr>
          <w:noProof/>
          <w:lang w:val="cs-CZ"/>
        </w:rPr>
      </w:pPr>
    </w:p>
    <w:p w14:paraId="44E86317" w14:textId="3D46BE61" w:rsidR="00C15382" w:rsidRPr="00713C80" w:rsidRDefault="00C15382" w:rsidP="00C15382">
      <w:pPr>
        <w:pStyle w:val="CRReference"/>
        <w:rPr>
          <w:noProof/>
          <w:lang w:val="cs-CZ"/>
        </w:rPr>
      </w:pPr>
      <w:r>
        <w:rPr>
          <w:noProof/>
        </w:rPr>
        <w:fldChar w:fldCharType="begin"/>
      </w:r>
      <w:r w:rsidRPr="00713C80">
        <w:rPr>
          <w:noProof/>
          <w:lang w:val="cs-CZ"/>
        </w:rPr>
        <w:instrText xml:space="preserve"> QUOTE "</w:instrText>
      </w:r>
      <w:r w:rsidRPr="00713C80">
        <w:rPr>
          <w:rStyle w:val="CRMarker"/>
          <w:noProof/>
          <w:lang w:val="cs-CZ"/>
        </w:rPr>
        <w:instrText>ê</w:instrText>
      </w:r>
      <w:r w:rsidRPr="00713C80">
        <w:rPr>
          <w:noProof/>
          <w:lang w:val="cs-CZ"/>
        </w:rPr>
        <w:instrText xml:space="preserve">" </w:instrText>
      </w:r>
      <w:r>
        <w:rPr>
          <w:noProof/>
        </w:rPr>
        <w:fldChar w:fldCharType="separate"/>
      </w:r>
      <w:r w:rsidRPr="00713C80">
        <w:rPr>
          <w:rStyle w:val="CRMarker"/>
          <w:noProof/>
          <w:lang w:val="cs-CZ"/>
        </w:rPr>
        <w:t>ê</w:t>
      </w:r>
      <w:r>
        <w:rPr>
          <w:noProof/>
        </w:rPr>
        <w:fldChar w:fldCharType="end"/>
      </w:r>
      <w:r w:rsidR="00713C80" w:rsidRPr="00713C80">
        <w:rPr>
          <w:noProof/>
          <w:lang w:val="cs-CZ"/>
        </w:rPr>
        <w:t> </w:t>
      </w:r>
      <w:r w:rsidRPr="00713C80">
        <w:rPr>
          <w:noProof/>
          <w:lang w:val="cs-CZ"/>
        </w:rPr>
        <w:t>2019</w:t>
      </w:r>
      <w:r w:rsidR="00713C80" w:rsidRPr="00713C80">
        <w:rPr>
          <w:noProof/>
          <w:lang w:val="cs-CZ"/>
        </w:rPr>
        <w:t>/1242 čl. 2</w:t>
      </w:r>
      <w:r w:rsidR="00713C80">
        <w:rPr>
          <w:noProof/>
          <w:lang w:val="cs-CZ"/>
        </w:rPr>
        <w:t>0 bod 1</w:t>
      </w:r>
      <w:r w:rsidR="00380586">
        <w:rPr>
          <w:noProof/>
          <w:lang w:val="cs-CZ"/>
        </w:rPr>
        <w:t xml:space="preserve"> (přizpůsobený)</w:t>
      </w:r>
    </w:p>
    <w:p w14:paraId="222E47FE" w14:textId="09B6874E" w:rsidR="00C15382" w:rsidRDefault="00014DEA" w:rsidP="00014DEA">
      <w:pPr>
        <w:pStyle w:val="Point0"/>
        <w:rPr>
          <w:noProof/>
        </w:rPr>
      </w:pPr>
      <w:r w:rsidRPr="00732AF8">
        <w:rPr>
          <w:noProof/>
        </w:rPr>
        <w:t>15</w:t>
      </w:r>
      <w:r w:rsidR="0055576D" w:rsidRPr="00732AF8">
        <w:rPr>
          <w:noProof/>
        </w:rPr>
        <w:t>)</w:t>
      </w:r>
      <w:r>
        <w:rPr>
          <w:noProof/>
        </w:rPr>
        <w:tab/>
      </w:r>
      <w:r w:rsidR="00C15382">
        <w:rPr>
          <w:noProof/>
        </w:rPr>
        <w:t>„vozidlem s nulovými emisem</w:t>
      </w:r>
      <w:r w:rsidR="00F43EB6">
        <w:rPr>
          <w:noProof/>
        </w:rPr>
        <w:t>i“</w:t>
      </w:r>
      <w:r w:rsidR="00C15382">
        <w:rPr>
          <w:noProof/>
        </w:rPr>
        <w:t xml:space="preserve"> těžké vozidlo s nulovými emisemi ve smyslu čl. 3 bodu 11 nařízení Evropského parlamentu a Rady (EU) 2019/1242</w:t>
      </w:r>
      <w:r w:rsidR="00C15382">
        <w:rPr>
          <w:rStyle w:val="FootnoteReference"/>
          <w:noProof/>
        </w:rPr>
        <w:footnoteReference w:id="15"/>
      </w:r>
      <w:r w:rsidRPr="00732AF8">
        <w:rPr>
          <w:noProof/>
        </w:rPr>
        <w:t>;</w:t>
      </w:r>
    </w:p>
    <w:p w14:paraId="648C9E8F" w14:textId="77777777" w:rsidR="00C15382" w:rsidRPr="00014DEA" w:rsidRDefault="00C15382" w:rsidP="00C15382">
      <w:pPr>
        <w:pStyle w:val="CRSeparator"/>
        <w:rPr>
          <w:noProof/>
          <w:lang w:val="cs-CZ"/>
        </w:rPr>
      </w:pPr>
    </w:p>
    <w:p w14:paraId="01ABB223" w14:textId="2FB4A84E" w:rsidR="00C15382" w:rsidRPr="00732AF8" w:rsidRDefault="00C15382" w:rsidP="00C15382">
      <w:pPr>
        <w:pStyle w:val="CRReference"/>
        <w:rPr>
          <w:noProof/>
          <w:lang w:val="cs-CZ"/>
        </w:rPr>
      </w:pPr>
      <w:r>
        <w:rPr>
          <w:noProof/>
        </w:rPr>
        <w:fldChar w:fldCharType="begin"/>
      </w:r>
      <w:r w:rsidRPr="00732AF8">
        <w:rPr>
          <w:noProof/>
          <w:lang w:val="cs-CZ"/>
        </w:rPr>
        <w:instrText xml:space="preserve"> QUOTE "</w:instrText>
      </w:r>
      <w:r w:rsidRPr="00732AF8">
        <w:rPr>
          <w:rStyle w:val="CRMarker"/>
          <w:noProof/>
          <w:lang w:val="cs-CZ"/>
        </w:rPr>
        <w:instrText>ê</w:instrText>
      </w:r>
      <w:r w:rsidRPr="00732AF8">
        <w:rPr>
          <w:noProof/>
          <w:lang w:val="cs-CZ"/>
        </w:rPr>
        <w:instrText xml:space="preserve">" </w:instrText>
      </w:r>
      <w:r>
        <w:rPr>
          <w:noProof/>
        </w:rPr>
        <w:fldChar w:fldCharType="separate"/>
      </w:r>
      <w:r w:rsidRPr="00732AF8">
        <w:rPr>
          <w:rStyle w:val="CRMarker"/>
          <w:noProof/>
          <w:lang w:val="cs-CZ"/>
        </w:rPr>
        <w:t>ê</w:t>
      </w:r>
      <w:r>
        <w:rPr>
          <w:noProof/>
        </w:rPr>
        <w:fldChar w:fldCharType="end"/>
      </w:r>
      <w:r w:rsidRPr="00732AF8">
        <w:rPr>
          <w:noProof/>
          <w:lang w:val="cs-CZ"/>
        </w:rPr>
        <w:t> 2015/719</w:t>
      </w:r>
      <w:r w:rsidR="00825DAA" w:rsidRPr="00732AF8">
        <w:rPr>
          <w:noProof/>
          <w:lang w:val="cs-CZ"/>
        </w:rPr>
        <w:t xml:space="preserve"> čl. 1 bod 2 písm. a)</w:t>
      </w:r>
      <w:r w:rsidR="00580E02" w:rsidRPr="00732AF8">
        <w:rPr>
          <w:noProof/>
          <w:lang w:val="cs-CZ"/>
        </w:rPr>
        <w:t xml:space="preserve"> (přizpůsobený)</w:t>
      </w:r>
    </w:p>
    <w:p w14:paraId="32DDA88E" w14:textId="05B77241" w:rsidR="00C15382" w:rsidRDefault="00825DAA" w:rsidP="00825DAA">
      <w:pPr>
        <w:pStyle w:val="Point0"/>
        <w:rPr>
          <w:noProof/>
        </w:rPr>
      </w:pPr>
      <w:r w:rsidRPr="00732AF8">
        <w:rPr>
          <w:noProof/>
        </w:rPr>
        <w:t>16</w:t>
      </w:r>
      <w:r w:rsidR="0055576D" w:rsidRPr="00732AF8">
        <w:rPr>
          <w:noProof/>
        </w:rPr>
        <w:t>)</w:t>
      </w:r>
      <w:r>
        <w:rPr>
          <w:noProof/>
        </w:rPr>
        <w:tab/>
      </w:r>
      <w:r w:rsidR="00C15382">
        <w:rPr>
          <w:noProof/>
        </w:rPr>
        <w:t>„operací intermodální přepravy</w:t>
      </w:r>
      <w:r w:rsidR="00F43EB6">
        <w:rPr>
          <w:noProof/>
        </w:rPr>
        <w:t>“</w:t>
      </w:r>
      <w:r w:rsidR="00C15382" w:rsidRPr="00380586">
        <w:rPr>
          <w:noProof/>
        </w:rPr>
        <w:t>:</w:t>
      </w:r>
    </w:p>
    <w:p w14:paraId="7C982022" w14:textId="74DE7497" w:rsidR="00C15382" w:rsidRDefault="00C15382" w:rsidP="00C15382">
      <w:pPr>
        <w:pStyle w:val="Point1"/>
        <w:rPr>
          <w:noProof/>
        </w:rPr>
      </w:pPr>
      <w:r>
        <w:rPr>
          <w:noProof/>
        </w:rPr>
        <w:t>a)</w:t>
      </w:r>
      <w:r>
        <w:rPr>
          <w:noProof/>
        </w:rPr>
        <w:tab/>
        <w:t>operace kombinované přepravy ve smyslu článku 1 směrnice</w:t>
      </w:r>
      <w:r w:rsidR="00732AF8">
        <w:rPr>
          <w:noProof/>
        </w:rPr>
        <w:t xml:space="preserve"> </w:t>
      </w:r>
      <w:r>
        <w:rPr>
          <w:noProof/>
        </w:rPr>
        <w:t>92/106/EHS, která se používá k přepravě jednoho nebo více kontejnerů nebo výměnných nástaveb o max</w:t>
      </w:r>
      <w:r w:rsidR="00F43EB6">
        <w:rPr>
          <w:noProof/>
        </w:rPr>
        <w:t>imální celkové délce až 45 stop;</w:t>
      </w:r>
      <w:r>
        <w:rPr>
          <w:noProof/>
        </w:rPr>
        <w:t xml:space="preserve"> nebo</w:t>
      </w:r>
    </w:p>
    <w:p w14:paraId="7315B34E" w14:textId="4C4113F8" w:rsidR="00C15382" w:rsidRDefault="00C15382" w:rsidP="00C15382">
      <w:pPr>
        <w:pStyle w:val="Point1"/>
        <w:rPr>
          <w:noProof/>
        </w:rPr>
      </w:pPr>
      <w:r>
        <w:rPr>
          <w:noProof/>
        </w:rPr>
        <w:t>b)</w:t>
      </w:r>
      <w:r>
        <w:rPr>
          <w:noProof/>
        </w:rPr>
        <w:tab/>
        <w:t>přepravní operace, která se používá k přepravě jednoho nebo více kontejnerů nebo výměnných nástaveb o maximální celkové délce až 45 stop, využívající lodní dopravy, pokud je délka počátečního nebo závěrečného úseku po silnici na území Unie nejvýše 150 km. K dosažení nejbližšího dopravního terminálu vhodného pro zamýšlenou službu může být vzdálenost 150 km překročena v případě:</w:t>
      </w:r>
    </w:p>
    <w:p w14:paraId="228CBA63" w14:textId="0C2D763D" w:rsidR="00C15382" w:rsidRPr="00732AF8" w:rsidRDefault="00C15382" w:rsidP="00C15382">
      <w:pPr>
        <w:pStyle w:val="Point2"/>
        <w:rPr>
          <w:noProof/>
        </w:rPr>
      </w:pPr>
      <w:r w:rsidRPr="00732AF8">
        <w:rPr>
          <w:noProof/>
        </w:rPr>
        <w:t>i)</w:t>
      </w:r>
      <w:r w:rsidRPr="00732AF8">
        <w:rPr>
          <w:noProof/>
        </w:rPr>
        <w:tab/>
        <w:t>vozidel, která jsou v souladu s bodem 2.2.2 písm. a) nebo b) přílohy I</w:t>
      </w:r>
      <w:r w:rsidR="00173BB3" w:rsidRPr="00732AF8">
        <w:rPr>
          <w:noProof/>
        </w:rPr>
        <w:t>;</w:t>
      </w:r>
    </w:p>
    <w:p w14:paraId="0BD735F8" w14:textId="42BD144D" w:rsidR="00C15382" w:rsidRPr="00732AF8" w:rsidRDefault="00C15382" w:rsidP="00C15382">
      <w:pPr>
        <w:pStyle w:val="Point2"/>
        <w:rPr>
          <w:noProof/>
        </w:rPr>
      </w:pPr>
      <w:r w:rsidRPr="00732AF8">
        <w:rPr>
          <w:noProof/>
        </w:rPr>
        <w:t>ii)</w:t>
      </w:r>
      <w:r w:rsidRPr="00732AF8">
        <w:rPr>
          <w:noProof/>
        </w:rPr>
        <w:tab/>
        <w:t>vozidel, která jsou v souladu s bodem 2.2.2 písm. c) nebo d) přílohy I, pokud jsou takové vzdálenosti v příslušném členském státě povoleny.</w:t>
      </w:r>
    </w:p>
    <w:p w14:paraId="5A3E21F1" w14:textId="7A3EA9F0" w:rsidR="00C15382" w:rsidRPr="00732AF8" w:rsidRDefault="00C15382" w:rsidP="00C11591">
      <w:pPr>
        <w:pStyle w:val="Text1"/>
        <w:rPr>
          <w:noProof/>
        </w:rPr>
      </w:pPr>
      <w:r w:rsidRPr="00732AF8">
        <w:rPr>
          <w:noProof/>
        </w:rPr>
        <w:t>V případě operací intermodální přepravy se může nejbližší vhodný dopravní terminál poskytující službu nacházet v jiném členském státě, než je členský stát, ve kterém byla zásilka naložena nebo vyložena</w:t>
      </w:r>
      <w:r w:rsidR="00173BB3" w:rsidRPr="00732AF8">
        <w:rPr>
          <w:noProof/>
        </w:rPr>
        <w:t>;</w:t>
      </w:r>
    </w:p>
    <w:p w14:paraId="1CA8F2E5" w14:textId="5EC3886E" w:rsidR="00C15382" w:rsidRPr="00732AF8" w:rsidRDefault="00C11591" w:rsidP="00C11591">
      <w:pPr>
        <w:pStyle w:val="Point0"/>
        <w:rPr>
          <w:noProof/>
        </w:rPr>
      </w:pPr>
      <w:r w:rsidRPr="00732AF8">
        <w:rPr>
          <w:noProof/>
        </w:rPr>
        <w:t>17</w:t>
      </w:r>
      <w:r w:rsidR="0055576D" w:rsidRPr="00732AF8">
        <w:rPr>
          <w:noProof/>
        </w:rPr>
        <w:t>)</w:t>
      </w:r>
      <w:r w:rsidRPr="00732AF8">
        <w:rPr>
          <w:noProof/>
        </w:rPr>
        <w:tab/>
      </w:r>
      <w:r w:rsidR="00C15382" w:rsidRPr="00732AF8">
        <w:rPr>
          <w:noProof/>
        </w:rPr>
        <w:t>„</w:t>
      </w:r>
      <w:r w:rsidR="00C15382" w:rsidRPr="00C11591">
        <w:rPr>
          <w:noProof/>
        </w:rPr>
        <w:t>nakládajícím</w:t>
      </w:r>
      <w:r w:rsidR="00C15382" w:rsidRPr="00732AF8">
        <w:rPr>
          <w:noProof/>
        </w:rPr>
        <w:t xml:space="preserve"> subjektem“ právní subjekt nebo fyzická či právnická osoba uvedená v náložném listu nebo rovnocenném přepravním dokladu (například průběžném náložném listu) jako nakládající subjekt nebo osoba, která uzavřela smlouvu o přepravě s přepravní společností, nebo jejímž jménem byla smlouva o přepravě s přepravní společností uzavřena.</w:t>
      </w:r>
    </w:p>
    <w:p w14:paraId="187AF497" w14:textId="77777777" w:rsidR="00C15382" w:rsidRPr="00732AF8" w:rsidRDefault="00C15382" w:rsidP="00C15382">
      <w:pPr>
        <w:pStyle w:val="CRSeparator"/>
        <w:rPr>
          <w:noProof/>
          <w:lang w:val="cs-CZ"/>
        </w:rPr>
      </w:pPr>
    </w:p>
    <w:p w14:paraId="4005FD94" w14:textId="5422634D" w:rsidR="00C15382" w:rsidRPr="005D7D8A" w:rsidRDefault="00C15382" w:rsidP="00C15382">
      <w:pPr>
        <w:pStyle w:val="CRReference"/>
        <w:rPr>
          <w:noProof/>
          <w:lang w:val="cs-CZ"/>
        </w:rPr>
      </w:pPr>
      <w:r>
        <w:rPr>
          <w:noProof/>
        </w:rPr>
        <w:fldChar w:fldCharType="begin"/>
      </w:r>
      <w:r w:rsidRPr="005D7D8A">
        <w:rPr>
          <w:noProof/>
          <w:lang w:val="cs-CZ"/>
        </w:rPr>
        <w:instrText xml:space="preserve"> QUOTE "</w:instrText>
      </w:r>
      <w:r w:rsidRPr="005D7D8A">
        <w:rPr>
          <w:rStyle w:val="CRMarker"/>
          <w:noProof/>
          <w:lang w:val="cs-CZ"/>
        </w:rPr>
        <w:instrText>ê</w:instrText>
      </w:r>
      <w:r w:rsidRPr="005D7D8A">
        <w:rPr>
          <w:noProof/>
          <w:lang w:val="cs-CZ"/>
        </w:rPr>
        <w:instrText xml:space="preserve">" </w:instrText>
      </w:r>
      <w:r>
        <w:rPr>
          <w:noProof/>
        </w:rPr>
        <w:fldChar w:fldCharType="separate"/>
      </w:r>
      <w:r w:rsidRPr="005D7D8A">
        <w:rPr>
          <w:rStyle w:val="CRMarker"/>
          <w:noProof/>
          <w:lang w:val="cs-CZ"/>
        </w:rPr>
        <w:t>ê</w:t>
      </w:r>
      <w:r>
        <w:rPr>
          <w:noProof/>
        </w:rPr>
        <w:fldChar w:fldCharType="end"/>
      </w:r>
      <w:r w:rsidR="00284570" w:rsidRPr="005D7D8A">
        <w:rPr>
          <w:noProof/>
          <w:lang w:val="cs-CZ"/>
        </w:rPr>
        <w:t> </w:t>
      </w:r>
      <w:r w:rsidRPr="005D7D8A">
        <w:rPr>
          <w:noProof/>
          <w:lang w:val="cs-CZ"/>
        </w:rPr>
        <w:t>96/53</w:t>
      </w:r>
    </w:p>
    <w:p w14:paraId="1A873CF6" w14:textId="79389878" w:rsidR="00C15382" w:rsidRPr="005D7D8A" w:rsidRDefault="00C15382" w:rsidP="00C15382">
      <w:pPr>
        <w:rPr>
          <w:noProof/>
        </w:rPr>
      </w:pPr>
      <w:r w:rsidRPr="005D7D8A">
        <w:rPr>
          <w:noProof/>
        </w:rPr>
        <w:t xml:space="preserve">Všechny maximální přípustné rozměry podle přílohy I se měří v souladu s </w:t>
      </w:r>
      <w:r w:rsidR="00D0784D" w:rsidRPr="005D7D8A">
        <w:rPr>
          <w:noProof/>
        </w:rPr>
        <w:t>n</w:t>
      </w:r>
      <w:r w:rsidR="00284570" w:rsidRPr="005D7D8A">
        <w:rPr>
          <w:noProof/>
        </w:rPr>
        <w:t>ařízení</w:t>
      </w:r>
      <w:r w:rsidR="00D0784D" w:rsidRPr="005D7D8A">
        <w:rPr>
          <w:noProof/>
        </w:rPr>
        <w:t>m</w:t>
      </w:r>
      <w:r w:rsidR="00284570" w:rsidRPr="005D7D8A">
        <w:rPr>
          <w:noProof/>
        </w:rPr>
        <w:t xml:space="preserve"> (EU)</w:t>
      </w:r>
      <w:r w:rsidR="004505F3" w:rsidRPr="005D7D8A">
        <w:rPr>
          <w:noProof/>
        </w:rPr>
        <w:t> </w:t>
      </w:r>
      <w:r w:rsidR="00284570" w:rsidRPr="005D7D8A">
        <w:rPr>
          <w:noProof/>
        </w:rPr>
        <w:t xml:space="preserve">2018/858 </w:t>
      </w:r>
      <w:r w:rsidRPr="005D7D8A">
        <w:rPr>
          <w:noProof/>
        </w:rPr>
        <w:t>s nulovou povolenou odchylkou.</w:t>
      </w:r>
    </w:p>
    <w:p w14:paraId="513A6B74" w14:textId="77777777" w:rsidR="00C15382" w:rsidRPr="005D7D8A" w:rsidRDefault="00C15382" w:rsidP="00C15382">
      <w:pPr>
        <w:pStyle w:val="Titrearticle"/>
        <w:rPr>
          <w:noProof/>
        </w:rPr>
      </w:pPr>
      <w:r w:rsidRPr="005D7D8A">
        <w:rPr>
          <w:noProof/>
        </w:rPr>
        <w:t>Článek 3</w:t>
      </w:r>
    </w:p>
    <w:p w14:paraId="493922EC" w14:textId="24477A43" w:rsidR="00C15382" w:rsidRPr="005D7D8A" w:rsidRDefault="00895C5D" w:rsidP="00173BB3">
      <w:pPr>
        <w:keepNext/>
        <w:rPr>
          <w:noProof/>
        </w:rPr>
      </w:pPr>
      <w:r w:rsidRPr="005D7D8A">
        <w:rPr>
          <w:noProof/>
        </w:rPr>
        <w:t xml:space="preserve">1. </w:t>
      </w:r>
      <w:r w:rsidR="00C15382" w:rsidRPr="005D7D8A">
        <w:rPr>
          <w:noProof/>
        </w:rPr>
        <w:t>Členský stát nesmí na svém území odmítnout nebo zakázat</w:t>
      </w:r>
      <w:r w:rsidR="00191FC5">
        <w:rPr>
          <w:noProof/>
        </w:rPr>
        <w:t>,</w:t>
      </w:r>
    </w:p>
    <w:p w14:paraId="2FFD9326" w14:textId="77777777" w:rsidR="00C15382" w:rsidRPr="005D7D8A" w:rsidRDefault="00C15382" w:rsidP="004E1E33">
      <w:pPr>
        <w:pStyle w:val="Tiret0"/>
        <w:numPr>
          <w:ilvl w:val="0"/>
          <w:numId w:val="2"/>
        </w:numPr>
        <w:autoSpaceDE w:val="0"/>
        <w:autoSpaceDN w:val="0"/>
        <w:ind w:left="851" w:hanging="851"/>
        <w:rPr>
          <w:noProof/>
        </w:rPr>
      </w:pPr>
      <w:r w:rsidRPr="005D7D8A">
        <w:rPr>
          <w:noProof/>
        </w:rPr>
        <w:t>z důvodu týkajících se hmotnosti a rozměrů použití vozidel, která jsou registrována nebo uvedena do provozu v kterémkoliv jiném členském státě, v mezinárodním provozu,</w:t>
      </w:r>
    </w:p>
    <w:p w14:paraId="2E02E35C" w14:textId="77777777" w:rsidR="00C15382" w:rsidRPr="005D7D8A" w:rsidRDefault="00C15382" w:rsidP="00C15382">
      <w:pPr>
        <w:pStyle w:val="CRSeparator"/>
        <w:rPr>
          <w:noProof/>
          <w:lang w:val="cs-CZ"/>
        </w:rPr>
      </w:pPr>
    </w:p>
    <w:p w14:paraId="3FD90FFF" w14:textId="6DA0BFF0" w:rsidR="00C15382" w:rsidRDefault="00C15382" w:rsidP="00C15382">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2002/7</w:t>
      </w:r>
      <w:r w:rsidR="00895C5D">
        <w:rPr>
          <w:noProof/>
        </w:rPr>
        <w:t xml:space="preserve"> čl. 1 bod 2</w:t>
      </w:r>
    </w:p>
    <w:p w14:paraId="05477FBC" w14:textId="77777777" w:rsidR="00C15382" w:rsidRDefault="00C15382" w:rsidP="004E1E33">
      <w:pPr>
        <w:pStyle w:val="Tiret0"/>
        <w:numPr>
          <w:ilvl w:val="0"/>
          <w:numId w:val="2"/>
        </w:numPr>
        <w:autoSpaceDE w:val="0"/>
        <w:autoSpaceDN w:val="0"/>
        <w:ind w:left="851" w:hanging="851"/>
        <w:rPr>
          <w:noProof/>
        </w:rPr>
      </w:pPr>
      <w:r>
        <w:rPr>
          <w:noProof/>
        </w:rPr>
        <w:t>z důvodů týkajících se rozměrů použití vozidel, která jsou registrována nebo uvedena do provozu v kterémkoliv jiném členském státě, ve vnitrostátním provozu,</w:t>
      </w:r>
    </w:p>
    <w:p w14:paraId="22FBF776" w14:textId="77777777" w:rsidR="00C15382" w:rsidRDefault="00C15382" w:rsidP="00C15382">
      <w:pPr>
        <w:pStyle w:val="CRSeparator"/>
        <w:rPr>
          <w:noProof/>
        </w:rPr>
      </w:pPr>
    </w:p>
    <w:p w14:paraId="37512B21" w14:textId="56ED3786" w:rsidR="00C15382" w:rsidRDefault="00C15382" w:rsidP="00C15382">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sidR="00895C5D">
        <w:rPr>
          <w:noProof/>
        </w:rPr>
        <w:t> </w:t>
      </w:r>
      <w:r>
        <w:rPr>
          <w:noProof/>
        </w:rPr>
        <w:t>96/53</w:t>
      </w:r>
      <w:r w:rsidR="00F16631">
        <w:rPr>
          <w:noProof/>
        </w:rPr>
        <w:t xml:space="preserve"> (přizpůsobený)</w:t>
      </w:r>
    </w:p>
    <w:p w14:paraId="3FF072D8" w14:textId="77777777" w:rsidR="00C15382" w:rsidRDefault="00C15382" w:rsidP="00895C5D">
      <w:pPr>
        <w:pStyle w:val="Text1"/>
        <w:rPr>
          <w:noProof/>
        </w:rPr>
      </w:pPr>
      <w:r>
        <w:rPr>
          <w:noProof/>
        </w:rPr>
        <w:t>pokud tato vozidla vyhovují mezním hodnotám podle přílohy I.</w:t>
      </w:r>
    </w:p>
    <w:p w14:paraId="0672AADA" w14:textId="4AF0397F" w:rsidR="00C15382" w:rsidRDefault="00C15382" w:rsidP="00C15382">
      <w:pPr>
        <w:rPr>
          <w:noProof/>
        </w:rPr>
      </w:pPr>
      <w:r>
        <w:rPr>
          <w:noProof/>
        </w:rPr>
        <w:t>Toto ustanovení se použij</w:t>
      </w:r>
      <w:r w:rsidR="004853D5">
        <w:rPr>
          <w:noProof/>
        </w:rPr>
        <w:t>e</w:t>
      </w:r>
      <w:r>
        <w:rPr>
          <w:noProof/>
        </w:rPr>
        <w:t xml:space="preserve"> také, pokud</w:t>
      </w:r>
      <w:r w:rsidR="00F16631">
        <w:rPr>
          <w:noProof/>
        </w:rPr>
        <w:t>:</w:t>
      </w:r>
    </w:p>
    <w:p w14:paraId="781133A0" w14:textId="199BFDD8" w:rsidR="00C15382" w:rsidRDefault="00C15382" w:rsidP="00C15382">
      <w:pPr>
        <w:pStyle w:val="Point0"/>
        <w:rPr>
          <w:noProof/>
        </w:rPr>
      </w:pPr>
      <w:r>
        <w:rPr>
          <w:noProof/>
        </w:rPr>
        <w:t>a)</w:t>
      </w:r>
      <w:r>
        <w:rPr>
          <w:noProof/>
        </w:rPr>
        <w:tab/>
        <w:t xml:space="preserve">vozidla </w:t>
      </w:r>
      <w:r w:rsidR="00F16631" w:rsidRPr="00F16631">
        <w:rPr>
          <w:noProof/>
        </w:rPr>
        <w:fldChar w:fldCharType="begin"/>
      </w:r>
      <w:r w:rsidR="00F16631" w:rsidRPr="00F16631">
        <w:rPr>
          <w:noProof/>
        </w:rPr>
        <w:instrText xml:space="preserve"> QUOTE "</w:instrText>
      </w:r>
      <w:r w:rsidR="00F16631" w:rsidRPr="00732AF8">
        <w:rPr>
          <w:rStyle w:val="CRMarker"/>
          <w:noProof/>
        </w:rPr>
        <w:instrText>Ö</w:instrText>
      </w:r>
      <w:r w:rsidR="00F16631" w:rsidRPr="00F16631">
        <w:rPr>
          <w:noProof/>
        </w:rPr>
        <w:instrText xml:space="preserve">" </w:instrText>
      </w:r>
      <w:r w:rsidR="00F16631" w:rsidRPr="00F16631">
        <w:rPr>
          <w:noProof/>
        </w:rPr>
        <w:fldChar w:fldCharType="separate"/>
      </w:r>
      <w:r w:rsidR="00F16631" w:rsidRPr="00732AF8">
        <w:rPr>
          <w:rStyle w:val="CRMarker"/>
          <w:noProof/>
        </w:rPr>
        <w:t>Ö</w:t>
      </w:r>
      <w:r w:rsidR="00F16631" w:rsidRPr="00F16631">
        <w:rPr>
          <w:noProof/>
        </w:rPr>
        <w:fldChar w:fldCharType="end"/>
      </w:r>
      <w:r w:rsidR="00F16631" w:rsidRPr="00F16631">
        <w:rPr>
          <w:noProof/>
        </w:rPr>
        <w:t> uveden</w:t>
      </w:r>
      <w:r w:rsidR="00645696">
        <w:rPr>
          <w:noProof/>
        </w:rPr>
        <w:t>á</w:t>
      </w:r>
      <w:r w:rsidR="00F16631" w:rsidRPr="00F16631">
        <w:rPr>
          <w:noProof/>
        </w:rPr>
        <w:t xml:space="preserve"> v prvním pododstavci </w:t>
      </w:r>
      <w:r w:rsidR="00F16631" w:rsidRPr="00F16631">
        <w:rPr>
          <w:noProof/>
        </w:rPr>
        <w:fldChar w:fldCharType="begin"/>
      </w:r>
      <w:r w:rsidR="00F16631" w:rsidRPr="00F16631">
        <w:rPr>
          <w:noProof/>
        </w:rPr>
        <w:instrText xml:space="preserve"> QUOTE "</w:instrText>
      </w:r>
      <w:r w:rsidR="00F16631" w:rsidRPr="00732AF8">
        <w:rPr>
          <w:rStyle w:val="CRMarker"/>
          <w:noProof/>
        </w:rPr>
        <w:instrText>Õ</w:instrText>
      </w:r>
      <w:r w:rsidR="00F16631" w:rsidRPr="00F16631">
        <w:rPr>
          <w:noProof/>
        </w:rPr>
        <w:instrText xml:space="preserve">" </w:instrText>
      </w:r>
      <w:r w:rsidR="00F16631" w:rsidRPr="00F16631">
        <w:rPr>
          <w:noProof/>
        </w:rPr>
        <w:fldChar w:fldCharType="separate"/>
      </w:r>
      <w:r w:rsidR="00F16631" w:rsidRPr="00732AF8">
        <w:rPr>
          <w:rStyle w:val="CRMarker"/>
          <w:noProof/>
        </w:rPr>
        <w:t>Õ</w:t>
      </w:r>
      <w:r w:rsidR="00F16631" w:rsidRPr="00F16631">
        <w:rPr>
          <w:noProof/>
        </w:rPr>
        <w:fldChar w:fldCharType="end"/>
      </w:r>
      <w:r w:rsidR="00F16631">
        <w:rPr>
          <w:noProof/>
        </w:rPr>
        <w:t xml:space="preserve"> </w:t>
      </w:r>
      <w:r>
        <w:rPr>
          <w:noProof/>
        </w:rPr>
        <w:t>nejsou v souladu s předpisy daného členského státu, pokud jde o určité charakteristiky hmotností a rozměrů neuvedené v příloze I;</w:t>
      </w:r>
    </w:p>
    <w:p w14:paraId="46F67770" w14:textId="1C0B96B1" w:rsidR="00C15382" w:rsidRDefault="00C15382" w:rsidP="00C15382">
      <w:pPr>
        <w:pStyle w:val="Point0"/>
        <w:rPr>
          <w:noProof/>
        </w:rPr>
      </w:pPr>
      <w:r>
        <w:rPr>
          <w:noProof/>
        </w:rPr>
        <w:t>b)</w:t>
      </w:r>
      <w:r>
        <w:rPr>
          <w:noProof/>
        </w:rPr>
        <w:tab/>
        <w:t xml:space="preserve">příslušný orgán členského státu, ve kterém jsou vozidla </w:t>
      </w:r>
      <w:r w:rsidR="00827570" w:rsidRPr="004F37EC">
        <w:rPr>
          <w:noProof/>
        </w:rPr>
        <w:fldChar w:fldCharType="begin"/>
      </w:r>
      <w:r w:rsidR="00827570" w:rsidRPr="005D77DC">
        <w:rPr>
          <w:noProof/>
        </w:rPr>
        <w:instrText xml:space="preserve"> QUOTE "</w:instrText>
      </w:r>
      <w:r w:rsidR="00827570" w:rsidRPr="00732AF8">
        <w:rPr>
          <w:rStyle w:val="CRMarker"/>
          <w:noProof/>
        </w:rPr>
        <w:instrText>Ö</w:instrText>
      </w:r>
      <w:r w:rsidR="00827570" w:rsidRPr="005D77DC">
        <w:rPr>
          <w:noProof/>
        </w:rPr>
        <w:instrText xml:space="preserve">" </w:instrText>
      </w:r>
      <w:r w:rsidR="00827570" w:rsidRPr="004F37EC">
        <w:rPr>
          <w:noProof/>
        </w:rPr>
        <w:fldChar w:fldCharType="separate"/>
      </w:r>
      <w:r w:rsidR="00827570" w:rsidRPr="00732AF8">
        <w:rPr>
          <w:rStyle w:val="CRMarker"/>
          <w:noProof/>
        </w:rPr>
        <w:t>Ö</w:t>
      </w:r>
      <w:r w:rsidR="00827570" w:rsidRPr="004F37EC">
        <w:rPr>
          <w:noProof/>
        </w:rPr>
        <w:fldChar w:fldCharType="end"/>
      </w:r>
      <w:r w:rsidR="00827570" w:rsidRPr="00827570">
        <w:rPr>
          <w:noProof/>
        </w:rPr>
        <w:t> uveden</w:t>
      </w:r>
      <w:r w:rsidR="00645696">
        <w:rPr>
          <w:noProof/>
        </w:rPr>
        <w:t>á</w:t>
      </w:r>
      <w:r w:rsidR="00827570" w:rsidRPr="00827570">
        <w:rPr>
          <w:noProof/>
        </w:rPr>
        <w:t xml:space="preserve"> v prvním pododstavci </w:t>
      </w:r>
      <w:r w:rsidR="00827570" w:rsidRPr="004F37EC">
        <w:rPr>
          <w:noProof/>
        </w:rPr>
        <w:fldChar w:fldCharType="begin"/>
      </w:r>
      <w:r w:rsidR="00827570" w:rsidRPr="005D77DC">
        <w:rPr>
          <w:noProof/>
        </w:rPr>
        <w:instrText xml:space="preserve"> QUOTE "</w:instrText>
      </w:r>
      <w:r w:rsidR="00827570" w:rsidRPr="00732AF8">
        <w:rPr>
          <w:rStyle w:val="CRMarker"/>
          <w:noProof/>
        </w:rPr>
        <w:instrText>Õ</w:instrText>
      </w:r>
      <w:r w:rsidR="00827570" w:rsidRPr="005D77DC">
        <w:rPr>
          <w:noProof/>
        </w:rPr>
        <w:instrText xml:space="preserve">" </w:instrText>
      </w:r>
      <w:r w:rsidR="00827570" w:rsidRPr="004F37EC">
        <w:rPr>
          <w:noProof/>
        </w:rPr>
        <w:fldChar w:fldCharType="separate"/>
      </w:r>
      <w:r w:rsidR="00827570" w:rsidRPr="00732AF8">
        <w:rPr>
          <w:rStyle w:val="CRMarker"/>
          <w:noProof/>
        </w:rPr>
        <w:t>Õ</w:t>
      </w:r>
      <w:r w:rsidR="00827570" w:rsidRPr="004F37EC">
        <w:rPr>
          <w:noProof/>
        </w:rPr>
        <w:fldChar w:fldCharType="end"/>
      </w:r>
      <w:r w:rsidR="00827570" w:rsidRPr="00827570">
        <w:rPr>
          <w:noProof/>
        </w:rPr>
        <w:t xml:space="preserve"> </w:t>
      </w:r>
      <w:r>
        <w:rPr>
          <w:noProof/>
        </w:rPr>
        <w:t xml:space="preserve">registrována nebo uvedena do provozu, povolí mezní hodnoty neuvedené v čl. 4 </w:t>
      </w:r>
      <w:r w:rsidR="00645696">
        <w:rPr>
          <w:noProof/>
        </w:rPr>
        <w:t xml:space="preserve">odst. 1 </w:t>
      </w:r>
      <w:r>
        <w:rPr>
          <w:noProof/>
        </w:rPr>
        <w:t>překračující mezní hodnoty stanovené v příloze I.</w:t>
      </w:r>
    </w:p>
    <w:p w14:paraId="7850D655" w14:textId="3489B79D" w:rsidR="00C15382" w:rsidRDefault="00EE02A5" w:rsidP="00C15382">
      <w:pPr>
        <w:rPr>
          <w:noProof/>
        </w:rPr>
      </w:pPr>
      <w:r>
        <w:rPr>
          <w:noProof/>
        </w:rPr>
        <w:t xml:space="preserve">2. </w:t>
      </w:r>
      <w:r w:rsidR="00C15382">
        <w:rPr>
          <w:noProof/>
        </w:rPr>
        <w:t xml:space="preserve">Ustanovením odst. 1 druhého pododstavce písm. a) však není dotčeno právo členských států požadovat s řádným </w:t>
      </w:r>
      <w:r w:rsidR="00EC3F6D">
        <w:rPr>
          <w:noProof/>
        </w:rPr>
        <w:t>ohledem na právo</w:t>
      </w:r>
      <w:r w:rsidR="00C15382">
        <w:rPr>
          <w:noProof/>
        </w:rPr>
        <w:t xml:space="preserve"> </w:t>
      </w:r>
      <w:r w:rsidRPr="00EE02A5">
        <w:rPr>
          <w:noProof/>
        </w:rPr>
        <w:fldChar w:fldCharType="begin"/>
      </w:r>
      <w:r w:rsidRPr="00EE02A5">
        <w:rPr>
          <w:noProof/>
        </w:rPr>
        <w:instrText xml:space="preserve"> QUOTE "</w:instrText>
      </w:r>
      <w:r w:rsidRPr="00732AF8">
        <w:rPr>
          <w:rStyle w:val="CRMarker"/>
          <w:noProof/>
        </w:rPr>
        <w:instrText>Ö</w:instrText>
      </w:r>
      <w:r w:rsidRPr="00EE02A5">
        <w:rPr>
          <w:noProof/>
        </w:rPr>
        <w:instrText xml:space="preserve">" </w:instrText>
      </w:r>
      <w:r w:rsidRPr="00EE02A5">
        <w:rPr>
          <w:noProof/>
        </w:rPr>
        <w:fldChar w:fldCharType="separate"/>
      </w:r>
      <w:r w:rsidRPr="00732AF8">
        <w:rPr>
          <w:rStyle w:val="CRMarker"/>
          <w:noProof/>
        </w:rPr>
        <w:t>Ö</w:t>
      </w:r>
      <w:r w:rsidRPr="00EE02A5">
        <w:rPr>
          <w:noProof/>
        </w:rPr>
        <w:fldChar w:fldCharType="end"/>
      </w:r>
      <w:r w:rsidRPr="00EE02A5">
        <w:rPr>
          <w:noProof/>
        </w:rPr>
        <w:t> Un</w:t>
      </w:r>
      <w:r w:rsidRPr="004D6188">
        <w:rPr>
          <w:noProof/>
        </w:rPr>
        <w:t>ie</w:t>
      </w:r>
      <w:r w:rsidRPr="00EE02A5">
        <w:rPr>
          <w:noProof/>
        </w:rPr>
        <w:t> </w:t>
      </w:r>
      <w:r w:rsidRPr="00EE02A5">
        <w:rPr>
          <w:noProof/>
        </w:rPr>
        <w:fldChar w:fldCharType="begin"/>
      </w:r>
      <w:r w:rsidRPr="00EE02A5">
        <w:rPr>
          <w:noProof/>
        </w:rPr>
        <w:instrText xml:space="preserve"> QUOTE "</w:instrText>
      </w:r>
      <w:r w:rsidRPr="00732AF8">
        <w:rPr>
          <w:rStyle w:val="CRMarker"/>
          <w:noProof/>
        </w:rPr>
        <w:instrText>Õ</w:instrText>
      </w:r>
      <w:r w:rsidRPr="00EE02A5">
        <w:rPr>
          <w:noProof/>
        </w:rPr>
        <w:instrText xml:space="preserve">" </w:instrText>
      </w:r>
      <w:r w:rsidRPr="00EE02A5">
        <w:rPr>
          <w:noProof/>
        </w:rPr>
        <w:fldChar w:fldCharType="separate"/>
      </w:r>
      <w:r w:rsidRPr="00732AF8">
        <w:rPr>
          <w:rStyle w:val="CRMarker"/>
          <w:noProof/>
        </w:rPr>
        <w:t>Õ</w:t>
      </w:r>
      <w:r w:rsidRPr="00EE02A5">
        <w:rPr>
          <w:noProof/>
        </w:rPr>
        <w:fldChar w:fldCharType="end"/>
      </w:r>
      <w:r w:rsidRPr="00EE02A5">
        <w:rPr>
          <w:noProof/>
        </w:rPr>
        <w:t xml:space="preserve"> </w:t>
      </w:r>
      <w:r w:rsidR="00C15382">
        <w:rPr>
          <w:noProof/>
        </w:rPr>
        <w:t>soulad vozidel registrovaných nebo uvedených do provozu na jejich území s vnitrostátními požadavky na charakteristiky hmotnosti a rozměrů ne</w:t>
      </w:r>
      <w:r w:rsidR="004D6188">
        <w:rPr>
          <w:noProof/>
        </w:rPr>
        <w:t>uvedenými v</w:t>
      </w:r>
      <w:r w:rsidR="00C15382">
        <w:rPr>
          <w:noProof/>
        </w:rPr>
        <w:t xml:space="preserve"> přílo</w:t>
      </w:r>
      <w:r w:rsidR="004D6188">
        <w:rPr>
          <w:noProof/>
        </w:rPr>
        <w:t>ze</w:t>
      </w:r>
      <w:r w:rsidR="00C15382">
        <w:rPr>
          <w:noProof/>
        </w:rPr>
        <w:t xml:space="preserve"> I.</w:t>
      </w:r>
    </w:p>
    <w:p w14:paraId="503B6221" w14:textId="795EC9E2" w:rsidR="00C15382" w:rsidRDefault="005550CD" w:rsidP="00C15382">
      <w:pPr>
        <w:rPr>
          <w:noProof/>
        </w:rPr>
      </w:pPr>
      <w:r>
        <w:rPr>
          <w:noProof/>
        </w:rPr>
        <w:t xml:space="preserve">3. </w:t>
      </w:r>
      <w:r w:rsidR="004D6188">
        <w:rPr>
          <w:noProof/>
        </w:rPr>
        <w:t>Č</w:t>
      </w:r>
      <w:r w:rsidR="00C15382">
        <w:rPr>
          <w:noProof/>
        </w:rPr>
        <w:t xml:space="preserve">lenské státy mohou požadovat, aby klimatizovaná vozidla byla vybavena osvědčením nebo štítkem podle Dohody o mezinárodních přepravách </w:t>
      </w:r>
      <w:r w:rsidR="007E5724" w:rsidRPr="00732AF8">
        <w:rPr>
          <w:noProof/>
        </w:rPr>
        <w:fldChar w:fldCharType="begin"/>
      </w:r>
      <w:r w:rsidR="007E5724" w:rsidRPr="007E5724">
        <w:rPr>
          <w:noProof/>
        </w:rPr>
        <w:instrText xml:space="preserve"> QUOTE "</w:instrText>
      </w:r>
      <w:r w:rsidR="007E5724" w:rsidRPr="00732AF8">
        <w:rPr>
          <w:rStyle w:val="CRMarker"/>
          <w:noProof/>
        </w:rPr>
        <w:instrText>Ö</w:instrText>
      </w:r>
      <w:r w:rsidR="007E5724" w:rsidRPr="007E5724">
        <w:rPr>
          <w:noProof/>
        </w:rPr>
        <w:instrText xml:space="preserve">" </w:instrText>
      </w:r>
      <w:r w:rsidR="007E5724" w:rsidRPr="00732AF8">
        <w:rPr>
          <w:noProof/>
        </w:rPr>
        <w:fldChar w:fldCharType="separate"/>
      </w:r>
      <w:r w:rsidR="007E5724" w:rsidRPr="00732AF8">
        <w:rPr>
          <w:rStyle w:val="CRMarker"/>
          <w:noProof/>
        </w:rPr>
        <w:t>Ö</w:t>
      </w:r>
      <w:r w:rsidR="007E5724" w:rsidRPr="00732AF8">
        <w:rPr>
          <w:noProof/>
        </w:rPr>
        <w:fldChar w:fldCharType="end"/>
      </w:r>
      <w:r w:rsidR="007E5724" w:rsidRPr="007E5724">
        <w:rPr>
          <w:noProof/>
        </w:rPr>
        <w:t> zkazitelných </w:t>
      </w:r>
      <w:r w:rsidR="007E5724" w:rsidRPr="00732AF8">
        <w:rPr>
          <w:noProof/>
        </w:rPr>
        <w:fldChar w:fldCharType="begin"/>
      </w:r>
      <w:r w:rsidR="007E5724" w:rsidRPr="007E5724">
        <w:rPr>
          <w:noProof/>
        </w:rPr>
        <w:instrText xml:space="preserve"> QUOTE "</w:instrText>
      </w:r>
      <w:r w:rsidR="007E5724" w:rsidRPr="00732AF8">
        <w:rPr>
          <w:rStyle w:val="CRMarker"/>
          <w:noProof/>
        </w:rPr>
        <w:instrText>Õ</w:instrText>
      </w:r>
      <w:r w:rsidR="007E5724" w:rsidRPr="007E5724">
        <w:rPr>
          <w:noProof/>
        </w:rPr>
        <w:instrText xml:space="preserve">" </w:instrText>
      </w:r>
      <w:r w:rsidR="007E5724" w:rsidRPr="00732AF8">
        <w:rPr>
          <w:noProof/>
        </w:rPr>
        <w:fldChar w:fldCharType="separate"/>
      </w:r>
      <w:r w:rsidR="007E5724" w:rsidRPr="00732AF8">
        <w:rPr>
          <w:rStyle w:val="CRMarker"/>
          <w:noProof/>
        </w:rPr>
        <w:t>Õ</w:t>
      </w:r>
      <w:r w:rsidR="007E5724" w:rsidRPr="00732AF8">
        <w:rPr>
          <w:noProof/>
        </w:rPr>
        <w:fldChar w:fldCharType="end"/>
      </w:r>
      <w:r w:rsidR="007E5724" w:rsidRPr="007E5724">
        <w:rPr>
          <w:noProof/>
        </w:rPr>
        <w:t xml:space="preserve"> </w:t>
      </w:r>
      <w:r w:rsidR="00EC3F6D">
        <w:rPr>
          <w:noProof/>
        </w:rPr>
        <w:t>potravin</w:t>
      </w:r>
      <w:r w:rsidR="00C15382">
        <w:rPr>
          <w:noProof/>
        </w:rPr>
        <w:t xml:space="preserve"> a o specializovaných prostředcích určených pro tyto přepravy (ATP) ze dne 1. září 1970.</w:t>
      </w:r>
    </w:p>
    <w:p w14:paraId="11307185" w14:textId="77777777" w:rsidR="00C15382" w:rsidRDefault="00C15382" w:rsidP="00C15382">
      <w:pPr>
        <w:pStyle w:val="Titrearticle"/>
        <w:rPr>
          <w:noProof/>
        </w:rPr>
      </w:pPr>
      <w:r>
        <w:rPr>
          <w:noProof/>
        </w:rPr>
        <w:t>Článek 4</w:t>
      </w:r>
    </w:p>
    <w:p w14:paraId="0A7FB384" w14:textId="77777777" w:rsidR="00C15382" w:rsidRPr="00046338" w:rsidRDefault="00C15382" w:rsidP="00C15382">
      <w:pPr>
        <w:pStyle w:val="CRSeparator"/>
        <w:rPr>
          <w:noProof/>
          <w:lang w:val="cs-CZ"/>
        </w:rPr>
      </w:pPr>
    </w:p>
    <w:p w14:paraId="60168B45" w14:textId="36EC991B" w:rsidR="00C15382" w:rsidRPr="00046338" w:rsidRDefault="00C15382" w:rsidP="00C15382">
      <w:pPr>
        <w:pStyle w:val="CRReference"/>
        <w:rPr>
          <w:noProof/>
          <w:lang w:val="cs-CZ"/>
        </w:rPr>
      </w:pPr>
      <w:r>
        <w:rPr>
          <w:noProof/>
        </w:rPr>
        <w:fldChar w:fldCharType="begin"/>
      </w:r>
      <w:r w:rsidRPr="00046338">
        <w:rPr>
          <w:noProof/>
          <w:lang w:val="cs-CZ"/>
        </w:rPr>
        <w:instrText xml:space="preserve"> QUOTE "</w:instrText>
      </w:r>
      <w:r w:rsidRPr="00046338">
        <w:rPr>
          <w:rStyle w:val="CRMarker"/>
          <w:noProof/>
          <w:lang w:val="cs-CZ"/>
        </w:rPr>
        <w:instrText>ê</w:instrText>
      </w:r>
      <w:r w:rsidRPr="00046338">
        <w:rPr>
          <w:noProof/>
          <w:lang w:val="cs-CZ"/>
        </w:rPr>
        <w:instrText xml:space="preserve">" </w:instrText>
      </w:r>
      <w:r>
        <w:rPr>
          <w:noProof/>
        </w:rPr>
        <w:fldChar w:fldCharType="separate"/>
      </w:r>
      <w:r w:rsidRPr="00046338">
        <w:rPr>
          <w:rStyle w:val="CRMarker"/>
          <w:noProof/>
          <w:lang w:val="cs-CZ"/>
        </w:rPr>
        <w:t>ê</w:t>
      </w:r>
      <w:r>
        <w:rPr>
          <w:noProof/>
        </w:rPr>
        <w:fldChar w:fldCharType="end"/>
      </w:r>
      <w:r w:rsidRPr="00046338">
        <w:rPr>
          <w:noProof/>
          <w:lang w:val="cs-CZ"/>
        </w:rPr>
        <w:t> 2002/7</w:t>
      </w:r>
      <w:r w:rsidR="005550CD">
        <w:rPr>
          <w:noProof/>
          <w:lang w:val="cs-CZ"/>
        </w:rPr>
        <w:t xml:space="preserve"> </w:t>
      </w:r>
      <w:r w:rsidR="005550CD" w:rsidRPr="005550CD">
        <w:rPr>
          <w:noProof/>
          <w:lang w:val="cs-CZ"/>
        </w:rPr>
        <w:t xml:space="preserve">čl. 1 bod </w:t>
      </w:r>
      <w:r w:rsidR="005550CD">
        <w:rPr>
          <w:noProof/>
          <w:lang w:val="cs-CZ"/>
        </w:rPr>
        <w:t>3</w:t>
      </w:r>
      <w:r w:rsidR="005550CD" w:rsidRPr="005550CD">
        <w:rPr>
          <w:noProof/>
          <w:lang w:val="cs-CZ"/>
        </w:rPr>
        <w:t xml:space="preserve"> písm. </w:t>
      </w:r>
      <w:r w:rsidR="005550CD">
        <w:rPr>
          <w:noProof/>
          <w:lang w:val="cs-CZ"/>
        </w:rPr>
        <w:t>a</w:t>
      </w:r>
      <w:r w:rsidR="005550CD" w:rsidRPr="005550CD">
        <w:rPr>
          <w:noProof/>
          <w:lang w:val="cs-CZ"/>
        </w:rPr>
        <w:t>)</w:t>
      </w:r>
    </w:p>
    <w:p w14:paraId="5BE9B85F" w14:textId="75CBD327" w:rsidR="00C15382" w:rsidRDefault="004343D4" w:rsidP="00C15382">
      <w:pPr>
        <w:rPr>
          <w:noProof/>
        </w:rPr>
      </w:pPr>
      <w:r>
        <w:rPr>
          <w:noProof/>
        </w:rPr>
        <w:t xml:space="preserve">1. </w:t>
      </w:r>
      <w:r w:rsidR="00C15382">
        <w:rPr>
          <w:noProof/>
        </w:rPr>
        <w:t>Členské státy nepovolí na svém území běžný provoz:</w:t>
      </w:r>
    </w:p>
    <w:p w14:paraId="3052FA57" w14:textId="3D808525" w:rsidR="00C15382" w:rsidRDefault="00C15382" w:rsidP="00C15382">
      <w:pPr>
        <w:pStyle w:val="Point0"/>
        <w:rPr>
          <w:noProof/>
        </w:rPr>
      </w:pPr>
      <w:r>
        <w:rPr>
          <w:noProof/>
        </w:rPr>
        <w:t>a)</w:t>
      </w:r>
      <w:r>
        <w:rPr>
          <w:noProof/>
        </w:rPr>
        <w:tab/>
      </w:r>
      <w:r w:rsidRPr="00F57DC5">
        <w:rPr>
          <w:noProof/>
        </w:rPr>
        <w:t>vozidel nebo souprav vozidel ve vnitrostátní přepravě</w:t>
      </w:r>
      <w:r>
        <w:rPr>
          <w:noProof/>
        </w:rPr>
        <w:t xml:space="preserve"> zboží, pokud tato vozidla nevyhovují charakteristikám stanoveným v bodech 1.1, 1.2, 1.4, 1.</w:t>
      </w:r>
      <w:r w:rsidR="004343D4" w:rsidRPr="00732AF8">
        <w:rPr>
          <w:noProof/>
        </w:rPr>
        <w:t>6</w:t>
      </w:r>
      <w:r>
        <w:rPr>
          <w:noProof/>
        </w:rPr>
        <w:t>, 1.</w:t>
      </w:r>
      <w:r w:rsidR="004343D4" w:rsidRPr="00732AF8">
        <w:rPr>
          <w:noProof/>
        </w:rPr>
        <w:t>8</w:t>
      </w:r>
      <w:r>
        <w:rPr>
          <w:noProof/>
        </w:rPr>
        <w:t>, 1.</w:t>
      </w:r>
      <w:r w:rsidR="004343D4" w:rsidRPr="00732AF8">
        <w:rPr>
          <w:noProof/>
        </w:rPr>
        <w:t>9</w:t>
      </w:r>
      <w:r>
        <w:rPr>
          <w:noProof/>
        </w:rPr>
        <w:t>, 1.</w:t>
      </w:r>
      <w:r w:rsidR="004343D4" w:rsidRPr="00732AF8">
        <w:rPr>
          <w:noProof/>
        </w:rPr>
        <w:t>10</w:t>
      </w:r>
      <w:r>
        <w:rPr>
          <w:noProof/>
        </w:rPr>
        <w:t>, 4.2 a 4.4 přílohy I;</w:t>
      </w:r>
    </w:p>
    <w:p w14:paraId="7A5AAFAC" w14:textId="379087BD" w:rsidR="00C15382" w:rsidRDefault="00C15382" w:rsidP="00C15382">
      <w:pPr>
        <w:pStyle w:val="Point0"/>
        <w:rPr>
          <w:noProof/>
        </w:rPr>
      </w:pPr>
      <w:r>
        <w:rPr>
          <w:noProof/>
        </w:rPr>
        <w:t>b)</w:t>
      </w:r>
      <w:r>
        <w:rPr>
          <w:noProof/>
        </w:rPr>
        <w:tab/>
        <w:t>vozidel ve vnitrostátní přepravě osob, pokud tato vozidla nevyhovují charakteristikám stanoveným v bodech 1.1, 1.2, 1.</w:t>
      </w:r>
      <w:r w:rsidR="004343D4" w:rsidRPr="00732AF8">
        <w:rPr>
          <w:noProof/>
        </w:rPr>
        <w:t>5</w:t>
      </w:r>
      <w:r>
        <w:rPr>
          <w:noProof/>
        </w:rPr>
        <w:t>, 1.</w:t>
      </w:r>
      <w:r w:rsidR="004343D4" w:rsidRPr="00732AF8">
        <w:rPr>
          <w:noProof/>
        </w:rPr>
        <w:t>6</w:t>
      </w:r>
      <w:r>
        <w:rPr>
          <w:noProof/>
        </w:rPr>
        <w:t xml:space="preserve"> a 1.</w:t>
      </w:r>
      <w:r w:rsidR="004343D4" w:rsidRPr="00732AF8">
        <w:rPr>
          <w:noProof/>
        </w:rPr>
        <w:t>7</w:t>
      </w:r>
      <w:r>
        <w:rPr>
          <w:noProof/>
        </w:rPr>
        <w:t xml:space="preserve"> přílohy I.</w:t>
      </w:r>
    </w:p>
    <w:p w14:paraId="0412520C" w14:textId="4CBAC9C2" w:rsidR="00C15382" w:rsidRDefault="004343D4" w:rsidP="00C15382">
      <w:pPr>
        <w:rPr>
          <w:noProof/>
        </w:rPr>
      </w:pPr>
      <w:r>
        <w:rPr>
          <w:noProof/>
        </w:rPr>
        <w:t xml:space="preserve">2. </w:t>
      </w:r>
      <w:r w:rsidR="00C15382">
        <w:rPr>
          <w:noProof/>
        </w:rPr>
        <w:t>Členské státy však mohou na svém území povolit běžný provoz:</w:t>
      </w:r>
    </w:p>
    <w:p w14:paraId="4DE253E0" w14:textId="43770201" w:rsidR="00C15382" w:rsidRDefault="00C15382" w:rsidP="00C15382">
      <w:pPr>
        <w:pStyle w:val="Point0"/>
        <w:rPr>
          <w:noProof/>
        </w:rPr>
      </w:pPr>
      <w:r>
        <w:rPr>
          <w:noProof/>
        </w:rPr>
        <w:t>a)</w:t>
      </w:r>
      <w:r>
        <w:rPr>
          <w:noProof/>
        </w:rPr>
        <w:tab/>
        <w:t>vozidel nebo souprav vozidel ve vnitrostátní přepravě zboží, pokud tato vozidla nevyhovují charakteristikám stanoveným v bod</w:t>
      </w:r>
      <w:r w:rsidR="00052BC0">
        <w:rPr>
          <w:noProof/>
        </w:rPr>
        <w:t>ě</w:t>
      </w:r>
      <w:r>
        <w:rPr>
          <w:noProof/>
        </w:rPr>
        <w:t xml:space="preserve"> 1.3, </w:t>
      </w:r>
      <w:r w:rsidR="00052BC0">
        <w:rPr>
          <w:noProof/>
        </w:rPr>
        <w:t xml:space="preserve">bodech </w:t>
      </w:r>
      <w:r>
        <w:rPr>
          <w:noProof/>
        </w:rPr>
        <w:t>2</w:t>
      </w:r>
      <w:r w:rsidR="00052BC0">
        <w:rPr>
          <w:noProof/>
        </w:rPr>
        <w:t xml:space="preserve"> a</w:t>
      </w:r>
      <w:r>
        <w:rPr>
          <w:noProof/>
        </w:rPr>
        <w:t xml:space="preserve"> 3 </w:t>
      </w:r>
      <w:r w:rsidR="00052BC0">
        <w:rPr>
          <w:noProof/>
        </w:rPr>
        <w:t xml:space="preserve">a bodech </w:t>
      </w:r>
      <w:r>
        <w:rPr>
          <w:noProof/>
        </w:rPr>
        <w:t>4.1 a 4.3 přílohy I;</w:t>
      </w:r>
    </w:p>
    <w:p w14:paraId="7EB89715" w14:textId="1128D4A2" w:rsidR="00C15382" w:rsidRDefault="00C15382" w:rsidP="00C15382">
      <w:pPr>
        <w:pStyle w:val="Point0"/>
        <w:rPr>
          <w:noProof/>
        </w:rPr>
      </w:pPr>
      <w:r>
        <w:rPr>
          <w:noProof/>
        </w:rPr>
        <w:t>b)</w:t>
      </w:r>
      <w:r>
        <w:rPr>
          <w:noProof/>
        </w:rPr>
        <w:tab/>
        <w:t>vozidel ve vnitrostátní přepravě osob, pokud tato vozidla nevyhovují charakteristikám stanoveným v bod</w:t>
      </w:r>
      <w:r w:rsidR="00DA1316">
        <w:rPr>
          <w:noProof/>
        </w:rPr>
        <w:t>ě</w:t>
      </w:r>
      <w:r>
        <w:rPr>
          <w:noProof/>
        </w:rPr>
        <w:t xml:space="preserve"> 1.3, </w:t>
      </w:r>
      <w:r w:rsidR="00DA1316">
        <w:rPr>
          <w:noProof/>
        </w:rPr>
        <w:t xml:space="preserve">bodech </w:t>
      </w:r>
      <w:r>
        <w:rPr>
          <w:noProof/>
        </w:rPr>
        <w:t>2</w:t>
      </w:r>
      <w:r w:rsidR="00DA1316">
        <w:rPr>
          <w:noProof/>
        </w:rPr>
        <w:t xml:space="preserve"> a</w:t>
      </w:r>
      <w:r>
        <w:rPr>
          <w:noProof/>
        </w:rPr>
        <w:t xml:space="preserve"> 3</w:t>
      </w:r>
      <w:r w:rsidR="00DA1316">
        <w:rPr>
          <w:noProof/>
        </w:rPr>
        <w:t xml:space="preserve"> a bodech</w:t>
      </w:r>
      <w:r>
        <w:rPr>
          <w:noProof/>
        </w:rPr>
        <w:t xml:space="preserve"> 4.1 a 4.3 přílohy I.</w:t>
      </w:r>
    </w:p>
    <w:p w14:paraId="0A88F140" w14:textId="77777777" w:rsidR="00C15382" w:rsidRPr="00046338" w:rsidRDefault="00C15382" w:rsidP="00C15382">
      <w:pPr>
        <w:pStyle w:val="CRSeparator"/>
        <w:rPr>
          <w:noProof/>
          <w:lang w:val="cs-CZ"/>
        </w:rPr>
      </w:pPr>
    </w:p>
    <w:p w14:paraId="429BD807" w14:textId="3DB3B8CB" w:rsidR="00C15382" w:rsidRPr="00046338" w:rsidRDefault="00C15382" w:rsidP="00C15382">
      <w:pPr>
        <w:pStyle w:val="CRReference"/>
        <w:rPr>
          <w:noProof/>
          <w:lang w:val="cs-CZ"/>
        </w:rPr>
      </w:pPr>
      <w:r>
        <w:rPr>
          <w:noProof/>
        </w:rPr>
        <w:fldChar w:fldCharType="begin"/>
      </w:r>
      <w:r w:rsidRPr="00046338">
        <w:rPr>
          <w:noProof/>
          <w:lang w:val="cs-CZ"/>
        </w:rPr>
        <w:instrText xml:space="preserve"> QUOTE "</w:instrText>
      </w:r>
      <w:r w:rsidRPr="00046338">
        <w:rPr>
          <w:rStyle w:val="CRMarker"/>
          <w:noProof/>
          <w:lang w:val="cs-CZ"/>
        </w:rPr>
        <w:instrText>ê</w:instrText>
      </w:r>
      <w:r w:rsidRPr="00046338">
        <w:rPr>
          <w:noProof/>
          <w:lang w:val="cs-CZ"/>
        </w:rPr>
        <w:instrText xml:space="preserve">" </w:instrText>
      </w:r>
      <w:r>
        <w:rPr>
          <w:noProof/>
        </w:rPr>
        <w:fldChar w:fldCharType="separate"/>
      </w:r>
      <w:r w:rsidRPr="00046338">
        <w:rPr>
          <w:rStyle w:val="CRMarker"/>
          <w:noProof/>
          <w:lang w:val="cs-CZ"/>
        </w:rPr>
        <w:t>ê</w:t>
      </w:r>
      <w:r>
        <w:rPr>
          <w:noProof/>
        </w:rPr>
        <w:fldChar w:fldCharType="end"/>
      </w:r>
      <w:r w:rsidR="00173BB3">
        <w:rPr>
          <w:noProof/>
          <w:lang w:val="cs-CZ"/>
        </w:rPr>
        <w:t> </w:t>
      </w:r>
      <w:r w:rsidRPr="00046338">
        <w:rPr>
          <w:noProof/>
          <w:lang w:val="cs-CZ"/>
        </w:rPr>
        <w:t>96/53</w:t>
      </w:r>
      <w:r w:rsidR="00FE3553">
        <w:rPr>
          <w:noProof/>
          <w:lang w:val="cs-CZ"/>
        </w:rPr>
        <w:t xml:space="preserve"> (přizpůsobený)</w:t>
      </w:r>
    </w:p>
    <w:p w14:paraId="6FBB4BB9" w14:textId="66721062" w:rsidR="00C15382" w:rsidRPr="00046338" w:rsidRDefault="00C15382" w:rsidP="00C15382">
      <w:pPr>
        <w:pStyle w:val="CRReference"/>
        <w:rPr>
          <w:noProof/>
          <w:lang w:val="cs-CZ"/>
        </w:rPr>
      </w:pPr>
      <w:r>
        <w:rPr>
          <w:noProof/>
        </w:rPr>
        <w:fldChar w:fldCharType="begin"/>
      </w:r>
      <w:r w:rsidRPr="00046338">
        <w:rPr>
          <w:noProof/>
          <w:lang w:val="cs-CZ"/>
        </w:rPr>
        <w:instrText xml:space="preserve"> QUOTE "</w:instrText>
      </w:r>
      <w:r w:rsidRPr="00046338">
        <w:rPr>
          <w:rStyle w:val="CRMarker"/>
          <w:noProof/>
          <w:lang w:val="cs-CZ"/>
        </w:rPr>
        <w:instrText>è</w:instrText>
      </w:r>
      <w:r w:rsidRPr="00046338">
        <w:rPr>
          <w:noProof/>
          <w:lang w:val="cs-CZ"/>
        </w:rPr>
        <w:instrText xml:space="preserve">" </w:instrText>
      </w:r>
      <w:r>
        <w:rPr>
          <w:noProof/>
        </w:rPr>
        <w:fldChar w:fldCharType="separate"/>
      </w:r>
      <w:r w:rsidRPr="00046338">
        <w:rPr>
          <w:rStyle w:val="CRMarker"/>
          <w:noProof/>
          <w:lang w:val="cs-CZ"/>
        </w:rPr>
        <w:t>è</w:t>
      </w:r>
      <w:r>
        <w:rPr>
          <w:noProof/>
        </w:rPr>
        <w:fldChar w:fldCharType="end"/>
      </w:r>
      <w:r w:rsidRPr="00046338">
        <w:rPr>
          <w:rStyle w:val="CRRefNum"/>
          <w:noProof/>
          <w:lang w:val="cs-CZ"/>
        </w:rPr>
        <w:t>1</w:t>
      </w:r>
      <w:r w:rsidRPr="00046338">
        <w:rPr>
          <w:noProof/>
          <w:lang w:val="cs-CZ"/>
        </w:rPr>
        <w:t> 2002/7</w:t>
      </w:r>
      <w:r w:rsidR="003904C1">
        <w:rPr>
          <w:noProof/>
          <w:lang w:val="cs-CZ"/>
        </w:rPr>
        <w:t xml:space="preserve"> </w:t>
      </w:r>
      <w:r w:rsidR="003904C1" w:rsidRPr="003904C1">
        <w:rPr>
          <w:noProof/>
          <w:lang w:val="cs-CZ"/>
        </w:rPr>
        <w:t xml:space="preserve">čl. 1 bod 3 písm. </w:t>
      </w:r>
      <w:r w:rsidR="003904C1">
        <w:rPr>
          <w:noProof/>
          <w:lang w:val="cs-CZ"/>
        </w:rPr>
        <w:t>b</w:t>
      </w:r>
      <w:r w:rsidR="003904C1" w:rsidRPr="003904C1">
        <w:rPr>
          <w:noProof/>
          <w:lang w:val="cs-CZ"/>
        </w:rPr>
        <w:t>)</w:t>
      </w:r>
    </w:p>
    <w:p w14:paraId="7F54E779" w14:textId="0F743854" w:rsidR="00C15382" w:rsidRDefault="00183835" w:rsidP="00C15382">
      <w:pPr>
        <w:rPr>
          <w:noProof/>
        </w:rPr>
      </w:pPr>
      <w:r>
        <w:rPr>
          <w:noProof/>
        </w:rPr>
        <w:t xml:space="preserve">3. </w:t>
      </w:r>
      <w:r w:rsidR="00C15382">
        <w:rPr>
          <w:noProof/>
        </w:rPr>
        <w:t>Vozidla nebo soupravy vozidel přesahující maximální rozměry mohou být vpuštěny do provozu pouze na základě zvláštních nediskriminujících povolení vydaných příslušnými orgány nebo na základě stejných nediskriminujících opatření schválených jednotlivě těmito orgány pro vozidla nebo soupravy vozidel přepravující nedělitelný náklad nebo určená k jeho přepravě.</w:t>
      </w:r>
    </w:p>
    <w:p w14:paraId="7741031E" w14:textId="3EB4345A" w:rsidR="00C15382" w:rsidRDefault="00183835" w:rsidP="00C15382">
      <w:pPr>
        <w:rPr>
          <w:noProof/>
        </w:rPr>
      </w:pPr>
      <w:r>
        <w:rPr>
          <w:noProof/>
        </w:rPr>
        <w:t xml:space="preserve">4. </w:t>
      </w:r>
      <w:r w:rsidR="00C15382">
        <w:rPr>
          <w:noProof/>
        </w:rPr>
        <w:t xml:space="preserve">Členské státy mohou na svém území povolit provoz </w:t>
      </w:r>
      <w:r w:rsidR="00C15382">
        <w:rPr>
          <w:noProof/>
        </w:rPr>
        <w:fldChar w:fldCharType="begin"/>
      </w:r>
      <w:r w:rsidR="00C15382">
        <w:rPr>
          <w:noProof/>
        </w:rPr>
        <w:instrText xml:space="preserve"> QUOTE "</w:instrText>
      </w:r>
      <w:r w:rsidR="00C15382">
        <w:rPr>
          <w:rStyle w:val="CRMarker"/>
          <w:noProof/>
        </w:rPr>
        <w:instrText>è</w:instrText>
      </w:r>
      <w:r w:rsidR="00C15382">
        <w:rPr>
          <w:noProof/>
        </w:rPr>
        <w:instrText xml:space="preserve">" </w:instrText>
      </w:r>
      <w:r w:rsidR="00C15382">
        <w:rPr>
          <w:noProof/>
        </w:rPr>
        <w:fldChar w:fldCharType="separate"/>
      </w:r>
      <w:r w:rsidR="00C15382">
        <w:rPr>
          <w:rStyle w:val="CRMarker"/>
          <w:noProof/>
        </w:rPr>
        <w:t>è</w:t>
      </w:r>
      <w:r w:rsidR="00C15382">
        <w:rPr>
          <w:noProof/>
        </w:rPr>
        <w:fldChar w:fldCharType="end"/>
      </w:r>
      <w:r w:rsidR="00C15382">
        <w:rPr>
          <w:rStyle w:val="CRRefNum"/>
          <w:noProof/>
        </w:rPr>
        <w:t>1</w:t>
      </w:r>
      <w:r w:rsidR="00C15382">
        <w:rPr>
          <w:noProof/>
        </w:rPr>
        <w:t xml:space="preserve"> vozidel nebo souprav vozidel provozujících určité dopravní </w:t>
      </w:r>
      <w:r w:rsidR="00FE3553" w:rsidRPr="00732AF8">
        <w:rPr>
          <w:noProof/>
        </w:rPr>
        <w:fldChar w:fldCharType="begin"/>
      </w:r>
      <w:r w:rsidR="00FE3553" w:rsidRPr="00FE3553">
        <w:rPr>
          <w:noProof/>
        </w:rPr>
        <w:instrText xml:space="preserve"> QUOTE "</w:instrText>
      </w:r>
      <w:r w:rsidR="00FE3553" w:rsidRPr="00732AF8">
        <w:rPr>
          <w:rStyle w:val="CRMarker"/>
          <w:noProof/>
        </w:rPr>
        <w:instrText>Ö</w:instrText>
      </w:r>
      <w:r w:rsidR="00FE3553" w:rsidRPr="00FE3553">
        <w:rPr>
          <w:noProof/>
        </w:rPr>
        <w:instrText xml:space="preserve">" </w:instrText>
      </w:r>
      <w:r w:rsidR="00FE3553" w:rsidRPr="00732AF8">
        <w:rPr>
          <w:noProof/>
        </w:rPr>
        <w:fldChar w:fldCharType="separate"/>
      </w:r>
      <w:r w:rsidR="00FE3553" w:rsidRPr="00732AF8">
        <w:rPr>
          <w:rStyle w:val="CRMarker"/>
          <w:noProof/>
        </w:rPr>
        <w:t>Ö</w:t>
      </w:r>
      <w:r w:rsidR="00FE3553" w:rsidRPr="00732AF8">
        <w:rPr>
          <w:noProof/>
        </w:rPr>
        <w:fldChar w:fldCharType="end"/>
      </w:r>
      <w:r w:rsidR="00FE3553" w:rsidRPr="00FE3553">
        <w:rPr>
          <w:noProof/>
        </w:rPr>
        <w:t> </w:t>
      </w:r>
      <w:r w:rsidR="00FE3553">
        <w:rPr>
          <w:noProof/>
        </w:rPr>
        <w:t>vnitrostátní</w:t>
      </w:r>
      <w:r w:rsidR="00FE3553" w:rsidRPr="00FE3553">
        <w:rPr>
          <w:noProof/>
        </w:rPr>
        <w:t> </w:t>
      </w:r>
      <w:r w:rsidR="00FE3553" w:rsidRPr="00732AF8">
        <w:rPr>
          <w:noProof/>
        </w:rPr>
        <w:fldChar w:fldCharType="begin"/>
      </w:r>
      <w:r w:rsidR="00FE3553" w:rsidRPr="00FE3553">
        <w:rPr>
          <w:noProof/>
        </w:rPr>
        <w:instrText xml:space="preserve"> QUOTE "</w:instrText>
      </w:r>
      <w:r w:rsidR="00FE3553" w:rsidRPr="00732AF8">
        <w:rPr>
          <w:rStyle w:val="CRMarker"/>
          <w:noProof/>
        </w:rPr>
        <w:instrText>Õ</w:instrText>
      </w:r>
      <w:r w:rsidR="00FE3553" w:rsidRPr="00FE3553">
        <w:rPr>
          <w:noProof/>
        </w:rPr>
        <w:instrText xml:space="preserve">" </w:instrText>
      </w:r>
      <w:r w:rsidR="00FE3553" w:rsidRPr="00732AF8">
        <w:rPr>
          <w:noProof/>
        </w:rPr>
        <w:fldChar w:fldCharType="separate"/>
      </w:r>
      <w:r w:rsidR="00FE3553" w:rsidRPr="00732AF8">
        <w:rPr>
          <w:rStyle w:val="CRMarker"/>
          <w:noProof/>
        </w:rPr>
        <w:t>Õ</w:t>
      </w:r>
      <w:r w:rsidR="00FE3553" w:rsidRPr="00732AF8">
        <w:rPr>
          <w:noProof/>
        </w:rPr>
        <w:fldChar w:fldCharType="end"/>
      </w:r>
      <w:r w:rsidR="00FE3553">
        <w:rPr>
          <w:noProof/>
        </w:rPr>
        <w:t xml:space="preserve"> </w:t>
      </w:r>
      <w:r w:rsidR="00C15382">
        <w:rPr>
          <w:noProof/>
        </w:rPr>
        <w:t>operace, které </w:t>
      </w:r>
      <w:r w:rsidR="00C15382">
        <w:rPr>
          <w:noProof/>
        </w:rPr>
        <w:fldChar w:fldCharType="begin"/>
      </w:r>
      <w:r w:rsidR="00C15382">
        <w:rPr>
          <w:noProof/>
        </w:rPr>
        <w:instrText xml:space="preserve"> QUOTE "</w:instrText>
      </w:r>
      <w:r w:rsidR="00C15382">
        <w:rPr>
          <w:rStyle w:val="CRMarker"/>
          <w:noProof/>
        </w:rPr>
        <w:instrText>ç</w:instrText>
      </w:r>
      <w:r w:rsidR="00C15382">
        <w:rPr>
          <w:noProof/>
        </w:rPr>
        <w:instrText xml:space="preserve">" </w:instrText>
      </w:r>
      <w:r w:rsidR="00C15382">
        <w:rPr>
          <w:noProof/>
        </w:rPr>
        <w:fldChar w:fldCharType="separate"/>
      </w:r>
      <w:r w:rsidR="00C15382">
        <w:rPr>
          <w:rStyle w:val="CRMarker"/>
          <w:noProof/>
        </w:rPr>
        <w:t>ç</w:t>
      </w:r>
      <w:r w:rsidR="00C15382">
        <w:rPr>
          <w:noProof/>
        </w:rPr>
        <w:fldChar w:fldCharType="end"/>
      </w:r>
      <w:r w:rsidR="00C15382">
        <w:rPr>
          <w:noProof/>
        </w:rPr>
        <w:t xml:space="preserve"> neovlivňují podstatně mezinárodní hospodářskou soutěž v odvětví dopravy a které mají rozměry přesahující rozměry stanovené v bodech 1.1, 1.2, 1.4 až 1.</w:t>
      </w:r>
      <w:r w:rsidRPr="00732AF8">
        <w:rPr>
          <w:noProof/>
        </w:rPr>
        <w:t>10</w:t>
      </w:r>
      <w:r w:rsidR="00C15382">
        <w:rPr>
          <w:noProof/>
        </w:rPr>
        <w:t>, 4.2 a 4.4 přílohy I.</w:t>
      </w:r>
    </w:p>
    <w:p w14:paraId="142180F9" w14:textId="77777777" w:rsidR="00C15382" w:rsidRDefault="00C15382" w:rsidP="00C15382">
      <w:pPr>
        <w:rPr>
          <w:noProof/>
        </w:rPr>
      </w:pPr>
      <w:r>
        <w:rPr>
          <w:noProof/>
        </w:rPr>
        <w:t>Dopravní operace se považují za neovlivňující podstatně mezinárodní hospodářskou soutěž v odvětví dopravy při splnění jedné z těchto podmínek:</w:t>
      </w:r>
    </w:p>
    <w:p w14:paraId="645D99A9" w14:textId="1C8EC049" w:rsidR="00C15382" w:rsidRDefault="00C15382" w:rsidP="00C15382">
      <w:pPr>
        <w:pStyle w:val="Point0"/>
        <w:rPr>
          <w:noProof/>
        </w:rPr>
      </w:pPr>
      <w:r>
        <w:rPr>
          <w:noProof/>
        </w:rPr>
        <w:t>a)</w:t>
      </w:r>
      <w:r>
        <w:rPr>
          <w:noProof/>
        </w:rPr>
        <w:tab/>
        <w:t>dopravní operace jsou prováděny na území členského státu specializovaným vozidlem nebo specializovanou soupravou vozidel za okolností, za kterých nejsou obvykle prováděny vozidly z ostatních členských států, například operace spojené s těžbou dřeva a lesním průmyslem;</w:t>
      </w:r>
    </w:p>
    <w:p w14:paraId="75DCD3FD" w14:textId="71C6DC04" w:rsidR="00C15382" w:rsidRDefault="00C15382" w:rsidP="00C15382">
      <w:pPr>
        <w:pStyle w:val="Point0"/>
        <w:rPr>
          <w:noProof/>
        </w:rPr>
      </w:pPr>
      <w:r>
        <w:rPr>
          <w:noProof/>
        </w:rPr>
        <w:t>b)</w:t>
      </w:r>
      <w:r>
        <w:rPr>
          <w:noProof/>
        </w:rPr>
        <w:tab/>
        <w:t>členský stát, který povolí provádět dopravní operace na svém území vozidly nebo soupravami vozidel s rozměry přesahujícími rozměry stanovené v příloze I, zároveň povoluje použití motorových vozidel, přívěsů a návěsů, které vyhovují rozměrům stanoveným v příloze I, v takových soupravách, které dosahují přinejmenším nákladové délky povolené v daném členském státě tak, aby každý provozovatel mohl těžit z rovných podmínek hospodářské soutěže (modulový přístup).</w:t>
      </w:r>
    </w:p>
    <w:p w14:paraId="553DCDE6" w14:textId="725B4A25" w:rsidR="00C15382" w:rsidRDefault="00183835" w:rsidP="00C15382">
      <w:pPr>
        <w:rPr>
          <w:noProof/>
        </w:rPr>
      </w:pPr>
      <w:r>
        <w:rPr>
          <w:noProof/>
        </w:rPr>
        <w:t xml:space="preserve">5. </w:t>
      </w:r>
      <w:r w:rsidR="00C15382">
        <w:rPr>
          <w:noProof/>
        </w:rPr>
        <w:t>Členské státy mohou povolit vozidlům nebo soupravám vozidel tvořeným novými technologiemi nebo koncepcemi, které nemohou splnit jeden nebo více požadavků této směrnice, aby po zkušební dobu prováděly určité místní dopravní operace. Členské státy o tom uvědomí Komisi.</w:t>
      </w:r>
    </w:p>
    <w:p w14:paraId="3F10C2FA" w14:textId="77777777" w:rsidR="00C15382" w:rsidRPr="00046338" w:rsidRDefault="00C15382" w:rsidP="00C15382">
      <w:pPr>
        <w:pStyle w:val="CRSeparator"/>
        <w:rPr>
          <w:noProof/>
          <w:lang w:val="cs-CZ"/>
        </w:rPr>
      </w:pPr>
    </w:p>
    <w:p w14:paraId="0114C32C" w14:textId="00E3D766" w:rsidR="00C15382" w:rsidRPr="00046338" w:rsidRDefault="00C15382" w:rsidP="00C15382">
      <w:pPr>
        <w:pStyle w:val="CRReference"/>
        <w:rPr>
          <w:noProof/>
          <w:lang w:val="cs-CZ"/>
        </w:rPr>
      </w:pPr>
      <w:r>
        <w:rPr>
          <w:noProof/>
        </w:rPr>
        <w:fldChar w:fldCharType="begin"/>
      </w:r>
      <w:r w:rsidRPr="00046338">
        <w:rPr>
          <w:noProof/>
          <w:lang w:val="cs-CZ"/>
        </w:rPr>
        <w:instrText xml:space="preserve"> QUOTE "</w:instrText>
      </w:r>
      <w:r w:rsidRPr="00046338">
        <w:rPr>
          <w:rStyle w:val="CRMarker"/>
          <w:noProof/>
          <w:lang w:val="cs-CZ"/>
        </w:rPr>
        <w:instrText>ê</w:instrText>
      </w:r>
      <w:r w:rsidRPr="00046338">
        <w:rPr>
          <w:noProof/>
          <w:lang w:val="cs-CZ"/>
        </w:rPr>
        <w:instrText xml:space="preserve">" </w:instrText>
      </w:r>
      <w:r>
        <w:rPr>
          <w:noProof/>
        </w:rPr>
        <w:fldChar w:fldCharType="separate"/>
      </w:r>
      <w:r w:rsidRPr="00046338">
        <w:rPr>
          <w:rStyle w:val="CRMarker"/>
          <w:noProof/>
          <w:lang w:val="cs-CZ"/>
        </w:rPr>
        <w:t>ê</w:t>
      </w:r>
      <w:r>
        <w:rPr>
          <w:noProof/>
        </w:rPr>
        <w:fldChar w:fldCharType="end"/>
      </w:r>
      <w:r w:rsidRPr="00046338">
        <w:rPr>
          <w:noProof/>
          <w:lang w:val="cs-CZ"/>
        </w:rPr>
        <w:t> 2015/719</w:t>
      </w:r>
      <w:r w:rsidR="009E08BF">
        <w:rPr>
          <w:noProof/>
          <w:lang w:val="cs-CZ"/>
        </w:rPr>
        <w:t xml:space="preserve"> </w:t>
      </w:r>
      <w:r w:rsidR="009E08BF" w:rsidRPr="009E08BF">
        <w:rPr>
          <w:noProof/>
          <w:lang w:val="cs-CZ"/>
        </w:rPr>
        <w:t xml:space="preserve">čl. 1 bod </w:t>
      </w:r>
      <w:r w:rsidR="009E08BF">
        <w:rPr>
          <w:noProof/>
          <w:lang w:val="cs-CZ"/>
        </w:rPr>
        <w:t>4</w:t>
      </w:r>
      <w:r w:rsidR="00A70D1E">
        <w:rPr>
          <w:noProof/>
          <w:lang w:val="cs-CZ"/>
        </w:rPr>
        <w:t xml:space="preserve"> (přizpůsobený)</w:t>
      </w:r>
    </w:p>
    <w:p w14:paraId="14901400" w14:textId="77777777" w:rsidR="00C15382" w:rsidRDefault="00C15382" w:rsidP="00C15382">
      <w:pPr>
        <w:pStyle w:val="Titrearticle"/>
        <w:rPr>
          <w:noProof/>
        </w:rPr>
      </w:pPr>
      <w:r>
        <w:rPr>
          <w:noProof/>
        </w:rPr>
        <w:t>Článek 5</w:t>
      </w:r>
    </w:p>
    <w:p w14:paraId="765C137F" w14:textId="77A7FA71" w:rsidR="00C15382" w:rsidRDefault="00C15382" w:rsidP="00C15382">
      <w:pPr>
        <w:rPr>
          <w:noProof/>
        </w:rPr>
      </w:pPr>
      <w:r>
        <w:rPr>
          <w:noProof/>
        </w:rPr>
        <w:t xml:space="preserve">Návěsové soupravy uvedené do provozu před 1. lednem 1991, které nevyhovují specifikacím </w:t>
      </w:r>
      <w:r w:rsidR="00A70D1E" w:rsidRPr="00732AF8">
        <w:rPr>
          <w:noProof/>
        </w:rPr>
        <w:fldChar w:fldCharType="begin"/>
      </w:r>
      <w:r w:rsidR="00A70D1E" w:rsidRPr="00A70D1E">
        <w:rPr>
          <w:noProof/>
        </w:rPr>
        <w:instrText xml:space="preserve"> QUOTE "</w:instrText>
      </w:r>
      <w:r w:rsidR="00A70D1E" w:rsidRPr="00732AF8">
        <w:rPr>
          <w:rStyle w:val="CRMarker"/>
          <w:noProof/>
        </w:rPr>
        <w:instrText>Ö</w:instrText>
      </w:r>
      <w:r w:rsidR="00A70D1E" w:rsidRPr="00A70D1E">
        <w:rPr>
          <w:noProof/>
        </w:rPr>
        <w:instrText xml:space="preserve">" </w:instrText>
      </w:r>
      <w:r w:rsidR="00A70D1E" w:rsidRPr="00732AF8">
        <w:rPr>
          <w:noProof/>
        </w:rPr>
        <w:fldChar w:fldCharType="separate"/>
      </w:r>
      <w:r w:rsidR="00A70D1E" w:rsidRPr="00732AF8">
        <w:rPr>
          <w:rStyle w:val="CRMarker"/>
          <w:noProof/>
        </w:rPr>
        <w:t>Ö</w:t>
      </w:r>
      <w:r w:rsidR="00A70D1E" w:rsidRPr="00732AF8">
        <w:rPr>
          <w:noProof/>
        </w:rPr>
        <w:fldChar w:fldCharType="end"/>
      </w:r>
      <w:r w:rsidR="00A70D1E" w:rsidRPr="00A70D1E">
        <w:rPr>
          <w:noProof/>
        </w:rPr>
        <w:t> </w:t>
      </w:r>
      <w:r w:rsidR="00A70D1E">
        <w:rPr>
          <w:noProof/>
        </w:rPr>
        <w:t>stanoveným</w:t>
      </w:r>
      <w:r w:rsidR="00A70D1E" w:rsidRPr="00A70D1E">
        <w:rPr>
          <w:noProof/>
        </w:rPr>
        <w:t> </w:t>
      </w:r>
      <w:r w:rsidR="00A70D1E" w:rsidRPr="00732AF8">
        <w:rPr>
          <w:noProof/>
        </w:rPr>
        <w:fldChar w:fldCharType="begin"/>
      </w:r>
      <w:r w:rsidR="00A70D1E" w:rsidRPr="00A70D1E">
        <w:rPr>
          <w:noProof/>
        </w:rPr>
        <w:instrText xml:space="preserve"> QUOTE "</w:instrText>
      </w:r>
      <w:r w:rsidR="00A70D1E" w:rsidRPr="00732AF8">
        <w:rPr>
          <w:rStyle w:val="CRMarker"/>
          <w:noProof/>
        </w:rPr>
        <w:instrText>Õ</w:instrText>
      </w:r>
      <w:r w:rsidR="00A70D1E" w:rsidRPr="00A70D1E">
        <w:rPr>
          <w:noProof/>
        </w:rPr>
        <w:instrText xml:space="preserve">" </w:instrText>
      </w:r>
      <w:r w:rsidR="00A70D1E" w:rsidRPr="00732AF8">
        <w:rPr>
          <w:noProof/>
        </w:rPr>
        <w:fldChar w:fldCharType="separate"/>
      </w:r>
      <w:r w:rsidR="00A70D1E" w:rsidRPr="00732AF8">
        <w:rPr>
          <w:rStyle w:val="CRMarker"/>
          <w:noProof/>
        </w:rPr>
        <w:t>Õ</w:t>
      </w:r>
      <w:r w:rsidR="00A70D1E" w:rsidRPr="00732AF8">
        <w:rPr>
          <w:noProof/>
        </w:rPr>
        <w:fldChar w:fldCharType="end"/>
      </w:r>
      <w:r w:rsidR="00A70D1E" w:rsidRPr="00A70D1E">
        <w:rPr>
          <w:noProof/>
        </w:rPr>
        <w:t xml:space="preserve"> </w:t>
      </w:r>
      <w:r>
        <w:rPr>
          <w:noProof/>
        </w:rPr>
        <w:t>v bodech 1.</w:t>
      </w:r>
      <w:r w:rsidR="009E08BF" w:rsidRPr="00732AF8">
        <w:rPr>
          <w:noProof/>
        </w:rPr>
        <w:t>8</w:t>
      </w:r>
      <w:r>
        <w:rPr>
          <w:noProof/>
        </w:rPr>
        <w:t xml:space="preserve"> a 4.4 přílohy I, se pro účely článku 3 považují za vyhovující těmto specifikacím, pokud nepřesahují celkovou délku 15,50 m.</w:t>
      </w:r>
    </w:p>
    <w:p w14:paraId="4564F020" w14:textId="77777777" w:rsidR="00C15382" w:rsidRPr="00046338" w:rsidRDefault="00C15382" w:rsidP="00C15382">
      <w:pPr>
        <w:pStyle w:val="CRSeparator"/>
        <w:rPr>
          <w:noProof/>
          <w:lang w:val="cs-CZ"/>
        </w:rPr>
      </w:pPr>
    </w:p>
    <w:p w14:paraId="4C5CDCF5" w14:textId="13AE3DD1" w:rsidR="00C15382" w:rsidRPr="00046338" w:rsidRDefault="00C15382" w:rsidP="00C15382">
      <w:pPr>
        <w:pStyle w:val="CRReference"/>
        <w:rPr>
          <w:noProof/>
          <w:lang w:val="cs-CZ"/>
        </w:rPr>
      </w:pPr>
      <w:r>
        <w:rPr>
          <w:noProof/>
        </w:rPr>
        <w:fldChar w:fldCharType="begin"/>
      </w:r>
      <w:r w:rsidRPr="00046338">
        <w:rPr>
          <w:noProof/>
          <w:lang w:val="cs-CZ"/>
        </w:rPr>
        <w:instrText xml:space="preserve"> QUOTE "</w:instrText>
      </w:r>
      <w:r w:rsidRPr="00046338">
        <w:rPr>
          <w:rStyle w:val="CRMarker"/>
          <w:noProof/>
          <w:lang w:val="cs-CZ"/>
        </w:rPr>
        <w:instrText>ê</w:instrText>
      </w:r>
      <w:r w:rsidRPr="00046338">
        <w:rPr>
          <w:noProof/>
          <w:lang w:val="cs-CZ"/>
        </w:rPr>
        <w:instrText xml:space="preserve">" </w:instrText>
      </w:r>
      <w:r>
        <w:rPr>
          <w:noProof/>
        </w:rPr>
        <w:fldChar w:fldCharType="separate"/>
      </w:r>
      <w:r w:rsidRPr="00046338">
        <w:rPr>
          <w:rStyle w:val="CRMarker"/>
          <w:noProof/>
          <w:lang w:val="cs-CZ"/>
        </w:rPr>
        <w:t>ê</w:t>
      </w:r>
      <w:r>
        <w:rPr>
          <w:noProof/>
        </w:rPr>
        <w:fldChar w:fldCharType="end"/>
      </w:r>
      <w:r w:rsidR="009E08BF">
        <w:rPr>
          <w:noProof/>
          <w:lang w:val="cs-CZ"/>
        </w:rPr>
        <w:t> </w:t>
      </w:r>
      <w:r w:rsidRPr="00046338">
        <w:rPr>
          <w:noProof/>
          <w:lang w:val="cs-CZ"/>
        </w:rPr>
        <w:t>96/53</w:t>
      </w:r>
      <w:r w:rsidR="005D77DC">
        <w:rPr>
          <w:noProof/>
          <w:lang w:val="cs-CZ"/>
        </w:rPr>
        <w:t xml:space="preserve"> (přizpůsobený)</w:t>
      </w:r>
    </w:p>
    <w:p w14:paraId="21957AF9" w14:textId="77777777" w:rsidR="00C15382" w:rsidRDefault="00C15382" w:rsidP="00C15382">
      <w:pPr>
        <w:pStyle w:val="Titrearticle"/>
        <w:rPr>
          <w:noProof/>
        </w:rPr>
      </w:pPr>
      <w:r>
        <w:rPr>
          <w:noProof/>
        </w:rPr>
        <w:t>Článek 6</w:t>
      </w:r>
    </w:p>
    <w:p w14:paraId="7E9B5F5F" w14:textId="3945BA14" w:rsidR="00C15382" w:rsidRDefault="007049DD" w:rsidP="00C15382">
      <w:pPr>
        <w:rPr>
          <w:noProof/>
        </w:rPr>
      </w:pPr>
      <w:r>
        <w:rPr>
          <w:noProof/>
        </w:rPr>
        <w:t xml:space="preserve">1. </w:t>
      </w:r>
      <w:r w:rsidR="00C15382">
        <w:rPr>
          <w:noProof/>
        </w:rPr>
        <w:t>Členské státy přijmou opatření nezbytná k zajištění, aby vozidla uvedená v článku 1, která jsou v souladu s touto směrnicí, byla opatřena jedním z těchto důkazů:</w:t>
      </w:r>
    </w:p>
    <w:p w14:paraId="29A6B334" w14:textId="3BF8C161" w:rsidR="00C15382" w:rsidRDefault="00C15382" w:rsidP="00C15382">
      <w:pPr>
        <w:pStyle w:val="Point0"/>
        <w:rPr>
          <w:noProof/>
        </w:rPr>
      </w:pPr>
      <w:r>
        <w:rPr>
          <w:noProof/>
        </w:rPr>
        <w:t>a)</w:t>
      </w:r>
      <w:r>
        <w:rPr>
          <w:noProof/>
        </w:rPr>
        <w:tab/>
        <w:t>kombinací těchto dvou štítků:</w:t>
      </w:r>
    </w:p>
    <w:p w14:paraId="7B3596BF" w14:textId="5E252A14" w:rsidR="00C15382" w:rsidRDefault="00C15382" w:rsidP="004E1E33">
      <w:pPr>
        <w:pStyle w:val="Tiret1"/>
        <w:numPr>
          <w:ilvl w:val="0"/>
          <w:numId w:val="2"/>
        </w:numPr>
        <w:autoSpaceDE w:val="0"/>
        <w:autoSpaceDN w:val="0"/>
        <w:ind w:left="1418" w:hanging="567"/>
        <w:rPr>
          <w:noProof/>
        </w:rPr>
      </w:pPr>
      <w:r>
        <w:rPr>
          <w:noProof/>
        </w:rPr>
        <w:t>„</w:t>
      </w:r>
      <w:r w:rsidR="00397D95" w:rsidRPr="00732AF8">
        <w:rPr>
          <w:noProof/>
        </w:rPr>
        <w:fldChar w:fldCharType="begin"/>
      </w:r>
      <w:r w:rsidR="00397D95" w:rsidRPr="00397D95">
        <w:rPr>
          <w:noProof/>
        </w:rPr>
        <w:instrText xml:space="preserve"> QUOTE "</w:instrText>
      </w:r>
      <w:r w:rsidR="00397D95" w:rsidRPr="00397D95">
        <w:rPr>
          <w:rStyle w:val="CRMarker"/>
          <w:noProof/>
        </w:rPr>
        <w:instrText>Ö</w:instrText>
      </w:r>
      <w:r w:rsidR="00397D95" w:rsidRPr="00397D95">
        <w:rPr>
          <w:noProof/>
        </w:rPr>
        <w:instrText xml:space="preserve">" </w:instrText>
      </w:r>
      <w:r w:rsidR="00397D95" w:rsidRPr="00732AF8">
        <w:rPr>
          <w:noProof/>
        </w:rPr>
        <w:fldChar w:fldCharType="separate"/>
      </w:r>
      <w:r w:rsidR="00397D95" w:rsidRPr="00397D95">
        <w:rPr>
          <w:rStyle w:val="CRMarker"/>
          <w:noProof/>
        </w:rPr>
        <w:t>Ö</w:t>
      </w:r>
      <w:r w:rsidR="00397D95" w:rsidRPr="00732AF8">
        <w:rPr>
          <w:noProof/>
        </w:rPr>
        <w:fldChar w:fldCharType="end"/>
      </w:r>
      <w:r w:rsidR="00397D95" w:rsidRPr="00397D95">
        <w:rPr>
          <w:noProof/>
        </w:rPr>
        <w:t> povinného </w:t>
      </w:r>
      <w:r w:rsidR="00397D95" w:rsidRPr="00732AF8">
        <w:rPr>
          <w:noProof/>
        </w:rPr>
        <w:fldChar w:fldCharType="begin"/>
      </w:r>
      <w:r w:rsidR="00397D95" w:rsidRPr="00397D95">
        <w:rPr>
          <w:noProof/>
        </w:rPr>
        <w:instrText xml:space="preserve"> QUOTE "</w:instrText>
      </w:r>
      <w:r w:rsidR="00397D95" w:rsidRPr="00397D95">
        <w:rPr>
          <w:rStyle w:val="CRMarker"/>
          <w:noProof/>
        </w:rPr>
        <w:instrText>Õ</w:instrText>
      </w:r>
      <w:r w:rsidR="00397D95" w:rsidRPr="00397D95">
        <w:rPr>
          <w:noProof/>
        </w:rPr>
        <w:instrText xml:space="preserve">" </w:instrText>
      </w:r>
      <w:r w:rsidR="00397D95" w:rsidRPr="00732AF8">
        <w:rPr>
          <w:noProof/>
        </w:rPr>
        <w:fldChar w:fldCharType="separate"/>
      </w:r>
      <w:r w:rsidR="00397D95" w:rsidRPr="00397D95">
        <w:rPr>
          <w:rStyle w:val="CRMarker"/>
          <w:noProof/>
        </w:rPr>
        <w:t>Õ</w:t>
      </w:r>
      <w:r w:rsidR="00397D95" w:rsidRPr="00732AF8">
        <w:rPr>
          <w:noProof/>
        </w:rPr>
        <w:fldChar w:fldCharType="end"/>
      </w:r>
      <w:r w:rsidR="00397D95" w:rsidRPr="00397D95">
        <w:rPr>
          <w:noProof/>
        </w:rPr>
        <w:t xml:space="preserve"> </w:t>
      </w:r>
      <w:r w:rsidRPr="00397D95">
        <w:rPr>
          <w:noProof/>
        </w:rPr>
        <w:t>štítku</w:t>
      </w:r>
      <w:r w:rsidR="00397D95">
        <w:rPr>
          <w:noProof/>
        </w:rPr>
        <w:t xml:space="preserve"> </w:t>
      </w:r>
      <w:r w:rsidR="00397D95" w:rsidRPr="00375401">
        <w:rPr>
          <w:noProof/>
        </w:rPr>
        <w:fldChar w:fldCharType="begin"/>
      </w:r>
      <w:r w:rsidR="00397D95" w:rsidRPr="00375401">
        <w:rPr>
          <w:noProof/>
        </w:rPr>
        <w:instrText xml:space="preserve"> QUOTE "</w:instrText>
      </w:r>
      <w:r w:rsidR="00397D95" w:rsidRPr="00375401">
        <w:rPr>
          <w:rStyle w:val="CRMarker"/>
          <w:noProof/>
        </w:rPr>
        <w:instrText>Ö</w:instrText>
      </w:r>
      <w:r w:rsidR="00397D95" w:rsidRPr="00375401">
        <w:rPr>
          <w:noProof/>
        </w:rPr>
        <w:instrText xml:space="preserve">" </w:instrText>
      </w:r>
      <w:r w:rsidR="00397D95" w:rsidRPr="00375401">
        <w:rPr>
          <w:noProof/>
        </w:rPr>
        <w:fldChar w:fldCharType="separate"/>
      </w:r>
      <w:r w:rsidR="00397D95" w:rsidRPr="00375401">
        <w:rPr>
          <w:rStyle w:val="CRMarker"/>
          <w:noProof/>
        </w:rPr>
        <w:t>Ö</w:t>
      </w:r>
      <w:r w:rsidR="00397D95" w:rsidRPr="00375401">
        <w:rPr>
          <w:noProof/>
        </w:rPr>
        <w:fldChar w:fldCharType="end"/>
      </w:r>
      <w:r w:rsidR="00397D95" w:rsidRPr="00375401">
        <w:rPr>
          <w:noProof/>
        </w:rPr>
        <w:t> </w:t>
      </w:r>
      <w:r w:rsidR="00397D95">
        <w:rPr>
          <w:noProof/>
        </w:rPr>
        <w:t>výrobce</w:t>
      </w:r>
      <w:r w:rsidR="00397D95" w:rsidRPr="00375401">
        <w:rPr>
          <w:noProof/>
        </w:rPr>
        <w:t> </w:t>
      </w:r>
      <w:r w:rsidR="00397D95" w:rsidRPr="00375401">
        <w:rPr>
          <w:noProof/>
        </w:rPr>
        <w:fldChar w:fldCharType="begin"/>
      </w:r>
      <w:r w:rsidR="00397D95" w:rsidRPr="00375401">
        <w:rPr>
          <w:noProof/>
        </w:rPr>
        <w:instrText xml:space="preserve"> QUOTE "</w:instrText>
      </w:r>
      <w:r w:rsidR="00397D95" w:rsidRPr="00375401">
        <w:rPr>
          <w:rStyle w:val="CRMarker"/>
          <w:noProof/>
        </w:rPr>
        <w:instrText>Õ</w:instrText>
      </w:r>
      <w:r w:rsidR="00397D95" w:rsidRPr="00375401">
        <w:rPr>
          <w:noProof/>
        </w:rPr>
        <w:instrText xml:space="preserve">" </w:instrText>
      </w:r>
      <w:r w:rsidR="00397D95" w:rsidRPr="00375401">
        <w:rPr>
          <w:noProof/>
        </w:rPr>
        <w:fldChar w:fldCharType="separate"/>
      </w:r>
      <w:r w:rsidR="00397D95" w:rsidRPr="00375401">
        <w:rPr>
          <w:rStyle w:val="CRMarker"/>
          <w:noProof/>
        </w:rPr>
        <w:t>Õ</w:t>
      </w:r>
      <w:r w:rsidR="00397D95" w:rsidRPr="00375401">
        <w:rPr>
          <w:noProof/>
        </w:rPr>
        <w:fldChar w:fldCharType="end"/>
      </w:r>
      <w:r>
        <w:rPr>
          <w:noProof/>
        </w:rPr>
        <w:t>“ stanoveného a připevněného v souladu s</w:t>
      </w:r>
      <w:r w:rsidR="00732AF8">
        <w:rPr>
          <w:noProof/>
        </w:rPr>
        <w:t xml:space="preserve"> </w:t>
      </w:r>
      <w:r w:rsidR="00471E0B" w:rsidRPr="00732AF8">
        <w:rPr>
          <w:noProof/>
        </w:rPr>
        <w:t>n</w:t>
      </w:r>
      <w:r w:rsidR="007049DD" w:rsidRPr="00732AF8">
        <w:rPr>
          <w:noProof/>
        </w:rPr>
        <w:t>ařízení</w:t>
      </w:r>
      <w:r w:rsidR="00397D95" w:rsidRPr="00732AF8">
        <w:rPr>
          <w:noProof/>
        </w:rPr>
        <w:t>m</w:t>
      </w:r>
      <w:r w:rsidR="002E3379">
        <w:rPr>
          <w:noProof/>
        </w:rPr>
        <w:t xml:space="preserve"> Komise (EU) č. </w:t>
      </w:r>
      <w:r w:rsidR="007049DD" w:rsidRPr="00732AF8">
        <w:rPr>
          <w:noProof/>
        </w:rPr>
        <w:t>19/2011</w:t>
      </w:r>
      <w:r w:rsidR="007049DD" w:rsidRPr="00732AF8">
        <w:rPr>
          <w:rStyle w:val="FootnoteReference"/>
          <w:noProof/>
        </w:rPr>
        <w:footnoteReference w:id="16"/>
      </w:r>
      <w:r>
        <w:rPr>
          <w:noProof/>
        </w:rPr>
        <w:t>,</w:t>
      </w:r>
    </w:p>
    <w:p w14:paraId="51E51AD1" w14:textId="2D29766F" w:rsidR="00C15382" w:rsidRDefault="00C15382" w:rsidP="004E1E33">
      <w:pPr>
        <w:pStyle w:val="Tiret1"/>
        <w:numPr>
          <w:ilvl w:val="0"/>
          <w:numId w:val="2"/>
        </w:numPr>
        <w:autoSpaceDE w:val="0"/>
        <w:autoSpaceDN w:val="0"/>
        <w:ind w:left="1418" w:hanging="567"/>
        <w:rPr>
          <w:noProof/>
        </w:rPr>
      </w:pPr>
      <w:r>
        <w:rPr>
          <w:noProof/>
        </w:rPr>
        <w:t xml:space="preserve">štítku rozměrů v souladu s přílohou III </w:t>
      </w:r>
      <w:r w:rsidR="00C75B49" w:rsidRPr="00715A58">
        <w:rPr>
          <w:noProof/>
        </w:rPr>
        <w:fldChar w:fldCharType="begin"/>
      </w:r>
      <w:r w:rsidR="00C75B49" w:rsidRPr="00397D95">
        <w:rPr>
          <w:noProof/>
        </w:rPr>
        <w:instrText xml:space="preserve"> QUOTE "</w:instrText>
      </w:r>
      <w:r w:rsidR="00C75B49" w:rsidRPr="00397D95">
        <w:rPr>
          <w:rStyle w:val="CRMarker"/>
          <w:noProof/>
        </w:rPr>
        <w:instrText>Ö</w:instrText>
      </w:r>
      <w:r w:rsidR="00C75B49" w:rsidRPr="00397D95">
        <w:rPr>
          <w:noProof/>
        </w:rPr>
        <w:instrText xml:space="preserve">" </w:instrText>
      </w:r>
      <w:r w:rsidR="00C75B49" w:rsidRPr="00715A58">
        <w:rPr>
          <w:noProof/>
        </w:rPr>
        <w:fldChar w:fldCharType="separate"/>
      </w:r>
      <w:r w:rsidR="00C75B49" w:rsidRPr="00397D95">
        <w:rPr>
          <w:rStyle w:val="CRMarker"/>
          <w:noProof/>
        </w:rPr>
        <w:t>Ö</w:t>
      </w:r>
      <w:r w:rsidR="00C75B49" w:rsidRPr="00715A58">
        <w:rPr>
          <w:noProof/>
        </w:rPr>
        <w:fldChar w:fldCharType="end"/>
      </w:r>
      <w:r w:rsidR="00C75B49" w:rsidRPr="00397D95">
        <w:rPr>
          <w:noProof/>
        </w:rPr>
        <w:t> </w:t>
      </w:r>
      <w:r w:rsidR="00C75B49">
        <w:rPr>
          <w:noProof/>
        </w:rPr>
        <w:t>této směrnice</w:t>
      </w:r>
      <w:r w:rsidR="00C75B49" w:rsidRPr="00397D95">
        <w:rPr>
          <w:noProof/>
        </w:rPr>
        <w:t> </w:t>
      </w:r>
      <w:r w:rsidR="00C75B49" w:rsidRPr="00715A58">
        <w:rPr>
          <w:noProof/>
        </w:rPr>
        <w:fldChar w:fldCharType="begin"/>
      </w:r>
      <w:r w:rsidR="00C75B49" w:rsidRPr="00397D95">
        <w:rPr>
          <w:noProof/>
        </w:rPr>
        <w:instrText xml:space="preserve"> QUOTE "</w:instrText>
      </w:r>
      <w:r w:rsidR="00C75B49" w:rsidRPr="00397D95">
        <w:rPr>
          <w:rStyle w:val="CRMarker"/>
          <w:noProof/>
        </w:rPr>
        <w:instrText>Õ</w:instrText>
      </w:r>
      <w:r w:rsidR="00C75B49" w:rsidRPr="00397D95">
        <w:rPr>
          <w:noProof/>
        </w:rPr>
        <w:instrText xml:space="preserve">" </w:instrText>
      </w:r>
      <w:r w:rsidR="00C75B49" w:rsidRPr="00715A58">
        <w:rPr>
          <w:noProof/>
        </w:rPr>
        <w:fldChar w:fldCharType="separate"/>
      </w:r>
      <w:r w:rsidR="00C75B49" w:rsidRPr="00397D95">
        <w:rPr>
          <w:rStyle w:val="CRMarker"/>
          <w:noProof/>
        </w:rPr>
        <w:t>Õ</w:t>
      </w:r>
      <w:r w:rsidR="00C75B49" w:rsidRPr="00715A58">
        <w:rPr>
          <w:noProof/>
        </w:rPr>
        <w:fldChar w:fldCharType="end"/>
      </w:r>
      <w:r w:rsidR="00C75B49">
        <w:rPr>
          <w:noProof/>
        </w:rPr>
        <w:t xml:space="preserve"> </w:t>
      </w:r>
      <w:r>
        <w:rPr>
          <w:noProof/>
        </w:rPr>
        <w:t xml:space="preserve">stanoveného a připevněného v souladu s </w:t>
      </w:r>
      <w:r w:rsidR="00186950" w:rsidRPr="00732AF8">
        <w:rPr>
          <w:noProof/>
        </w:rPr>
        <w:t>nařízení</w:t>
      </w:r>
      <w:r w:rsidR="00397D95" w:rsidRPr="00732AF8">
        <w:rPr>
          <w:noProof/>
        </w:rPr>
        <w:t>m</w:t>
      </w:r>
      <w:r w:rsidR="00186950" w:rsidRPr="00732AF8">
        <w:rPr>
          <w:noProof/>
        </w:rPr>
        <w:t xml:space="preserve"> (</w:t>
      </w:r>
      <w:r w:rsidR="002E3379">
        <w:rPr>
          <w:noProof/>
        </w:rPr>
        <w:t>EU) č. </w:t>
      </w:r>
      <w:r w:rsidR="00186950" w:rsidRPr="00732AF8">
        <w:rPr>
          <w:noProof/>
        </w:rPr>
        <w:t>19/2011</w:t>
      </w:r>
      <w:r>
        <w:rPr>
          <w:noProof/>
        </w:rPr>
        <w:t>;</w:t>
      </w:r>
    </w:p>
    <w:p w14:paraId="5D42A076" w14:textId="1F7CC480" w:rsidR="00C15382" w:rsidRDefault="00C15382" w:rsidP="00C15382">
      <w:pPr>
        <w:pStyle w:val="Point0"/>
        <w:rPr>
          <w:noProof/>
        </w:rPr>
      </w:pPr>
      <w:r>
        <w:rPr>
          <w:noProof/>
        </w:rPr>
        <w:t>b)</w:t>
      </w:r>
      <w:r>
        <w:rPr>
          <w:noProof/>
        </w:rPr>
        <w:tab/>
        <w:t xml:space="preserve">jedním štítkem stanoveným a připevněným v souladu s </w:t>
      </w:r>
      <w:r w:rsidR="00471E0B" w:rsidRPr="00732AF8">
        <w:rPr>
          <w:noProof/>
        </w:rPr>
        <w:t>nařízení</w:t>
      </w:r>
      <w:r w:rsidR="00374724" w:rsidRPr="00732AF8">
        <w:rPr>
          <w:noProof/>
        </w:rPr>
        <w:t>m</w:t>
      </w:r>
      <w:r w:rsidR="002E3379">
        <w:rPr>
          <w:noProof/>
        </w:rPr>
        <w:t xml:space="preserve"> (EU) č. </w:t>
      </w:r>
      <w:r w:rsidR="00471E0B" w:rsidRPr="00732AF8">
        <w:rPr>
          <w:noProof/>
        </w:rPr>
        <w:t>19/2011</w:t>
      </w:r>
      <w:r>
        <w:rPr>
          <w:noProof/>
        </w:rPr>
        <w:t xml:space="preserve"> a obsahujícím informace obou štítků uvedených </w:t>
      </w:r>
      <w:r w:rsidR="00F26B28">
        <w:rPr>
          <w:noProof/>
        </w:rPr>
        <w:t>v</w:t>
      </w:r>
      <w:r>
        <w:rPr>
          <w:noProof/>
        </w:rPr>
        <w:t xml:space="preserve"> písmen</w:t>
      </w:r>
      <w:r w:rsidR="00F26B28">
        <w:rPr>
          <w:noProof/>
        </w:rPr>
        <w:t>u</w:t>
      </w:r>
      <w:r>
        <w:rPr>
          <w:noProof/>
        </w:rPr>
        <w:t xml:space="preserve"> a);</w:t>
      </w:r>
    </w:p>
    <w:p w14:paraId="6012B538" w14:textId="742A4D8A" w:rsidR="00C15382" w:rsidRDefault="00C15382" w:rsidP="00C15382">
      <w:pPr>
        <w:pStyle w:val="Point0"/>
        <w:rPr>
          <w:noProof/>
        </w:rPr>
      </w:pPr>
      <w:r>
        <w:rPr>
          <w:noProof/>
        </w:rPr>
        <w:t>c)</w:t>
      </w:r>
      <w:r>
        <w:rPr>
          <w:noProof/>
        </w:rPr>
        <w:tab/>
        <w:t>jedním dokladem vydaným příslušnými orgány členského státu, ve kterém je vozidlo registrováno nebo uvedeno do provozu. Tento doklad má stejná záhlaví a informace jako štítky uvedené v písmenu a). Je uchováván na místě snadno dostupném kontrole a přiměřeně chráněn.</w:t>
      </w:r>
    </w:p>
    <w:p w14:paraId="48BF03D4" w14:textId="6E4AF53C" w:rsidR="00C15382" w:rsidRDefault="00673ED5" w:rsidP="00C15382">
      <w:pPr>
        <w:rPr>
          <w:noProof/>
        </w:rPr>
      </w:pPr>
      <w:r>
        <w:rPr>
          <w:noProof/>
        </w:rPr>
        <w:t xml:space="preserve">2. </w:t>
      </w:r>
      <w:r w:rsidR="00C15382">
        <w:rPr>
          <w:noProof/>
        </w:rPr>
        <w:t>Pokud charakteristiky vozidla již neodpovídají charakteristikám uvedeným v důkazu souladu, přijme členský stát, ve kterém je vozidlo registrováno, nezbytná opatření ke změně důkazu shody.</w:t>
      </w:r>
    </w:p>
    <w:p w14:paraId="6302B7BA" w14:textId="608CD160" w:rsidR="00C15382" w:rsidRDefault="00673ED5" w:rsidP="00C15382">
      <w:pPr>
        <w:rPr>
          <w:noProof/>
        </w:rPr>
      </w:pPr>
      <w:r>
        <w:rPr>
          <w:noProof/>
        </w:rPr>
        <w:t xml:space="preserve">3. </w:t>
      </w:r>
      <w:r w:rsidR="00C15382">
        <w:rPr>
          <w:noProof/>
        </w:rPr>
        <w:t>Štítky a doklady podle odstavce 1 jsou uznávány členskými státy jako důkaz shody ve smyslu této směrnice.</w:t>
      </w:r>
    </w:p>
    <w:p w14:paraId="7A4F40FE" w14:textId="2AE3239B" w:rsidR="00C15382" w:rsidRDefault="00C15382" w:rsidP="00C15382">
      <w:pPr>
        <w:rPr>
          <w:noProof/>
        </w:rPr>
      </w:pPr>
      <w:r>
        <w:rPr>
          <w:noProof/>
        </w:rPr>
        <w:t>4.</w:t>
      </w:r>
      <w:r>
        <w:rPr>
          <w:noProof/>
        </w:rPr>
        <w:tab/>
        <w:t>Vozidla nesoucí důkaz shody mohou podléhat</w:t>
      </w:r>
      <w:r w:rsidR="00367075">
        <w:rPr>
          <w:noProof/>
        </w:rPr>
        <w:t>:</w:t>
      </w:r>
    </w:p>
    <w:p w14:paraId="4D7D5C17" w14:textId="11E53C49" w:rsidR="00C15382" w:rsidRDefault="00673ED5" w:rsidP="00673ED5">
      <w:pPr>
        <w:pStyle w:val="Point0"/>
        <w:rPr>
          <w:noProof/>
        </w:rPr>
      </w:pPr>
      <w:r w:rsidRPr="00732AF8">
        <w:rPr>
          <w:noProof/>
        </w:rPr>
        <w:t>a)</w:t>
      </w:r>
      <w:r>
        <w:rPr>
          <w:noProof/>
        </w:rPr>
        <w:tab/>
      </w:r>
      <w:r w:rsidR="00C15382">
        <w:rPr>
          <w:noProof/>
        </w:rPr>
        <w:t>pokud jde o společné normy hmotnosti, namátkovým kontrolám</w:t>
      </w:r>
      <w:r w:rsidRPr="00732AF8">
        <w:rPr>
          <w:noProof/>
        </w:rPr>
        <w:t>;</w:t>
      </w:r>
    </w:p>
    <w:p w14:paraId="5D42B618" w14:textId="0BD64830" w:rsidR="00C15382" w:rsidRDefault="00673ED5" w:rsidP="005D77DC">
      <w:pPr>
        <w:pStyle w:val="Point0"/>
        <w:rPr>
          <w:noProof/>
        </w:rPr>
      </w:pPr>
      <w:r w:rsidRPr="00732AF8">
        <w:rPr>
          <w:noProof/>
        </w:rPr>
        <w:t>b)</w:t>
      </w:r>
      <w:r>
        <w:rPr>
          <w:noProof/>
        </w:rPr>
        <w:tab/>
      </w:r>
      <w:r w:rsidR="00C15382">
        <w:rPr>
          <w:noProof/>
        </w:rPr>
        <w:t>pokud jde o společné normy rozměrů, pouze kontrolám při podezření na nesoulad s touto směrnicí.</w:t>
      </w:r>
    </w:p>
    <w:p w14:paraId="6350AB75" w14:textId="1B8A90DA" w:rsidR="00C15382" w:rsidRDefault="005D77DC" w:rsidP="00C15382">
      <w:pPr>
        <w:rPr>
          <w:noProof/>
        </w:rPr>
      </w:pPr>
      <w:r>
        <w:rPr>
          <w:noProof/>
        </w:rPr>
        <w:t xml:space="preserve">5. </w:t>
      </w:r>
      <w:r w:rsidR="00C15382">
        <w:rPr>
          <w:noProof/>
        </w:rPr>
        <w:t>Prostřední sloupec důkazu shody vztahující se k hmotnostem</w:t>
      </w:r>
      <w:r w:rsidR="00367075">
        <w:rPr>
          <w:noProof/>
        </w:rPr>
        <w:t xml:space="preserve"> případně uvádí normy hmotnosti</w:t>
      </w:r>
      <w:r w:rsidR="00C15382">
        <w:rPr>
          <w:noProof/>
        </w:rPr>
        <w:t xml:space="preserve"> </w:t>
      </w:r>
      <w:r w:rsidRPr="005D77DC">
        <w:rPr>
          <w:noProof/>
        </w:rPr>
        <w:fldChar w:fldCharType="begin"/>
      </w:r>
      <w:r w:rsidRPr="005D77DC">
        <w:rPr>
          <w:noProof/>
        </w:rPr>
        <w:instrText xml:space="preserve"> QUOTE "</w:instrText>
      </w:r>
      <w:r w:rsidRPr="00732AF8">
        <w:rPr>
          <w:rStyle w:val="CRMarker"/>
          <w:noProof/>
        </w:rPr>
        <w:instrText>Ö</w:instrText>
      </w:r>
      <w:r w:rsidRPr="005D77DC">
        <w:rPr>
          <w:noProof/>
        </w:rPr>
        <w:instrText xml:space="preserve">" </w:instrText>
      </w:r>
      <w:r w:rsidRPr="005D77DC">
        <w:rPr>
          <w:noProof/>
        </w:rPr>
        <w:fldChar w:fldCharType="separate"/>
      </w:r>
      <w:r w:rsidRPr="00732AF8">
        <w:rPr>
          <w:rStyle w:val="CRMarker"/>
          <w:noProof/>
        </w:rPr>
        <w:t>Ö</w:t>
      </w:r>
      <w:r w:rsidRPr="005D77DC">
        <w:rPr>
          <w:noProof/>
        </w:rPr>
        <w:fldChar w:fldCharType="end"/>
      </w:r>
      <w:r w:rsidRPr="005D77DC">
        <w:rPr>
          <w:noProof/>
        </w:rPr>
        <w:t> Un</w:t>
      </w:r>
      <w:r w:rsidRPr="006C0C35">
        <w:rPr>
          <w:noProof/>
        </w:rPr>
        <w:t>ie</w:t>
      </w:r>
      <w:r w:rsidRPr="005D77DC">
        <w:rPr>
          <w:noProof/>
        </w:rPr>
        <w:t> </w:t>
      </w:r>
      <w:r w:rsidRPr="005D77DC">
        <w:rPr>
          <w:noProof/>
        </w:rPr>
        <w:fldChar w:fldCharType="begin"/>
      </w:r>
      <w:r w:rsidRPr="005D77DC">
        <w:rPr>
          <w:noProof/>
        </w:rPr>
        <w:instrText xml:space="preserve"> QUOTE "</w:instrText>
      </w:r>
      <w:r w:rsidRPr="00732AF8">
        <w:rPr>
          <w:rStyle w:val="CRMarker"/>
          <w:noProof/>
        </w:rPr>
        <w:instrText>Õ</w:instrText>
      </w:r>
      <w:r w:rsidRPr="005D77DC">
        <w:rPr>
          <w:noProof/>
        </w:rPr>
        <w:instrText xml:space="preserve">" </w:instrText>
      </w:r>
      <w:r w:rsidRPr="005D77DC">
        <w:rPr>
          <w:noProof/>
        </w:rPr>
        <w:fldChar w:fldCharType="separate"/>
      </w:r>
      <w:r w:rsidRPr="00732AF8">
        <w:rPr>
          <w:rStyle w:val="CRMarker"/>
          <w:noProof/>
        </w:rPr>
        <w:t>Õ</w:t>
      </w:r>
      <w:r w:rsidRPr="005D77DC">
        <w:rPr>
          <w:noProof/>
        </w:rPr>
        <w:fldChar w:fldCharType="end"/>
      </w:r>
      <w:r w:rsidRPr="005D77DC">
        <w:rPr>
          <w:noProof/>
        </w:rPr>
        <w:t xml:space="preserve"> </w:t>
      </w:r>
      <w:r w:rsidR="00C15382">
        <w:rPr>
          <w:noProof/>
        </w:rPr>
        <w:t xml:space="preserve">použitelné na dané vozidlo. Pokud jde o vozidla podle bodu 2.2.2 </w:t>
      </w:r>
      <w:r w:rsidR="00367075">
        <w:rPr>
          <w:noProof/>
        </w:rPr>
        <w:t>písm.</w:t>
      </w:r>
      <w:r w:rsidR="00C15382">
        <w:rPr>
          <w:noProof/>
        </w:rPr>
        <w:t xml:space="preserve"> </w:t>
      </w:r>
      <w:r w:rsidRPr="005D77DC">
        <w:rPr>
          <w:noProof/>
        </w:rPr>
        <w:fldChar w:fldCharType="begin"/>
      </w:r>
      <w:r w:rsidRPr="005D77DC">
        <w:rPr>
          <w:noProof/>
        </w:rPr>
        <w:instrText xml:space="preserve"> QUOTE "</w:instrText>
      </w:r>
      <w:r w:rsidRPr="00732AF8">
        <w:rPr>
          <w:rStyle w:val="CRMarker"/>
          <w:noProof/>
        </w:rPr>
        <w:instrText>Ö</w:instrText>
      </w:r>
      <w:r w:rsidRPr="005D77DC">
        <w:rPr>
          <w:noProof/>
        </w:rPr>
        <w:instrText xml:space="preserve">" </w:instrText>
      </w:r>
      <w:r w:rsidRPr="005D77DC">
        <w:rPr>
          <w:noProof/>
        </w:rPr>
        <w:fldChar w:fldCharType="separate"/>
      </w:r>
      <w:r w:rsidRPr="00732AF8">
        <w:rPr>
          <w:rStyle w:val="CRMarker"/>
          <w:noProof/>
        </w:rPr>
        <w:t>Ö</w:t>
      </w:r>
      <w:r w:rsidRPr="005D77DC">
        <w:rPr>
          <w:noProof/>
        </w:rPr>
        <w:fldChar w:fldCharType="end"/>
      </w:r>
      <w:r w:rsidRPr="005D77DC">
        <w:rPr>
          <w:noProof/>
        </w:rPr>
        <w:t> </w:t>
      </w:r>
      <w:r>
        <w:rPr>
          <w:noProof/>
        </w:rPr>
        <w:t>d)</w:t>
      </w:r>
      <w:r w:rsidRPr="005D77DC">
        <w:rPr>
          <w:noProof/>
        </w:rPr>
        <w:t> </w:t>
      </w:r>
      <w:r w:rsidRPr="005D77DC">
        <w:rPr>
          <w:noProof/>
        </w:rPr>
        <w:fldChar w:fldCharType="begin"/>
      </w:r>
      <w:r w:rsidRPr="005D77DC">
        <w:rPr>
          <w:noProof/>
        </w:rPr>
        <w:instrText xml:space="preserve"> QUOTE "</w:instrText>
      </w:r>
      <w:r w:rsidRPr="00732AF8">
        <w:rPr>
          <w:rStyle w:val="CRMarker"/>
          <w:noProof/>
        </w:rPr>
        <w:instrText>Õ</w:instrText>
      </w:r>
      <w:r w:rsidRPr="005D77DC">
        <w:rPr>
          <w:noProof/>
        </w:rPr>
        <w:instrText xml:space="preserve">" </w:instrText>
      </w:r>
      <w:r w:rsidRPr="005D77DC">
        <w:rPr>
          <w:noProof/>
        </w:rPr>
        <w:fldChar w:fldCharType="separate"/>
      </w:r>
      <w:r w:rsidRPr="00732AF8">
        <w:rPr>
          <w:rStyle w:val="CRMarker"/>
          <w:noProof/>
        </w:rPr>
        <w:t>Õ</w:t>
      </w:r>
      <w:r w:rsidRPr="005D77DC">
        <w:rPr>
          <w:noProof/>
        </w:rPr>
        <w:fldChar w:fldCharType="end"/>
      </w:r>
      <w:r>
        <w:rPr>
          <w:noProof/>
        </w:rPr>
        <w:t xml:space="preserve"> </w:t>
      </w:r>
      <w:r w:rsidR="00C15382">
        <w:rPr>
          <w:noProof/>
        </w:rPr>
        <w:t>přílohy I, položka „44 tun“ je uvedená v závorce pod položkou maximální přípustná hmotnost soupravy vozidel.</w:t>
      </w:r>
    </w:p>
    <w:p w14:paraId="28CE8132" w14:textId="49828246" w:rsidR="00C15382" w:rsidRDefault="005D77DC" w:rsidP="00C15382">
      <w:pPr>
        <w:rPr>
          <w:noProof/>
        </w:rPr>
      </w:pPr>
      <w:r>
        <w:rPr>
          <w:noProof/>
        </w:rPr>
        <w:t xml:space="preserve">6. </w:t>
      </w:r>
      <w:r w:rsidR="00C15382">
        <w:rPr>
          <w:noProof/>
        </w:rPr>
        <w:t>Každý členský stát může rozhodnout ve vztahu ke každému vozidlu registrovanému nebo uvedenému do provozu na jeho území, že maximální hmotnost přípustná podle jeho vnitrostátních právních předpisů se uvádí v levém sloupci důkazu shody a technicky přípustná hmotnost v pravém sloupci.</w:t>
      </w:r>
    </w:p>
    <w:p w14:paraId="153F1EE7" w14:textId="77777777" w:rsidR="00C15382" w:rsidRPr="00046338" w:rsidRDefault="00C15382" w:rsidP="00C15382">
      <w:pPr>
        <w:pStyle w:val="CRSeparator"/>
        <w:rPr>
          <w:noProof/>
          <w:lang w:val="cs-CZ"/>
        </w:rPr>
      </w:pPr>
    </w:p>
    <w:p w14:paraId="31913F30" w14:textId="06DF13A9" w:rsidR="00C15382" w:rsidRPr="00046338" w:rsidRDefault="00C15382" w:rsidP="00C15382">
      <w:pPr>
        <w:pStyle w:val="CRReference"/>
        <w:rPr>
          <w:noProof/>
          <w:lang w:val="cs-CZ"/>
        </w:rPr>
      </w:pPr>
      <w:r>
        <w:rPr>
          <w:noProof/>
        </w:rPr>
        <w:fldChar w:fldCharType="begin"/>
      </w:r>
      <w:r w:rsidRPr="00046338">
        <w:rPr>
          <w:noProof/>
          <w:lang w:val="cs-CZ"/>
        </w:rPr>
        <w:instrText xml:space="preserve"> QUOTE "</w:instrText>
      </w:r>
      <w:r w:rsidRPr="00046338">
        <w:rPr>
          <w:rStyle w:val="CRMarker"/>
          <w:noProof/>
          <w:lang w:val="cs-CZ"/>
        </w:rPr>
        <w:instrText>ê</w:instrText>
      </w:r>
      <w:r w:rsidRPr="00046338">
        <w:rPr>
          <w:noProof/>
          <w:lang w:val="cs-CZ"/>
        </w:rPr>
        <w:instrText xml:space="preserve">" </w:instrText>
      </w:r>
      <w:r>
        <w:rPr>
          <w:noProof/>
        </w:rPr>
        <w:fldChar w:fldCharType="separate"/>
      </w:r>
      <w:r w:rsidRPr="00046338">
        <w:rPr>
          <w:rStyle w:val="CRMarker"/>
          <w:noProof/>
          <w:lang w:val="cs-CZ"/>
        </w:rPr>
        <w:t>ê</w:t>
      </w:r>
      <w:r>
        <w:rPr>
          <w:noProof/>
        </w:rPr>
        <w:fldChar w:fldCharType="end"/>
      </w:r>
      <w:r w:rsidRPr="00046338">
        <w:rPr>
          <w:noProof/>
          <w:lang w:val="cs-CZ"/>
        </w:rPr>
        <w:t> 2002/7</w:t>
      </w:r>
      <w:r w:rsidR="00B8006D">
        <w:rPr>
          <w:noProof/>
          <w:lang w:val="cs-CZ"/>
        </w:rPr>
        <w:t xml:space="preserve"> </w:t>
      </w:r>
      <w:r w:rsidR="00B8006D" w:rsidRPr="00B8006D">
        <w:rPr>
          <w:noProof/>
          <w:lang w:val="cs-CZ"/>
        </w:rPr>
        <w:t>čl. 1 bod 4</w:t>
      </w:r>
    </w:p>
    <w:p w14:paraId="2C31E1EA" w14:textId="77777777" w:rsidR="00C15382" w:rsidRDefault="00C15382" w:rsidP="00C15382">
      <w:pPr>
        <w:pStyle w:val="Titrearticle"/>
        <w:rPr>
          <w:noProof/>
        </w:rPr>
      </w:pPr>
      <w:r>
        <w:rPr>
          <w:noProof/>
        </w:rPr>
        <w:t>Článek 7</w:t>
      </w:r>
    </w:p>
    <w:p w14:paraId="10B4A0CF" w14:textId="77777777" w:rsidR="00C15382" w:rsidRDefault="00C15382" w:rsidP="00C15382">
      <w:pPr>
        <w:rPr>
          <w:noProof/>
        </w:rPr>
      </w:pPr>
      <w:r>
        <w:rPr>
          <w:noProof/>
        </w:rPr>
        <w:t>Tato směrnice nebrání uplatňování platných předpisů členských států o provozu na pozemních komunikacích, které povolují omezení hmotnosti nebo rozměrů vozidel na určitých pozemních komunikacích nebo stavebních objektech bez ohledu na stát, kde je vozidlo registrováno, nebo na stát, kde taková vozidla byla uvedena do provozu.</w:t>
      </w:r>
    </w:p>
    <w:p w14:paraId="7C89CDA8" w14:textId="02C2E402" w:rsidR="00C15382" w:rsidRDefault="00C15382" w:rsidP="00C15382">
      <w:pPr>
        <w:rPr>
          <w:noProof/>
        </w:rPr>
      </w:pPr>
      <w:r>
        <w:rPr>
          <w:noProof/>
        </w:rPr>
        <w:t>V tom je zahrnuta možnost stanovit místní omezení pro maximální přípustné rozměry nebo hmotnosti vozidel, která mohou být použita v určitých oblastech nebo na určitých silnicích, kde infrastruktura je nezpůsobilá pro dlouhá a těžká vozidla, například v centrech měst, v malých městech nebo v místech se zvláštním zájmem o ochranu přírody.</w:t>
      </w:r>
    </w:p>
    <w:p w14:paraId="09B1DEB2" w14:textId="5C3D25EA" w:rsidR="00367075" w:rsidRPr="005D7D8A" w:rsidRDefault="00367075" w:rsidP="00367075">
      <w:pPr>
        <w:pStyle w:val="CRSeparator"/>
        <w:rPr>
          <w:noProof/>
          <w:lang w:val="cs-CZ"/>
        </w:rPr>
      </w:pPr>
    </w:p>
    <w:p w14:paraId="30E479BF" w14:textId="04B2164F" w:rsidR="00367075" w:rsidRPr="005D7D8A" w:rsidRDefault="00367075" w:rsidP="00367075">
      <w:pPr>
        <w:pStyle w:val="CRReference"/>
        <w:rPr>
          <w:noProof/>
          <w:lang w:val="cs-CZ"/>
        </w:rPr>
      </w:pPr>
      <w:r w:rsidRPr="00367075">
        <w:rPr>
          <w:noProof/>
        </w:rPr>
        <w:fldChar w:fldCharType="begin"/>
      </w:r>
      <w:r w:rsidRPr="005D7D8A">
        <w:rPr>
          <w:noProof/>
          <w:lang w:val="cs-CZ"/>
        </w:rPr>
        <w:instrText xml:space="preserve"> QUOTE "</w:instrText>
      </w:r>
      <w:r w:rsidRPr="005D7D8A">
        <w:rPr>
          <w:rStyle w:val="CRMarker"/>
          <w:noProof/>
          <w:lang w:val="cs-CZ"/>
        </w:rPr>
        <w:instrText>ê</w:instrText>
      </w:r>
      <w:r w:rsidRPr="005D7D8A">
        <w:rPr>
          <w:noProof/>
          <w:lang w:val="cs-CZ"/>
        </w:rPr>
        <w:instrText xml:space="preserve">" </w:instrText>
      </w:r>
      <w:r w:rsidRPr="00367075">
        <w:rPr>
          <w:noProof/>
        </w:rPr>
        <w:fldChar w:fldCharType="separate"/>
      </w:r>
      <w:r w:rsidRPr="005D7D8A">
        <w:rPr>
          <w:rStyle w:val="CRMarker"/>
          <w:noProof/>
          <w:lang w:val="cs-CZ"/>
        </w:rPr>
        <w:t>ê</w:t>
      </w:r>
      <w:r w:rsidRPr="00367075">
        <w:rPr>
          <w:noProof/>
        </w:rPr>
        <w:fldChar w:fldCharType="end"/>
      </w:r>
      <w:r w:rsidRPr="005D7D8A">
        <w:rPr>
          <w:noProof/>
          <w:lang w:val="cs-CZ"/>
        </w:rPr>
        <w:t> 2015/719 čl. 1 bod 6 (přizpůsobený)</w:t>
      </w:r>
    </w:p>
    <w:p w14:paraId="1CED41CE" w14:textId="22467AF0" w:rsidR="00C15382" w:rsidRDefault="00C15382" w:rsidP="00C15382">
      <w:pPr>
        <w:pStyle w:val="Titrearticle"/>
        <w:rPr>
          <w:noProof/>
        </w:rPr>
      </w:pPr>
      <w:r>
        <w:rPr>
          <w:noProof/>
        </w:rPr>
        <w:t>Článek 8</w:t>
      </w:r>
    </w:p>
    <w:p w14:paraId="55024DCE" w14:textId="34BC9FF5" w:rsidR="00C15382" w:rsidRDefault="00C15382" w:rsidP="00C15382">
      <w:pPr>
        <w:rPr>
          <w:noProof/>
        </w:rPr>
      </w:pPr>
      <w:r>
        <w:rPr>
          <w:noProof/>
        </w:rPr>
        <w:t>1.</w:t>
      </w:r>
      <w:r w:rsidR="00784B41">
        <w:rPr>
          <w:noProof/>
        </w:rPr>
        <w:t xml:space="preserve"> </w:t>
      </w:r>
      <w:r>
        <w:rPr>
          <w:noProof/>
        </w:rPr>
        <w:t xml:space="preserve">V zájmu zvýšení energetické účinnosti mohou vozidla nebo soupravy vozidel vybavené aerodynamickými zařízeními, které splňují požadavky stanovené v odstavcích 2 a 3 a jsou v souladu s ustanoveními </w:t>
      </w:r>
      <w:r w:rsidR="00250BCC" w:rsidRPr="00732AF8">
        <w:rPr>
          <w:noProof/>
        </w:rPr>
        <w:t>nařízení (EU) 2018/858</w:t>
      </w:r>
      <w:r>
        <w:rPr>
          <w:noProof/>
        </w:rPr>
        <w:t>, přesahovat maximá</w:t>
      </w:r>
      <w:r w:rsidR="00367075">
        <w:rPr>
          <w:noProof/>
        </w:rPr>
        <w:t>lní délky uvedené v bodě </w:t>
      </w:r>
      <w:r>
        <w:rPr>
          <w:noProof/>
        </w:rPr>
        <w:t>1.1 přílohy I této směrnice, aby bylo možné doplňovat takováto zařízení na zadní části vozidel nebo souprav vozidel. Vozidla nebo soupravy vozidel vybavené těmito zařízeními musí být v souladu s bodem 1.</w:t>
      </w:r>
      <w:r w:rsidR="00250BCC" w:rsidRPr="00732AF8">
        <w:rPr>
          <w:noProof/>
        </w:rPr>
        <w:t>6</w:t>
      </w:r>
      <w:r w:rsidR="00367075">
        <w:rPr>
          <w:noProof/>
        </w:rPr>
        <w:t xml:space="preserve"> přílohy I</w:t>
      </w:r>
      <w:r>
        <w:rPr>
          <w:noProof/>
        </w:rPr>
        <w:t xml:space="preserve"> a v důsledku překročení maximální délky nesmí dojít ke zvýšení nákladové délky těchto vozidel nebo souprav vozidel.</w:t>
      </w:r>
    </w:p>
    <w:p w14:paraId="3E14E0FD" w14:textId="2D76C5F9" w:rsidR="00C15382" w:rsidRDefault="00250BCC" w:rsidP="00C15382">
      <w:pPr>
        <w:rPr>
          <w:noProof/>
        </w:rPr>
      </w:pPr>
      <w:r>
        <w:rPr>
          <w:noProof/>
        </w:rPr>
        <w:t xml:space="preserve">2. </w:t>
      </w:r>
      <w:r w:rsidR="00C15382">
        <w:rPr>
          <w:noProof/>
        </w:rPr>
        <w:t xml:space="preserve">Aerodynamická zařízení uvedená v odstavci 1, která přesahují délku 500 mm, musí být před svým uvedením na trh schválena v souladu s předpisy o schválení typu podle rámce stanoveného v </w:t>
      </w:r>
      <w:r w:rsidRPr="00732AF8">
        <w:rPr>
          <w:noProof/>
        </w:rPr>
        <w:t>nařízení (EU) 2018/858</w:t>
      </w:r>
      <w:r w:rsidR="00C15382">
        <w:rPr>
          <w:noProof/>
        </w:rPr>
        <w:t>.</w:t>
      </w:r>
    </w:p>
    <w:p w14:paraId="420825EC" w14:textId="3AF9522E" w:rsidR="00C15382" w:rsidRDefault="00AC2405" w:rsidP="00C15382">
      <w:pPr>
        <w:rPr>
          <w:noProof/>
        </w:rPr>
      </w:pPr>
      <w:r>
        <w:rPr>
          <w:noProof/>
        </w:rPr>
        <w:t xml:space="preserve">3. </w:t>
      </w:r>
      <w:r w:rsidR="00C15382">
        <w:rPr>
          <w:noProof/>
        </w:rPr>
        <w:t>Aerodynamická zařízení uvedená v odstavci 1 musí splňovat tyto provozní požadavky:</w:t>
      </w:r>
    </w:p>
    <w:p w14:paraId="4DA3AAAC" w14:textId="4467A9F7" w:rsidR="00C15382" w:rsidRDefault="00C15382" w:rsidP="00C15382">
      <w:pPr>
        <w:pStyle w:val="Point0"/>
        <w:rPr>
          <w:noProof/>
        </w:rPr>
      </w:pPr>
      <w:r>
        <w:rPr>
          <w:noProof/>
        </w:rPr>
        <w:t>a)</w:t>
      </w:r>
      <w:r>
        <w:rPr>
          <w:noProof/>
        </w:rPr>
        <w:tab/>
        <w:t>za okolností, kdy je ohrožena bezpečnost ostatních účastníků silničního provozu nebo řidiče, řidič tato zařízení složí, stáhne nebo odstraní;</w:t>
      </w:r>
    </w:p>
    <w:p w14:paraId="1AD75D75" w14:textId="5B874872" w:rsidR="00C15382" w:rsidRDefault="00C15382" w:rsidP="00C15382">
      <w:pPr>
        <w:pStyle w:val="Point0"/>
        <w:rPr>
          <w:noProof/>
        </w:rPr>
      </w:pPr>
      <w:r>
        <w:rPr>
          <w:noProof/>
        </w:rPr>
        <w:t>b)</w:t>
      </w:r>
      <w:r>
        <w:rPr>
          <w:noProof/>
        </w:rPr>
        <w:tab/>
        <w:t>při jejich používání v rámci městské a meziměstské silniční infrastruktury se zohlední zvláštní charakteristika oblastí, v nichž j</w:t>
      </w:r>
      <w:r w:rsidR="009C55AA">
        <w:rPr>
          <w:noProof/>
        </w:rPr>
        <w:t>e nejvyšší povolená rychlost 50 </w:t>
      </w:r>
      <w:r>
        <w:rPr>
          <w:noProof/>
        </w:rPr>
        <w:t>km/h nebo nižší a v nichž je vyšší pravděpodobnost přítomnosti zranitelných úč</w:t>
      </w:r>
      <w:r w:rsidR="004B2D1B">
        <w:rPr>
          <w:noProof/>
        </w:rPr>
        <w:t>astníků silničního provozu;</w:t>
      </w:r>
    </w:p>
    <w:p w14:paraId="5329043B" w14:textId="7AE6DCE3" w:rsidR="00C15382" w:rsidRDefault="00C15382" w:rsidP="00C15382">
      <w:pPr>
        <w:pStyle w:val="Point0"/>
        <w:rPr>
          <w:noProof/>
        </w:rPr>
      </w:pPr>
      <w:r>
        <w:rPr>
          <w:noProof/>
        </w:rPr>
        <w:t>c)</w:t>
      </w:r>
      <w:r>
        <w:rPr>
          <w:noProof/>
        </w:rPr>
        <w:tab/>
        <w:t>použití těchto zařízení musí být v souladu s operacemi intermodální přepravy a zejména, nesmějí tato zařízení ve složeném</w:t>
      </w:r>
      <w:r w:rsidR="00AC2405" w:rsidRPr="00732AF8">
        <w:rPr>
          <w:noProof/>
        </w:rPr>
        <w:t xml:space="preserve"> </w:t>
      </w:r>
      <w:r w:rsidR="00AC2405" w:rsidRPr="00E55182">
        <w:rPr>
          <w:noProof/>
        </w:rPr>
        <w:fldChar w:fldCharType="begin"/>
      </w:r>
      <w:r w:rsidR="00AC2405" w:rsidRPr="00230DDD">
        <w:rPr>
          <w:noProof/>
        </w:rPr>
        <w:instrText xml:space="preserve"> </w:instrText>
      </w:r>
      <w:r w:rsidR="00AC2405" w:rsidRPr="00BC60A1">
        <w:rPr>
          <w:noProof/>
        </w:rPr>
        <w:instrText>QUOTE "</w:instrText>
      </w:r>
      <w:r w:rsidR="00AC2405" w:rsidRPr="00732AF8">
        <w:rPr>
          <w:rStyle w:val="CRMarker"/>
          <w:noProof/>
        </w:rPr>
        <w:instrText>Ö</w:instrText>
      </w:r>
      <w:r w:rsidR="00AC2405" w:rsidRPr="00230DDD">
        <w:rPr>
          <w:noProof/>
        </w:rPr>
        <w:instrText>"</w:instrText>
      </w:r>
      <w:r w:rsidR="00AC2405" w:rsidRPr="00BC60A1">
        <w:rPr>
          <w:noProof/>
        </w:rPr>
        <w:instrText xml:space="preserve"> </w:instrText>
      </w:r>
      <w:r w:rsidR="00AC2405" w:rsidRPr="00E55182">
        <w:rPr>
          <w:noProof/>
        </w:rPr>
        <w:fldChar w:fldCharType="separate"/>
      </w:r>
      <w:r w:rsidR="00AC2405" w:rsidRPr="00732AF8">
        <w:rPr>
          <w:rStyle w:val="CRMarker"/>
          <w:noProof/>
        </w:rPr>
        <w:t>Ö</w:t>
      </w:r>
      <w:r w:rsidR="00AC2405" w:rsidRPr="00E55182">
        <w:rPr>
          <w:noProof/>
        </w:rPr>
        <w:fldChar w:fldCharType="end"/>
      </w:r>
      <w:r w:rsidR="00AC2405" w:rsidRPr="00AC2405">
        <w:rPr>
          <w:noProof/>
        </w:rPr>
        <w:t> </w:t>
      </w:r>
      <w:r w:rsidR="00AC2405">
        <w:rPr>
          <w:noProof/>
        </w:rPr>
        <w:t>nebo</w:t>
      </w:r>
      <w:r w:rsidR="00AC2405" w:rsidRPr="00AC2405">
        <w:rPr>
          <w:noProof/>
        </w:rPr>
        <w:t> </w:t>
      </w:r>
      <w:r w:rsidR="00AC2405" w:rsidRPr="00E55182">
        <w:rPr>
          <w:noProof/>
        </w:rPr>
        <w:fldChar w:fldCharType="begin"/>
      </w:r>
      <w:r w:rsidR="00AC2405" w:rsidRPr="00230DDD">
        <w:rPr>
          <w:noProof/>
        </w:rPr>
        <w:instrText xml:space="preserve"> </w:instrText>
      </w:r>
      <w:r w:rsidR="00AC2405" w:rsidRPr="00BC60A1">
        <w:rPr>
          <w:noProof/>
        </w:rPr>
        <w:instrText>QUOTE "</w:instrText>
      </w:r>
      <w:r w:rsidR="00AC2405" w:rsidRPr="00732AF8">
        <w:rPr>
          <w:rStyle w:val="CRMarker"/>
          <w:noProof/>
        </w:rPr>
        <w:instrText>Õ</w:instrText>
      </w:r>
      <w:r w:rsidR="00AC2405" w:rsidRPr="00230DDD">
        <w:rPr>
          <w:noProof/>
        </w:rPr>
        <w:instrText>"</w:instrText>
      </w:r>
      <w:r w:rsidR="00AC2405" w:rsidRPr="00BC60A1">
        <w:rPr>
          <w:noProof/>
        </w:rPr>
        <w:instrText xml:space="preserve"> </w:instrText>
      </w:r>
      <w:r w:rsidR="00AC2405" w:rsidRPr="00E55182">
        <w:rPr>
          <w:noProof/>
        </w:rPr>
        <w:fldChar w:fldCharType="separate"/>
      </w:r>
      <w:r w:rsidR="00AC2405" w:rsidRPr="00732AF8">
        <w:rPr>
          <w:rStyle w:val="CRMarker"/>
          <w:noProof/>
        </w:rPr>
        <w:t>Õ</w:t>
      </w:r>
      <w:r w:rsidR="00AC2405" w:rsidRPr="00E55182">
        <w:rPr>
          <w:noProof/>
        </w:rPr>
        <w:fldChar w:fldCharType="end"/>
      </w:r>
      <w:r w:rsidR="00AC2405">
        <w:rPr>
          <w:noProof/>
        </w:rPr>
        <w:t xml:space="preserve"> </w:t>
      </w:r>
      <w:r>
        <w:rPr>
          <w:noProof/>
        </w:rPr>
        <w:t>staženém stavu přesahovat maximální povolenou délku o více než 20 cm.</w:t>
      </w:r>
    </w:p>
    <w:p w14:paraId="393BA20B" w14:textId="2EDD7CE5" w:rsidR="00C15382" w:rsidRDefault="00E55182" w:rsidP="00C15382">
      <w:pPr>
        <w:rPr>
          <w:noProof/>
        </w:rPr>
      </w:pPr>
      <w:r>
        <w:rPr>
          <w:noProof/>
        </w:rPr>
        <w:t xml:space="preserve">4. </w:t>
      </w:r>
      <w:r w:rsidR="00C15382">
        <w:rPr>
          <w:noProof/>
        </w:rPr>
        <w:t xml:space="preserve">Komise přijme prováděcí akty stanovující podrobná ustanovení, která zajistí jednotné podmínky k provedení odstavce 3. Tyto prováděcí akty se přijímají přezkumným postupem podle čl. </w:t>
      </w:r>
      <w:r w:rsidRPr="00732AF8">
        <w:rPr>
          <w:noProof/>
        </w:rPr>
        <w:t>17</w:t>
      </w:r>
      <w:r w:rsidR="00C15382">
        <w:rPr>
          <w:noProof/>
        </w:rPr>
        <w:t xml:space="preserve"> odst. 2.</w:t>
      </w:r>
    </w:p>
    <w:p w14:paraId="03ACB44E" w14:textId="7B75106A" w:rsidR="00C15382" w:rsidRDefault="00C15382" w:rsidP="00C15382">
      <w:pPr>
        <w:pStyle w:val="Titrearticle"/>
        <w:rPr>
          <w:noProof/>
        </w:rPr>
      </w:pPr>
      <w:r>
        <w:rPr>
          <w:noProof/>
        </w:rPr>
        <w:t>Článek 9</w:t>
      </w:r>
    </w:p>
    <w:p w14:paraId="138DCE7C" w14:textId="65B41C64" w:rsidR="00C15382" w:rsidRDefault="00E55182" w:rsidP="00C15382">
      <w:pPr>
        <w:rPr>
          <w:noProof/>
        </w:rPr>
      </w:pPr>
      <w:r>
        <w:rPr>
          <w:noProof/>
        </w:rPr>
        <w:t xml:space="preserve">1. </w:t>
      </w:r>
      <w:r w:rsidR="00C15382">
        <w:rPr>
          <w:noProof/>
        </w:rPr>
        <w:t xml:space="preserve">V zájmu zvýšení energetické účinnosti, zejména ve vztahu k aerodynamickým vlastnostem kabin, jakož i zvýšení bezpečnosti silničního provozu, mohou vozidla nebo soupravy vozidel, které splňují požadavky stanovené v odstavci 2 a které jsou v souladu s </w:t>
      </w:r>
      <w:r w:rsidR="000E5F43" w:rsidRPr="00732AF8">
        <w:rPr>
          <w:noProof/>
        </w:rPr>
        <w:t>nařízení</w:t>
      </w:r>
      <w:r w:rsidR="00A87D8D" w:rsidRPr="00732AF8">
        <w:rPr>
          <w:noProof/>
        </w:rPr>
        <w:t>m</w:t>
      </w:r>
      <w:r w:rsidR="004B2D1B">
        <w:rPr>
          <w:noProof/>
        </w:rPr>
        <w:t xml:space="preserve"> (EU) </w:t>
      </w:r>
      <w:r w:rsidR="000E5F43" w:rsidRPr="00732AF8">
        <w:rPr>
          <w:noProof/>
        </w:rPr>
        <w:t>2018/858</w:t>
      </w:r>
      <w:r w:rsidR="00C15382">
        <w:rPr>
          <w:noProof/>
        </w:rPr>
        <w:t>, přesahovat maximální délky stanovené v bodě 1.1 přílohy I této směrnice, pokud jejich kabiny vykazují zlepšené aerodynamické vlastnosti, vyšší energetickou účinnost a úroveň bezpečnosti. Vozidla nebo soupravy vozidel vybavené takovými kabinami musí být v souladu s bodem 1.</w:t>
      </w:r>
      <w:r w:rsidR="00EF1125" w:rsidRPr="00732AF8">
        <w:rPr>
          <w:noProof/>
        </w:rPr>
        <w:t>6</w:t>
      </w:r>
      <w:r w:rsidR="004B2D1B">
        <w:rPr>
          <w:noProof/>
        </w:rPr>
        <w:t xml:space="preserve"> přílohy I</w:t>
      </w:r>
      <w:r w:rsidR="00C15382">
        <w:rPr>
          <w:noProof/>
        </w:rPr>
        <w:t xml:space="preserve"> a v důsledku překročení maximální délky nesmí dojít ke zvýšení nosnosti těchto vozidel.</w:t>
      </w:r>
    </w:p>
    <w:p w14:paraId="13FA8986" w14:textId="68076B7F" w:rsidR="00C15382" w:rsidRDefault="00EF1125" w:rsidP="00C15382">
      <w:pPr>
        <w:rPr>
          <w:noProof/>
        </w:rPr>
      </w:pPr>
      <w:r>
        <w:rPr>
          <w:noProof/>
        </w:rPr>
        <w:t xml:space="preserve">2. </w:t>
      </w:r>
      <w:r w:rsidR="00C15382">
        <w:rPr>
          <w:noProof/>
        </w:rPr>
        <w:t xml:space="preserve">Vozidla uvedená v odstavci 1 musí být před svým uvedením na trh schválena v souladu s předpisy o schválení typu podle rámce stanoveného v </w:t>
      </w:r>
      <w:r w:rsidRPr="00732AF8">
        <w:rPr>
          <w:noProof/>
        </w:rPr>
        <w:t>nařízení (EU) 2018/858</w:t>
      </w:r>
      <w:r w:rsidR="004B2D1B">
        <w:rPr>
          <w:noProof/>
        </w:rPr>
        <w:t>.</w:t>
      </w:r>
    </w:p>
    <w:p w14:paraId="742EEA3B" w14:textId="77777777" w:rsidR="00C15382" w:rsidRPr="00046338" w:rsidRDefault="00C15382" w:rsidP="00C15382">
      <w:pPr>
        <w:pStyle w:val="CRSeparator"/>
        <w:rPr>
          <w:noProof/>
          <w:lang w:val="cs-CZ"/>
        </w:rPr>
      </w:pPr>
    </w:p>
    <w:p w14:paraId="46DCCD46" w14:textId="783DE91C" w:rsidR="00C15382" w:rsidRPr="00046338" w:rsidRDefault="00C15382" w:rsidP="00C15382">
      <w:pPr>
        <w:pStyle w:val="CRReference"/>
        <w:rPr>
          <w:noProof/>
          <w:lang w:val="cs-CZ"/>
        </w:rPr>
      </w:pPr>
      <w:r>
        <w:rPr>
          <w:noProof/>
        </w:rPr>
        <w:fldChar w:fldCharType="begin"/>
      </w:r>
      <w:r w:rsidRPr="00046338">
        <w:rPr>
          <w:noProof/>
          <w:lang w:val="cs-CZ"/>
        </w:rPr>
        <w:instrText xml:space="preserve"> QUOTE "</w:instrText>
      </w:r>
      <w:r w:rsidRPr="00046338">
        <w:rPr>
          <w:rStyle w:val="CRMarker"/>
          <w:noProof/>
          <w:lang w:val="cs-CZ"/>
        </w:rPr>
        <w:instrText>ê</w:instrText>
      </w:r>
      <w:r w:rsidRPr="00046338">
        <w:rPr>
          <w:noProof/>
          <w:lang w:val="cs-CZ"/>
        </w:rPr>
        <w:instrText xml:space="preserve">" </w:instrText>
      </w:r>
      <w:r>
        <w:rPr>
          <w:noProof/>
        </w:rPr>
        <w:fldChar w:fldCharType="separate"/>
      </w:r>
      <w:r w:rsidRPr="00046338">
        <w:rPr>
          <w:rStyle w:val="CRMarker"/>
          <w:noProof/>
          <w:lang w:val="cs-CZ"/>
        </w:rPr>
        <w:t>ê</w:t>
      </w:r>
      <w:r>
        <w:rPr>
          <w:noProof/>
        </w:rPr>
        <w:fldChar w:fldCharType="end"/>
      </w:r>
      <w:r w:rsidR="00880AD8">
        <w:rPr>
          <w:noProof/>
          <w:lang w:val="cs-CZ"/>
        </w:rPr>
        <w:t> </w:t>
      </w:r>
      <w:r w:rsidRPr="00046338">
        <w:rPr>
          <w:noProof/>
          <w:lang w:val="cs-CZ"/>
        </w:rPr>
        <w:t>2019</w:t>
      </w:r>
      <w:r w:rsidR="00880AD8">
        <w:rPr>
          <w:noProof/>
          <w:lang w:val="cs-CZ"/>
        </w:rPr>
        <w:t xml:space="preserve">/1242 </w:t>
      </w:r>
      <w:r w:rsidR="00880AD8" w:rsidRPr="00880AD8">
        <w:rPr>
          <w:noProof/>
          <w:lang w:val="cs-CZ"/>
        </w:rPr>
        <w:t xml:space="preserve">čl. </w:t>
      </w:r>
      <w:r w:rsidR="00880AD8">
        <w:rPr>
          <w:noProof/>
          <w:lang w:val="cs-CZ"/>
        </w:rPr>
        <w:t>20 bod 2</w:t>
      </w:r>
      <w:r w:rsidR="007775E5">
        <w:rPr>
          <w:noProof/>
          <w:lang w:val="cs-CZ"/>
        </w:rPr>
        <w:t xml:space="preserve"> (přizpůsobený)</w:t>
      </w:r>
    </w:p>
    <w:p w14:paraId="1FBBC961" w14:textId="34D8737D" w:rsidR="00C15382" w:rsidRDefault="00C15382" w:rsidP="00C15382">
      <w:pPr>
        <w:pStyle w:val="Titrearticle"/>
        <w:rPr>
          <w:noProof/>
        </w:rPr>
      </w:pPr>
      <w:r>
        <w:rPr>
          <w:noProof/>
        </w:rPr>
        <w:t>Článek 10</w:t>
      </w:r>
    </w:p>
    <w:p w14:paraId="022944A4" w14:textId="77777777" w:rsidR="00C15382" w:rsidRDefault="00C15382" w:rsidP="00C15382">
      <w:pPr>
        <w:rPr>
          <w:noProof/>
        </w:rPr>
      </w:pPr>
      <w:r>
        <w:rPr>
          <w:noProof/>
        </w:rPr>
        <w:t>Maximální přípustná hmotnost vozidel s alternativním pohonem nebo s nulovými emisemi je hmotnost stanovená v bodech 2.2.1, 2.2.2, 2.2.3, 2.2.4, 2.3.1, 2.3.2 a 2.4 přílohy I.</w:t>
      </w:r>
    </w:p>
    <w:p w14:paraId="043AF61D" w14:textId="77777777" w:rsidR="00C15382" w:rsidRDefault="00C15382" w:rsidP="00C15382">
      <w:pPr>
        <w:rPr>
          <w:noProof/>
        </w:rPr>
      </w:pPr>
      <w:r>
        <w:rPr>
          <w:noProof/>
        </w:rPr>
        <w:t>Vozidla s alternativním pohonem nebo s nulovými emisemi musí splňovat též mezní hodnoty pro maximální přípustné zatížení nápravy stanovené v bodě 3 přílohy I.</w:t>
      </w:r>
    </w:p>
    <w:p w14:paraId="6500624B" w14:textId="6830EB7B" w:rsidR="00C15382" w:rsidRDefault="00C15382" w:rsidP="00C15382">
      <w:pPr>
        <w:rPr>
          <w:noProof/>
        </w:rPr>
      </w:pPr>
      <w:r>
        <w:rPr>
          <w:noProof/>
        </w:rPr>
        <w:t>Dodatečná hmotnost vyžadovaná pro vozidla s alternativním pohonem nebo vozidla s nulovými emisemi se určí na základě dokumentace poskytnuté výrobcem při schvalování daného vozidla. Dodatečná hmotnost se uvede v úředním d</w:t>
      </w:r>
      <w:r w:rsidR="00AD12E6">
        <w:rPr>
          <w:noProof/>
        </w:rPr>
        <w:t>okladu požadovaném podle článku </w:t>
      </w:r>
      <w:r>
        <w:rPr>
          <w:noProof/>
        </w:rPr>
        <w:t>6.</w:t>
      </w:r>
    </w:p>
    <w:p w14:paraId="5AC7CB13" w14:textId="4A60CEC0" w:rsidR="00C15382" w:rsidRDefault="00C15382" w:rsidP="00C15382">
      <w:pPr>
        <w:rPr>
          <w:noProof/>
        </w:rPr>
      </w:pPr>
      <w:r w:rsidRPr="00B93787">
        <w:rPr>
          <w:noProof/>
        </w:rPr>
        <w:t xml:space="preserve">Komisi je svěřena pravomoc přijímat v souladu s článkem </w:t>
      </w:r>
      <w:r w:rsidR="007775E5" w:rsidRPr="00732AF8">
        <w:rPr>
          <w:noProof/>
        </w:rPr>
        <w:t>16</w:t>
      </w:r>
      <w:r w:rsidR="00616EB2" w:rsidRPr="00732AF8">
        <w:rPr>
          <w:noProof/>
        </w:rPr>
        <w:t xml:space="preserve"> akty v přenesené pravomoci</w:t>
      </w:r>
      <w:r w:rsidRPr="00B93787">
        <w:rPr>
          <w:noProof/>
        </w:rPr>
        <w:t>, kterými pro účely této směrnice aktualizuje seznam alternativních paliv uvedený v článku 2, jež vyžadují dodatečnou hmotnost.</w:t>
      </w:r>
    </w:p>
    <w:p w14:paraId="3DC681C7" w14:textId="77777777" w:rsidR="00C15382" w:rsidRPr="00046338" w:rsidRDefault="00C15382" w:rsidP="00C15382">
      <w:pPr>
        <w:pStyle w:val="CRSeparator"/>
        <w:rPr>
          <w:noProof/>
          <w:lang w:val="cs-CZ"/>
        </w:rPr>
      </w:pPr>
    </w:p>
    <w:p w14:paraId="036D7C06" w14:textId="53E48D0C" w:rsidR="00C15382" w:rsidRPr="00046338" w:rsidRDefault="00C15382" w:rsidP="00C15382">
      <w:pPr>
        <w:pStyle w:val="CRReference"/>
        <w:rPr>
          <w:noProof/>
          <w:lang w:val="cs-CZ"/>
        </w:rPr>
      </w:pPr>
      <w:r>
        <w:rPr>
          <w:noProof/>
        </w:rPr>
        <w:fldChar w:fldCharType="begin"/>
      </w:r>
      <w:r w:rsidRPr="00046338">
        <w:rPr>
          <w:noProof/>
          <w:lang w:val="cs-CZ"/>
        </w:rPr>
        <w:instrText xml:space="preserve"> QUOTE "</w:instrText>
      </w:r>
      <w:r w:rsidRPr="00046338">
        <w:rPr>
          <w:rStyle w:val="CRMarker"/>
          <w:noProof/>
          <w:lang w:val="cs-CZ"/>
        </w:rPr>
        <w:instrText>ê</w:instrText>
      </w:r>
      <w:r w:rsidRPr="00046338">
        <w:rPr>
          <w:noProof/>
          <w:lang w:val="cs-CZ"/>
        </w:rPr>
        <w:instrText xml:space="preserve">" </w:instrText>
      </w:r>
      <w:r>
        <w:rPr>
          <w:noProof/>
        </w:rPr>
        <w:fldChar w:fldCharType="separate"/>
      </w:r>
      <w:r w:rsidRPr="00046338">
        <w:rPr>
          <w:rStyle w:val="CRMarker"/>
          <w:noProof/>
          <w:lang w:val="cs-CZ"/>
        </w:rPr>
        <w:t>ê</w:t>
      </w:r>
      <w:r>
        <w:rPr>
          <w:noProof/>
        </w:rPr>
        <w:fldChar w:fldCharType="end"/>
      </w:r>
      <w:r w:rsidRPr="00046338">
        <w:rPr>
          <w:noProof/>
          <w:lang w:val="cs-CZ"/>
        </w:rPr>
        <w:t> 2015/719</w:t>
      </w:r>
      <w:r w:rsidR="00BE12D7">
        <w:rPr>
          <w:noProof/>
          <w:lang w:val="cs-CZ"/>
        </w:rPr>
        <w:t xml:space="preserve"> </w:t>
      </w:r>
      <w:r w:rsidR="00BE12D7" w:rsidRPr="00BE12D7">
        <w:rPr>
          <w:noProof/>
          <w:lang w:val="cs-CZ"/>
        </w:rPr>
        <w:t xml:space="preserve">čl. </w:t>
      </w:r>
      <w:r w:rsidR="00BE12D7">
        <w:rPr>
          <w:noProof/>
          <w:lang w:val="cs-CZ"/>
        </w:rPr>
        <w:t>1</w:t>
      </w:r>
      <w:r w:rsidR="00BE12D7" w:rsidRPr="00BE12D7">
        <w:rPr>
          <w:noProof/>
          <w:lang w:val="cs-CZ"/>
        </w:rPr>
        <w:t xml:space="preserve"> bod </w:t>
      </w:r>
      <w:r w:rsidR="00BE12D7">
        <w:rPr>
          <w:noProof/>
          <w:lang w:val="cs-CZ"/>
        </w:rPr>
        <w:t>8 (přizpůsobený)</w:t>
      </w:r>
    </w:p>
    <w:p w14:paraId="1A3BA5A8" w14:textId="3D44B7E6" w:rsidR="00C15382" w:rsidRDefault="00C15382" w:rsidP="00C15382">
      <w:pPr>
        <w:pStyle w:val="Titrearticle"/>
        <w:rPr>
          <w:noProof/>
        </w:rPr>
      </w:pPr>
      <w:r>
        <w:rPr>
          <w:noProof/>
        </w:rPr>
        <w:t xml:space="preserve">Článek </w:t>
      </w:r>
      <w:r w:rsidR="00BE12D7" w:rsidRPr="00732AF8">
        <w:rPr>
          <w:noProof/>
        </w:rPr>
        <w:t>11</w:t>
      </w:r>
    </w:p>
    <w:p w14:paraId="7D4EEFB3" w14:textId="5D47B40E" w:rsidR="00C15382" w:rsidRDefault="00C15382" w:rsidP="00C15382">
      <w:pPr>
        <w:rPr>
          <w:noProof/>
        </w:rPr>
      </w:pPr>
      <w:r>
        <w:rPr>
          <w:noProof/>
        </w:rPr>
        <w:t>Maximální délka stanovená v bodě 1.1 přílohy I, případně s výhradou čl. 9 odst. 1, a maximální vzdálenost stanovená v bodě 1.</w:t>
      </w:r>
      <w:r w:rsidR="00BE12D7" w:rsidRPr="00732AF8">
        <w:rPr>
          <w:noProof/>
        </w:rPr>
        <w:t>8</w:t>
      </w:r>
      <w:r>
        <w:rPr>
          <w:noProof/>
        </w:rPr>
        <w:t xml:space="preserve"> přílohy I může být překročena o 15 cm u vozidel nebo souprav vozidel, které se používají k přepravě kontejnerů nebo výměnných nástaveb o délce 45 stop, prázdných nebo naložených, pokud je silniční přeprava daného kontejneru nebo dané výměnné nástavby prováděna jako součást operace intermodální přepravy.</w:t>
      </w:r>
    </w:p>
    <w:p w14:paraId="584EA5C7" w14:textId="22D36F5B" w:rsidR="00C15382" w:rsidRDefault="00C15382" w:rsidP="00C15382">
      <w:pPr>
        <w:pStyle w:val="Titrearticle"/>
        <w:rPr>
          <w:noProof/>
        </w:rPr>
      </w:pPr>
      <w:r>
        <w:rPr>
          <w:noProof/>
        </w:rPr>
        <w:t xml:space="preserve">Článek </w:t>
      </w:r>
      <w:r w:rsidR="00BE12D7" w:rsidRPr="00732AF8">
        <w:rPr>
          <w:noProof/>
        </w:rPr>
        <w:t>12</w:t>
      </w:r>
    </w:p>
    <w:p w14:paraId="5C3AB7F4" w14:textId="3764DA79" w:rsidR="00C15382" w:rsidRDefault="00BE12D7" w:rsidP="00C15382">
      <w:pPr>
        <w:rPr>
          <w:noProof/>
        </w:rPr>
      </w:pPr>
      <w:r>
        <w:rPr>
          <w:noProof/>
        </w:rPr>
        <w:t xml:space="preserve">1. </w:t>
      </w:r>
      <w:r w:rsidR="00705B67">
        <w:rPr>
          <w:noProof/>
        </w:rPr>
        <w:t>Č</w:t>
      </w:r>
      <w:r w:rsidR="00C15382">
        <w:rPr>
          <w:noProof/>
        </w:rPr>
        <w:t xml:space="preserve">lenské státy </w:t>
      </w:r>
      <w:r w:rsidR="00705B67">
        <w:rPr>
          <w:noProof/>
        </w:rPr>
        <w:t xml:space="preserve">přijmou </w:t>
      </w:r>
      <w:r w:rsidR="00C15382">
        <w:rPr>
          <w:noProof/>
        </w:rPr>
        <w:t xml:space="preserve">zvláštní opatření pro identifikaci vozidel nebo souprav vozidel v provozu, které pravděpodobně překročily maximální přípustnou hmotnost, a u nichž proto </w:t>
      </w:r>
      <w:r w:rsidR="00AD12E6" w:rsidRPr="00AD12E6">
        <w:rPr>
          <w:noProof/>
        </w:rPr>
        <w:fldChar w:fldCharType="begin"/>
      </w:r>
      <w:r w:rsidR="00AD12E6" w:rsidRPr="00AD12E6">
        <w:rPr>
          <w:noProof/>
        </w:rPr>
        <w:instrText xml:space="preserve"> QUOTE "</w:instrText>
      </w:r>
      <w:r w:rsidR="00AD12E6" w:rsidRPr="00AD12E6">
        <w:rPr>
          <w:rStyle w:val="CRMarker"/>
          <w:noProof/>
        </w:rPr>
        <w:instrText>Ö</w:instrText>
      </w:r>
      <w:r w:rsidR="00AD12E6" w:rsidRPr="00AD12E6">
        <w:rPr>
          <w:noProof/>
        </w:rPr>
        <w:instrText xml:space="preserve">" </w:instrText>
      </w:r>
      <w:r w:rsidR="00AD12E6" w:rsidRPr="00AD12E6">
        <w:rPr>
          <w:noProof/>
        </w:rPr>
        <w:fldChar w:fldCharType="separate"/>
      </w:r>
      <w:r w:rsidR="00AD12E6" w:rsidRPr="00AD12E6">
        <w:rPr>
          <w:rStyle w:val="CRMarker"/>
          <w:noProof/>
        </w:rPr>
        <w:t>Ö</w:t>
      </w:r>
      <w:r w:rsidR="00AD12E6" w:rsidRPr="00AD12E6">
        <w:rPr>
          <w:noProof/>
        </w:rPr>
        <w:fldChar w:fldCharType="end"/>
      </w:r>
      <w:r w:rsidR="00AD12E6" w:rsidRPr="00AD12E6">
        <w:rPr>
          <w:noProof/>
        </w:rPr>
        <w:t> </w:t>
      </w:r>
      <w:r w:rsidR="00D6464F">
        <w:rPr>
          <w:noProof/>
        </w:rPr>
        <w:t>musí</w:t>
      </w:r>
      <w:r w:rsidR="00AD12E6" w:rsidRPr="00AD12E6">
        <w:rPr>
          <w:noProof/>
        </w:rPr>
        <w:t> </w:t>
      </w:r>
      <w:r w:rsidR="00AD12E6" w:rsidRPr="00AD12E6">
        <w:rPr>
          <w:noProof/>
        </w:rPr>
        <w:fldChar w:fldCharType="begin"/>
      </w:r>
      <w:r w:rsidR="00AD12E6" w:rsidRPr="00AD12E6">
        <w:rPr>
          <w:noProof/>
        </w:rPr>
        <w:instrText xml:space="preserve"> QUOTE "</w:instrText>
      </w:r>
      <w:r w:rsidR="00AD12E6" w:rsidRPr="00AD12E6">
        <w:rPr>
          <w:rStyle w:val="CRMarker"/>
          <w:noProof/>
        </w:rPr>
        <w:instrText>Õ</w:instrText>
      </w:r>
      <w:r w:rsidR="00AD12E6" w:rsidRPr="00AD12E6">
        <w:rPr>
          <w:noProof/>
        </w:rPr>
        <w:instrText xml:space="preserve">" </w:instrText>
      </w:r>
      <w:r w:rsidR="00AD12E6" w:rsidRPr="00AD12E6">
        <w:rPr>
          <w:noProof/>
        </w:rPr>
        <w:fldChar w:fldCharType="separate"/>
      </w:r>
      <w:r w:rsidR="00AD12E6" w:rsidRPr="00AD12E6">
        <w:rPr>
          <w:rStyle w:val="CRMarker"/>
          <w:noProof/>
        </w:rPr>
        <w:t>Õ</w:t>
      </w:r>
      <w:r w:rsidR="00AD12E6" w:rsidRPr="00AD12E6">
        <w:rPr>
          <w:noProof/>
        </w:rPr>
        <w:fldChar w:fldCharType="end"/>
      </w:r>
      <w:r w:rsidR="00D6464F" w:rsidRPr="00D6464F">
        <w:rPr>
          <w:noProof/>
        </w:rPr>
        <w:t xml:space="preserve"> </w:t>
      </w:r>
      <w:r w:rsidR="00C15382">
        <w:rPr>
          <w:noProof/>
        </w:rPr>
        <w:t>příslušné orgány provést kontrolu s cílem zajistit soulad s požadavky této směrnice. Tato opatření mohou být prováděna pomocí automatických systémů zřízených v silniční infrastruktuře nebo pomocí palubního zařízení pro zjišťování hmotnosti instalovaného ve vozidlech v souladu s odstavcem 4.</w:t>
      </w:r>
    </w:p>
    <w:p w14:paraId="53B004B9" w14:textId="77777777" w:rsidR="00C15382" w:rsidRDefault="00C15382" w:rsidP="00C15382">
      <w:pPr>
        <w:rPr>
          <w:noProof/>
        </w:rPr>
      </w:pPr>
      <w:r>
        <w:rPr>
          <w:noProof/>
        </w:rPr>
        <w:t>Členský stát nesmí požadovat instalaci palubního zařízení pro zjišťování hmotnosti ve vozidlech nebo soupravách vozidel, které jsou registrovány v jiném členském státě.</w:t>
      </w:r>
    </w:p>
    <w:p w14:paraId="22B21B6E" w14:textId="0E92742A" w:rsidR="00C15382" w:rsidRDefault="00C15382" w:rsidP="00C15382">
      <w:pPr>
        <w:rPr>
          <w:noProof/>
        </w:rPr>
      </w:pPr>
      <w:r>
        <w:rPr>
          <w:noProof/>
        </w:rPr>
        <w:t xml:space="preserve">Aniž je dotčeno unijní nebo vnitrostátní právo, musí být automatické systémy v případě, že se používají při zjišťování porušení této směrnice a ukládání sankcí, certifikovány. Používají-li se automatické systémy pouze pro účely identifikace, certifikace </w:t>
      </w:r>
      <w:r w:rsidR="004D4F9E" w:rsidRPr="00715A58">
        <w:rPr>
          <w:noProof/>
        </w:rPr>
        <w:fldChar w:fldCharType="begin"/>
      </w:r>
      <w:r w:rsidR="004D4F9E" w:rsidRPr="00397D95">
        <w:rPr>
          <w:noProof/>
        </w:rPr>
        <w:instrText xml:space="preserve"> QUOTE "</w:instrText>
      </w:r>
      <w:r w:rsidR="004D4F9E" w:rsidRPr="00397D95">
        <w:rPr>
          <w:rStyle w:val="CRMarker"/>
          <w:noProof/>
        </w:rPr>
        <w:instrText>Ö</w:instrText>
      </w:r>
      <w:r w:rsidR="004D4F9E" w:rsidRPr="00397D95">
        <w:rPr>
          <w:noProof/>
        </w:rPr>
        <w:instrText xml:space="preserve">" </w:instrText>
      </w:r>
      <w:r w:rsidR="004D4F9E" w:rsidRPr="00715A58">
        <w:rPr>
          <w:noProof/>
        </w:rPr>
        <w:fldChar w:fldCharType="separate"/>
      </w:r>
      <w:r w:rsidR="004D4F9E" w:rsidRPr="00397D95">
        <w:rPr>
          <w:rStyle w:val="CRMarker"/>
          <w:noProof/>
        </w:rPr>
        <w:t>Ö</w:t>
      </w:r>
      <w:r w:rsidR="004D4F9E" w:rsidRPr="00715A58">
        <w:rPr>
          <w:noProof/>
        </w:rPr>
        <w:fldChar w:fldCharType="end"/>
      </w:r>
      <w:r w:rsidR="004D4F9E" w:rsidRPr="00397D95">
        <w:rPr>
          <w:noProof/>
        </w:rPr>
        <w:t> </w:t>
      </w:r>
      <w:r w:rsidR="004D4F9E">
        <w:rPr>
          <w:noProof/>
        </w:rPr>
        <w:t>se</w:t>
      </w:r>
      <w:r w:rsidR="004D4F9E" w:rsidRPr="00397D95">
        <w:rPr>
          <w:noProof/>
        </w:rPr>
        <w:t> </w:t>
      </w:r>
      <w:r w:rsidR="004D4F9E" w:rsidRPr="00715A58">
        <w:rPr>
          <w:noProof/>
        </w:rPr>
        <w:fldChar w:fldCharType="begin"/>
      </w:r>
      <w:r w:rsidR="004D4F9E" w:rsidRPr="00397D95">
        <w:rPr>
          <w:noProof/>
        </w:rPr>
        <w:instrText xml:space="preserve"> QUOTE "</w:instrText>
      </w:r>
      <w:r w:rsidR="004D4F9E" w:rsidRPr="00397D95">
        <w:rPr>
          <w:rStyle w:val="CRMarker"/>
          <w:noProof/>
        </w:rPr>
        <w:instrText>Õ</w:instrText>
      </w:r>
      <w:r w:rsidR="004D4F9E" w:rsidRPr="00397D95">
        <w:rPr>
          <w:noProof/>
        </w:rPr>
        <w:instrText xml:space="preserve">" </w:instrText>
      </w:r>
      <w:r w:rsidR="004D4F9E" w:rsidRPr="00715A58">
        <w:rPr>
          <w:noProof/>
        </w:rPr>
        <w:fldChar w:fldCharType="separate"/>
      </w:r>
      <w:r w:rsidR="004D4F9E" w:rsidRPr="00397D95">
        <w:rPr>
          <w:rStyle w:val="CRMarker"/>
          <w:noProof/>
        </w:rPr>
        <w:t>Õ</w:t>
      </w:r>
      <w:r w:rsidR="004D4F9E" w:rsidRPr="00715A58">
        <w:rPr>
          <w:noProof/>
        </w:rPr>
        <w:fldChar w:fldCharType="end"/>
      </w:r>
      <w:r w:rsidR="004D4F9E">
        <w:rPr>
          <w:noProof/>
        </w:rPr>
        <w:t xml:space="preserve"> </w:t>
      </w:r>
      <w:r>
        <w:rPr>
          <w:noProof/>
        </w:rPr>
        <w:t xml:space="preserve">u nich </w:t>
      </w:r>
      <w:r w:rsidR="004D4F9E" w:rsidRPr="00715A58">
        <w:rPr>
          <w:noProof/>
        </w:rPr>
        <w:fldChar w:fldCharType="begin"/>
      </w:r>
      <w:r w:rsidR="004D4F9E" w:rsidRPr="00397D95">
        <w:rPr>
          <w:noProof/>
        </w:rPr>
        <w:instrText xml:space="preserve"> QUOTE "</w:instrText>
      </w:r>
      <w:r w:rsidR="004D4F9E" w:rsidRPr="00397D95">
        <w:rPr>
          <w:rStyle w:val="CRMarker"/>
          <w:noProof/>
        </w:rPr>
        <w:instrText>Ö</w:instrText>
      </w:r>
      <w:r w:rsidR="004D4F9E" w:rsidRPr="00397D95">
        <w:rPr>
          <w:noProof/>
        </w:rPr>
        <w:instrText xml:space="preserve">" </w:instrText>
      </w:r>
      <w:r w:rsidR="004D4F9E" w:rsidRPr="00715A58">
        <w:rPr>
          <w:noProof/>
        </w:rPr>
        <w:fldChar w:fldCharType="separate"/>
      </w:r>
      <w:r w:rsidR="004D4F9E" w:rsidRPr="00397D95">
        <w:rPr>
          <w:rStyle w:val="CRMarker"/>
          <w:noProof/>
        </w:rPr>
        <w:t>Ö</w:t>
      </w:r>
      <w:r w:rsidR="004D4F9E" w:rsidRPr="00715A58">
        <w:rPr>
          <w:noProof/>
        </w:rPr>
        <w:fldChar w:fldCharType="end"/>
      </w:r>
      <w:r w:rsidR="004D4F9E" w:rsidRPr="00397D95">
        <w:rPr>
          <w:noProof/>
        </w:rPr>
        <w:t> </w:t>
      </w:r>
      <w:r w:rsidR="004D4F9E">
        <w:rPr>
          <w:noProof/>
        </w:rPr>
        <w:t>nevyžaduje</w:t>
      </w:r>
      <w:r w:rsidR="004D4F9E" w:rsidRPr="00397D95">
        <w:rPr>
          <w:noProof/>
        </w:rPr>
        <w:t> </w:t>
      </w:r>
      <w:r w:rsidR="004D4F9E" w:rsidRPr="00715A58">
        <w:rPr>
          <w:noProof/>
        </w:rPr>
        <w:fldChar w:fldCharType="begin"/>
      </w:r>
      <w:r w:rsidR="004D4F9E" w:rsidRPr="00397D95">
        <w:rPr>
          <w:noProof/>
        </w:rPr>
        <w:instrText xml:space="preserve"> QUOTE "</w:instrText>
      </w:r>
      <w:r w:rsidR="004D4F9E" w:rsidRPr="00397D95">
        <w:rPr>
          <w:rStyle w:val="CRMarker"/>
          <w:noProof/>
        </w:rPr>
        <w:instrText>Õ</w:instrText>
      </w:r>
      <w:r w:rsidR="004D4F9E" w:rsidRPr="00397D95">
        <w:rPr>
          <w:noProof/>
        </w:rPr>
        <w:instrText xml:space="preserve">" </w:instrText>
      </w:r>
      <w:r w:rsidR="004D4F9E" w:rsidRPr="00715A58">
        <w:rPr>
          <w:noProof/>
        </w:rPr>
        <w:fldChar w:fldCharType="separate"/>
      </w:r>
      <w:r w:rsidR="004D4F9E" w:rsidRPr="00397D95">
        <w:rPr>
          <w:rStyle w:val="CRMarker"/>
          <w:noProof/>
        </w:rPr>
        <w:t>Õ</w:t>
      </w:r>
      <w:r w:rsidR="004D4F9E" w:rsidRPr="00715A58">
        <w:rPr>
          <w:noProof/>
        </w:rPr>
        <w:fldChar w:fldCharType="end"/>
      </w:r>
      <w:r>
        <w:rPr>
          <w:noProof/>
        </w:rPr>
        <w:t>.</w:t>
      </w:r>
    </w:p>
    <w:p w14:paraId="25D305DB" w14:textId="0D6D85F8" w:rsidR="00C15382" w:rsidRDefault="00BE12D7" w:rsidP="00C15382">
      <w:pPr>
        <w:rPr>
          <w:noProof/>
        </w:rPr>
      </w:pPr>
      <w:r>
        <w:rPr>
          <w:noProof/>
        </w:rPr>
        <w:t xml:space="preserve">2. </w:t>
      </w:r>
      <w:r w:rsidR="00C15382">
        <w:rPr>
          <w:noProof/>
        </w:rPr>
        <w:t>Každý členský stát provede v každém kalendářním roce odpovídající počet kontrol hmotnosti vozidel nebo souprav vozidel v provozu, který je přiměřený celkovému počtu vozidel každoročně kontrolovaných na jeho území.</w:t>
      </w:r>
    </w:p>
    <w:p w14:paraId="2B94738F" w14:textId="0FFFDEA2" w:rsidR="00C15382" w:rsidRDefault="00BE12D7" w:rsidP="00C15382">
      <w:pPr>
        <w:rPr>
          <w:noProof/>
        </w:rPr>
      </w:pPr>
      <w:r>
        <w:rPr>
          <w:noProof/>
        </w:rPr>
        <w:t xml:space="preserve">3. </w:t>
      </w:r>
      <w:r w:rsidR="00C15382">
        <w:rPr>
          <w:noProof/>
        </w:rPr>
        <w:t>Členské státy zajistí, aby si příslušné orgány vyměňovaly informace o porušení předpisů a sankcích souvisejících s tímto článkem, v souladu s článkem 18 nařízení</w:t>
      </w:r>
      <w:r w:rsidR="00732AF8">
        <w:rPr>
          <w:noProof/>
        </w:rPr>
        <w:t xml:space="preserve"> </w:t>
      </w:r>
      <w:r w:rsidR="009C55AA">
        <w:rPr>
          <w:noProof/>
        </w:rPr>
        <w:t>(ES) č. </w:t>
      </w:r>
      <w:r w:rsidR="00C15382">
        <w:rPr>
          <w:noProof/>
        </w:rPr>
        <w:t>1071/2009.</w:t>
      </w:r>
    </w:p>
    <w:p w14:paraId="7921F5FC" w14:textId="70460C85" w:rsidR="00C15382" w:rsidRDefault="00C15382" w:rsidP="00C15382">
      <w:pPr>
        <w:rPr>
          <w:noProof/>
        </w:rPr>
      </w:pPr>
      <w:r>
        <w:rPr>
          <w:noProof/>
        </w:rPr>
        <w:t>4.</w:t>
      </w:r>
      <w:r w:rsidR="00BE12D7">
        <w:rPr>
          <w:noProof/>
        </w:rPr>
        <w:t xml:space="preserve"> </w:t>
      </w:r>
      <w:r>
        <w:rPr>
          <w:noProof/>
        </w:rPr>
        <w:t>Palubní zařízení pro zjišťování hmotnosti vozidla uvedené v odstavci 1 musí být přesné a spolehlivé, plně interoperabilní a kompatibilní se všemi typy vozidel.</w:t>
      </w:r>
    </w:p>
    <w:p w14:paraId="26E6B7DD" w14:textId="7864A0C1" w:rsidR="00C15382" w:rsidRDefault="00BE12D7" w:rsidP="00C15382">
      <w:pPr>
        <w:rPr>
          <w:noProof/>
        </w:rPr>
      </w:pPr>
      <w:r>
        <w:rPr>
          <w:noProof/>
        </w:rPr>
        <w:t xml:space="preserve">5. </w:t>
      </w:r>
      <w:r w:rsidR="00C15382">
        <w:rPr>
          <w:noProof/>
        </w:rPr>
        <w:t>Komise přijme prováděcí akty, jimiž se stanoví podrobná ustanovení zajišťující jednotné podmínky k provedení předpisů o interoperabilitě a kompatibilitě uvedených v odstavci 4.</w:t>
      </w:r>
    </w:p>
    <w:p w14:paraId="7C2861BD" w14:textId="7D912448" w:rsidR="00C15382" w:rsidRDefault="00C15382" w:rsidP="00C15382">
      <w:pPr>
        <w:rPr>
          <w:noProof/>
        </w:rPr>
      </w:pPr>
      <w:r>
        <w:rPr>
          <w:noProof/>
        </w:rPr>
        <w:t>K zajištění interoperability musí tato podrobná ustanovení umožnit, aby údaje o hmotnosti byly z jedoucího vozidla v kterémkoliv okamžiku sdělovány příslušným orgánům a řidiči tohoto vozidla. Komunikace bude prováděna pomocí rozh</w:t>
      </w:r>
      <w:r w:rsidR="00AD12E6">
        <w:rPr>
          <w:noProof/>
        </w:rPr>
        <w:t>raní definovaného v normách CEN </w:t>
      </w:r>
      <w:r>
        <w:rPr>
          <w:noProof/>
        </w:rPr>
        <w:t>DSRC EN 12253, EN 12795, EN 12834, EN 13372 a ISO 14906. Kromě toho tato komunikace zajistí, aby příslušné orgány členských států mohly stejným způsobem sdělovat informace a vyměňovat si je s vozidly a soupravami vozidel registrovanými v kterémkoli členském státě a používajícími palubní zařízení pro zjišťování hmotnosti.</w:t>
      </w:r>
    </w:p>
    <w:p w14:paraId="343A824D" w14:textId="77777777" w:rsidR="00C15382" w:rsidRDefault="00C15382" w:rsidP="00C15382">
      <w:pPr>
        <w:rPr>
          <w:noProof/>
        </w:rPr>
      </w:pPr>
      <w:r>
        <w:rPr>
          <w:noProof/>
        </w:rPr>
        <w:t>Pro zajištění kompatibility se všemi typy vozidel musí palubní systémy motorových vozidel umožňovat příjem a zpracování veškerých údajů z jakéhokoli typu přípojného vozidla a návěsu připojeného k motorovému vozidlu.</w:t>
      </w:r>
    </w:p>
    <w:p w14:paraId="43A59A84" w14:textId="4328ADEA" w:rsidR="00C15382" w:rsidRDefault="00C15382" w:rsidP="00C15382">
      <w:pPr>
        <w:rPr>
          <w:noProof/>
        </w:rPr>
      </w:pPr>
      <w:r>
        <w:rPr>
          <w:noProof/>
        </w:rPr>
        <w:t xml:space="preserve">Tyto prováděcí akty se přijmou přezkumným postupem podle čl. </w:t>
      </w:r>
      <w:r w:rsidR="00BE12D7" w:rsidRPr="00732AF8">
        <w:rPr>
          <w:noProof/>
        </w:rPr>
        <w:t>17</w:t>
      </w:r>
      <w:r>
        <w:rPr>
          <w:noProof/>
        </w:rPr>
        <w:t xml:space="preserve"> odst. 2.</w:t>
      </w:r>
    </w:p>
    <w:p w14:paraId="43258BED" w14:textId="0AA4C7BF" w:rsidR="00C15382" w:rsidRDefault="00C15382" w:rsidP="00C15382">
      <w:pPr>
        <w:pStyle w:val="Titrearticle"/>
        <w:rPr>
          <w:noProof/>
        </w:rPr>
      </w:pPr>
      <w:r>
        <w:rPr>
          <w:noProof/>
        </w:rPr>
        <w:t xml:space="preserve">Článek </w:t>
      </w:r>
      <w:r w:rsidR="00792C56" w:rsidRPr="00732AF8">
        <w:rPr>
          <w:noProof/>
        </w:rPr>
        <w:t>13</w:t>
      </w:r>
    </w:p>
    <w:p w14:paraId="1275D200" w14:textId="77777777" w:rsidR="00C15382" w:rsidRDefault="00C15382" w:rsidP="00C15382">
      <w:pPr>
        <w:rPr>
          <w:noProof/>
        </w:rPr>
      </w:pPr>
      <w:r>
        <w:rPr>
          <w:noProof/>
        </w:rPr>
        <w:t>Členské státy stanoví sankce za porušení této směrnice a přijmou veškerá opatření nezbytná k jejich uplatňování. Tyto sankce musí být účinné, nediskriminační, přiměřené a odrazující. Členské státy oznámí takto stanovené sankce Komisi.</w:t>
      </w:r>
    </w:p>
    <w:p w14:paraId="4D0607BE" w14:textId="6E8FA6C7" w:rsidR="00C15382" w:rsidRDefault="00C15382" w:rsidP="00C15382">
      <w:pPr>
        <w:pStyle w:val="Titrearticle"/>
        <w:rPr>
          <w:noProof/>
        </w:rPr>
      </w:pPr>
      <w:r>
        <w:rPr>
          <w:noProof/>
        </w:rPr>
        <w:t xml:space="preserve">Článek </w:t>
      </w:r>
      <w:r w:rsidR="00792C56" w:rsidRPr="00732AF8">
        <w:rPr>
          <w:noProof/>
        </w:rPr>
        <w:t>14</w:t>
      </w:r>
    </w:p>
    <w:p w14:paraId="7B63D145" w14:textId="6A406B61" w:rsidR="00C15382" w:rsidRDefault="00792C56" w:rsidP="00AD12E6">
      <w:pPr>
        <w:keepNext/>
        <w:rPr>
          <w:noProof/>
        </w:rPr>
      </w:pPr>
      <w:r>
        <w:rPr>
          <w:noProof/>
        </w:rPr>
        <w:t xml:space="preserve">1. </w:t>
      </w:r>
      <w:r w:rsidR="00C15382">
        <w:rPr>
          <w:noProof/>
        </w:rPr>
        <w:t>Pokud jde o přepravu kontejnerů a výměnných nástaveb, členské státy stanoví pravidla požadující, aby:</w:t>
      </w:r>
    </w:p>
    <w:p w14:paraId="3F604EAF" w14:textId="66A65350" w:rsidR="00C15382" w:rsidRDefault="00C15382" w:rsidP="00C15382">
      <w:pPr>
        <w:pStyle w:val="Point0"/>
        <w:rPr>
          <w:noProof/>
        </w:rPr>
      </w:pPr>
      <w:r>
        <w:rPr>
          <w:noProof/>
        </w:rPr>
        <w:t>a)</w:t>
      </w:r>
      <w:r>
        <w:rPr>
          <w:noProof/>
        </w:rPr>
        <w:tab/>
        <w:t>nakládající subjekt předložil přepravci, kterému svěřuje přepravu kontejneru nebo výměnné nástavby, prohlášení uvádějící hmotnost přepravovaného kontejneru nebo výměnné nástavby</w:t>
      </w:r>
      <w:r w:rsidR="00792C56">
        <w:rPr>
          <w:noProof/>
        </w:rPr>
        <w:t>;</w:t>
      </w:r>
    </w:p>
    <w:p w14:paraId="6CB76AE9" w14:textId="7E2AFBD2" w:rsidR="00C15382" w:rsidRDefault="00C15382" w:rsidP="00C15382">
      <w:pPr>
        <w:pStyle w:val="Point0"/>
        <w:rPr>
          <w:noProof/>
        </w:rPr>
      </w:pPr>
      <w:r>
        <w:rPr>
          <w:noProof/>
        </w:rPr>
        <w:t>b)</w:t>
      </w:r>
      <w:r>
        <w:rPr>
          <w:noProof/>
        </w:rPr>
        <w:tab/>
        <w:t>přepravce zajistil přístup k veškeré relevantní dokumentaci poskytnuté nakládajícím subjektem.</w:t>
      </w:r>
    </w:p>
    <w:p w14:paraId="538D5698" w14:textId="356741C5" w:rsidR="00C15382" w:rsidRDefault="00792C56" w:rsidP="00C15382">
      <w:pPr>
        <w:rPr>
          <w:noProof/>
        </w:rPr>
      </w:pPr>
      <w:r>
        <w:rPr>
          <w:noProof/>
        </w:rPr>
        <w:t xml:space="preserve">2. </w:t>
      </w:r>
      <w:r w:rsidR="00C15382">
        <w:rPr>
          <w:noProof/>
        </w:rPr>
        <w:t>Členské státy stanoví pravidla týkající se odpovědnosti nakládajícího subjektu a případně i přepravce v případech, kdy informace uvedené v odstavci 1 chybí nebo jsou nesprávné a vozidlo nebo souprava vozidel jsou přetížené.</w:t>
      </w:r>
    </w:p>
    <w:p w14:paraId="703FD910" w14:textId="17FE0992" w:rsidR="00C15382" w:rsidRDefault="00C15382" w:rsidP="00C15382">
      <w:pPr>
        <w:pStyle w:val="Titrearticle"/>
        <w:rPr>
          <w:noProof/>
        </w:rPr>
      </w:pPr>
      <w:r>
        <w:rPr>
          <w:noProof/>
        </w:rPr>
        <w:t xml:space="preserve">Článek </w:t>
      </w:r>
      <w:r w:rsidR="007F1275" w:rsidRPr="00732AF8">
        <w:rPr>
          <w:noProof/>
        </w:rPr>
        <w:t>15</w:t>
      </w:r>
    </w:p>
    <w:p w14:paraId="5C771E77" w14:textId="77777777" w:rsidR="00C15382" w:rsidRDefault="00C15382" w:rsidP="00C15382">
      <w:pPr>
        <w:rPr>
          <w:noProof/>
        </w:rPr>
      </w:pPr>
      <w:r>
        <w:rPr>
          <w:noProof/>
        </w:rPr>
        <w:t>Každé dva roky a nejpozději 30. září roku následujícího po konci příslušného dvouletého období zašlou členské státy Komisi nezbytné informace o:</w:t>
      </w:r>
    </w:p>
    <w:p w14:paraId="60D8AB8C" w14:textId="7FAB76DA" w:rsidR="00C15382" w:rsidRPr="00732AF8" w:rsidRDefault="00C15382" w:rsidP="00C15382">
      <w:pPr>
        <w:pStyle w:val="Point0"/>
        <w:rPr>
          <w:noProof/>
        </w:rPr>
      </w:pPr>
      <w:r w:rsidRPr="00732AF8">
        <w:rPr>
          <w:noProof/>
        </w:rPr>
        <w:t>a)</w:t>
      </w:r>
      <w:r w:rsidRPr="00732AF8">
        <w:rPr>
          <w:noProof/>
        </w:rPr>
        <w:tab/>
        <w:t>počtu kontrol provedených v předchozích dvou kalendářních rocích</w:t>
      </w:r>
      <w:r w:rsidR="00230DDD" w:rsidRPr="00732AF8">
        <w:rPr>
          <w:noProof/>
        </w:rPr>
        <w:t>;</w:t>
      </w:r>
    </w:p>
    <w:p w14:paraId="7339FE69" w14:textId="02DFE866" w:rsidR="00C15382" w:rsidRPr="00732AF8" w:rsidRDefault="00C15382" w:rsidP="00C15382">
      <w:pPr>
        <w:pStyle w:val="Point0"/>
        <w:rPr>
          <w:noProof/>
        </w:rPr>
      </w:pPr>
      <w:r w:rsidRPr="00732AF8">
        <w:rPr>
          <w:noProof/>
        </w:rPr>
        <w:t>b)</w:t>
      </w:r>
      <w:r w:rsidRPr="00732AF8">
        <w:rPr>
          <w:noProof/>
        </w:rPr>
        <w:tab/>
        <w:t>počtu zjištěných přetížených vozidel nebo souprav vozidel.</w:t>
      </w:r>
    </w:p>
    <w:p w14:paraId="12E1F935" w14:textId="52600C93" w:rsidR="00C15382" w:rsidRPr="00732AF8" w:rsidRDefault="00C15382" w:rsidP="00C15382">
      <w:pPr>
        <w:rPr>
          <w:noProof/>
        </w:rPr>
      </w:pPr>
      <w:r w:rsidRPr="00732AF8">
        <w:rPr>
          <w:noProof/>
        </w:rPr>
        <w:t>Tyto informace mohou být součástí informací předkládaných podle článku 17 nařízení Evrop</w:t>
      </w:r>
      <w:r w:rsidR="009C55AA">
        <w:rPr>
          <w:noProof/>
        </w:rPr>
        <w:t>ského parlamentu a Rady (ES) č. </w:t>
      </w:r>
      <w:r w:rsidRPr="00732AF8">
        <w:rPr>
          <w:noProof/>
        </w:rPr>
        <w:t>561/2006</w:t>
      </w:r>
      <w:r>
        <w:rPr>
          <w:rStyle w:val="FootnoteReference"/>
          <w:noProof/>
        </w:rPr>
        <w:footnoteReference w:id="17"/>
      </w:r>
      <w:r w:rsidRPr="00732AF8">
        <w:rPr>
          <w:noProof/>
        </w:rPr>
        <w:t>.</w:t>
      </w:r>
    </w:p>
    <w:p w14:paraId="022231DC" w14:textId="782B6D50" w:rsidR="00C15382" w:rsidRPr="00732AF8" w:rsidRDefault="00C15382" w:rsidP="00C15382">
      <w:pPr>
        <w:rPr>
          <w:noProof/>
        </w:rPr>
      </w:pPr>
      <w:r w:rsidRPr="00732AF8">
        <w:rPr>
          <w:noProof/>
        </w:rPr>
        <w:t>Komise vypracuje analýzu informací obdržených podle tohoto článku a zahrne ji do zprávy, kter</w:t>
      </w:r>
      <w:r w:rsidR="005647EF">
        <w:rPr>
          <w:noProof/>
        </w:rPr>
        <w:t>á má být podle nařízení (ES) č. </w:t>
      </w:r>
      <w:r w:rsidRPr="00732AF8">
        <w:rPr>
          <w:noProof/>
        </w:rPr>
        <w:t>561/2006 postoupena Evropskému parlamentu a Radě.</w:t>
      </w:r>
    </w:p>
    <w:p w14:paraId="74DF82F6" w14:textId="07C1E176" w:rsidR="00C15382" w:rsidRPr="00732AF8" w:rsidRDefault="00C15382" w:rsidP="00C15382">
      <w:pPr>
        <w:pStyle w:val="Titrearticle"/>
        <w:rPr>
          <w:noProof/>
        </w:rPr>
      </w:pPr>
      <w:r w:rsidRPr="00732AF8">
        <w:rPr>
          <w:noProof/>
        </w:rPr>
        <w:t xml:space="preserve">Článek </w:t>
      </w:r>
      <w:r w:rsidR="00230DDD" w:rsidRPr="00732AF8">
        <w:rPr>
          <w:noProof/>
        </w:rPr>
        <w:t>16</w:t>
      </w:r>
    </w:p>
    <w:p w14:paraId="3DB0007F" w14:textId="2B90C614" w:rsidR="00C15382" w:rsidRPr="00732AF8" w:rsidRDefault="00230DDD" w:rsidP="00C15382">
      <w:pPr>
        <w:rPr>
          <w:noProof/>
        </w:rPr>
      </w:pPr>
      <w:r w:rsidRPr="00732AF8">
        <w:rPr>
          <w:noProof/>
        </w:rPr>
        <w:t xml:space="preserve">1. </w:t>
      </w:r>
      <w:r w:rsidR="00C15382" w:rsidRPr="00732AF8">
        <w:rPr>
          <w:noProof/>
        </w:rPr>
        <w:t>Pravomoc přijímat akty v přenesené pravomoci je svěřena Komisi za podmínek stanovených v tomto článku.</w:t>
      </w:r>
    </w:p>
    <w:p w14:paraId="240FCC8C" w14:textId="33F320EB" w:rsidR="00C15382" w:rsidRPr="00732AF8" w:rsidRDefault="00230DDD" w:rsidP="00C15382">
      <w:pPr>
        <w:rPr>
          <w:noProof/>
        </w:rPr>
      </w:pPr>
      <w:r w:rsidRPr="00732AF8">
        <w:rPr>
          <w:noProof/>
        </w:rPr>
        <w:t xml:space="preserve">2. </w:t>
      </w:r>
      <w:r w:rsidR="00C15382" w:rsidRPr="00732AF8">
        <w:rPr>
          <w:noProof/>
        </w:rPr>
        <w:t>Pravomoc přijímat akty v přenesené pravomoci uvedená v článku 10 je svěřena Komisi na dobu pěti let od 26. května 2015. Komise vypracuje zprávu o přenesené pravomoci nejpozději devět měsíců před koncem tohoto pětiletého období. Přenesení pravomoci se automaticky prodlužuje o stejně dlouhá období, pokud Evropský parlament nebo Rada nevysloví proti tomuto prodloužení námitku nejpozději tři měsíce před koncem každého z těchto období.</w:t>
      </w:r>
    </w:p>
    <w:p w14:paraId="0D26EA7C" w14:textId="1142A1EE" w:rsidR="00C15382" w:rsidRPr="00732AF8" w:rsidRDefault="00230DDD" w:rsidP="00C15382">
      <w:pPr>
        <w:rPr>
          <w:noProof/>
        </w:rPr>
      </w:pPr>
      <w:r w:rsidRPr="00732AF8">
        <w:rPr>
          <w:noProof/>
        </w:rPr>
        <w:t xml:space="preserve">3. </w:t>
      </w:r>
      <w:r w:rsidR="00C15382" w:rsidRPr="00732AF8">
        <w:rPr>
          <w:noProof/>
        </w:rPr>
        <w:t xml:space="preserve">Evropský parlament nebo Rada mohou přenesení pravomoci uvedené v článku 10 kdykoli zrušit. Rozhodnutím o zrušení se ukončuje přenesení pravomoci v něm blíže určené. Rozhodnutí nabývá účinku prvním dnem po zveřejnění v </w:t>
      </w:r>
      <w:r w:rsidR="00C15382" w:rsidRPr="00732AF8">
        <w:rPr>
          <w:i/>
          <w:iCs/>
          <w:noProof/>
        </w:rPr>
        <w:t>Úředním věstníku Evropské unie</w:t>
      </w:r>
      <w:r w:rsidR="00C15382" w:rsidRPr="00732AF8">
        <w:rPr>
          <w:noProof/>
        </w:rPr>
        <w:t xml:space="preserve"> nebo k pozdějšímu dni, který je v něm upřesněn. Nedotýká se platnosti již platných aktů v přenesené pravomoci.</w:t>
      </w:r>
    </w:p>
    <w:p w14:paraId="79BFE81B" w14:textId="45FCE681" w:rsidR="00230DDD" w:rsidRPr="0007074F" w:rsidRDefault="00230DDD" w:rsidP="00C15382">
      <w:pPr>
        <w:rPr>
          <w:noProof/>
        </w:rPr>
      </w:pPr>
      <w:r w:rsidRPr="00732AF8">
        <w:rPr>
          <w:noProof/>
        </w:rPr>
        <w:fldChar w:fldCharType="begin"/>
      </w:r>
      <w:r w:rsidRPr="00732AF8">
        <w:rPr>
          <w:noProof/>
        </w:rPr>
        <w:instrText xml:space="preserve"> QUOTE "</w:instrText>
      </w:r>
      <w:r w:rsidRPr="00732AF8">
        <w:rPr>
          <w:rStyle w:val="CRMarker"/>
          <w:noProof/>
        </w:rPr>
        <w:instrText>Ö</w:instrText>
      </w:r>
      <w:r w:rsidRPr="00732AF8">
        <w:rPr>
          <w:noProof/>
        </w:rPr>
        <w:instrText xml:space="preserve">" </w:instrText>
      </w:r>
      <w:r w:rsidRPr="00732AF8">
        <w:rPr>
          <w:noProof/>
        </w:rPr>
        <w:fldChar w:fldCharType="separate"/>
      </w:r>
      <w:r w:rsidRPr="00732AF8">
        <w:rPr>
          <w:rStyle w:val="CRMarker"/>
          <w:noProof/>
        </w:rPr>
        <w:t>Ö</w:t>
      </w:r>
      <w:r w:rsidRPr="00732AF8">
        <w:rPr>
          <w:noProof/>
        </w:rPr>
        <w:fldChar w:fldCharType="end"/>
      </w:r>
      <w:r w:rsidRPr="00230DDD">
        <w:rPr>
          <w:noProof/>
        </w:rPr>
        <w:t> </w:t>
      </w:r>
      <w:r w:rsidRPr="00732AF8">
        <w:rPr>
          <w:noProof/>
        </w:rPr>
        <w:t>4. Před přijetím aktu v přenesené pravomoci Komise vede konzultace s odborníky jmenovanými jednotlivými členskými státy v souladu se zásadami stanovenými v interinstitucionální dohodě o zdokonalení tvorby prá</w:t>
      </w:r>
      <w:r w:rsidR="0014768E">
        <w:rPr>
          <w:noProof/>
        </w:rPr>
        <w:t>vních předpisů ze dne 13. dubna </w:t>
      </w:r>
      <w:r w:rsidRPr="00732AF8">
        <w:rPr>
          <w:noProof/>
        </w:rPr>
        <w:t>2016. </w:t>
      </w:r>
      <w:r w:rsidRPr="00230DDD">
        <w:rPr>
          <w:noProof/>
        </w:rPr>
        <w:fldChar w:fldCharType="begin"/>
      </w:r>
      <w:r w:rsidRPr="00230DDD">
        <w:rPr>
          <w:noProof/>
        </w:rPr>
        <w:instrText xml:space="preserve"> QUOTE "</w:instrText>
      </w:r>
      <w:r w:rsidRPr="00732AF8">
        <w:rPr>
          <w:rStyle w:val="CRMarker"/>
          <w:noProof/>
        </w:rPr>
        <w:instrText>Õ</w:instrText>
      </w:r>
      <w:r w:rsidRPr="00230DDD">
        <w:rPr>
          <w:noProof/>
        </w:rPr>
        <w:instrText xml:space="preserve">" </w:instrText>
      </w:r>
      <w:r w:rsidRPr="00230DDD">
        <w:rPr>
          <w:noProof/>
        </w:rPr>
        <w:fldChar w:fldCharType="separate"/>
      </w:r>
      <w:r w:rsidRPr="00732AF8">
        <w:rPr>
          <w:rStyle w:val="CRMarker"/>
          <w:noProof/>
        </w:rPr>
        <w:t>Õ</w:t>
      </w:r>
      <w:r w:rsidRPr="00230DDD">
        <w:rPr>
          <w:noProof/>
        </w:rPr>
        <w:fldChar w:fldCharType="end"/>
      </w:r>
    </w:p>
    <w:p w14:paraId="28FE3F6F" w14:textId="444AD0AC" w:rsidR="00C15382" w:rsidRPr="0007074F" w:rsidRDefault="00230DDD" w:rsidP="00C15382">
      <w:pPr>
        <w:rPr>
          <w:noProof/>
        </w:rPr>
      </w:pPr>
      <w:r w:rsidRPr="00732AF8">
        <w:rPr>
          <w:noProof/>
        </w:rPr>
        <w:t>5</w:t>
      </w:r>
      <w:r w:rsidRPr="0007074F">
        <w:rPr>
          <w:noProof/>
        </w:rPr>
        <w:t xml:space="preserve">. </w:t>
      </w:r>
      <w:r w:rsidR="00C15382" w:rsidRPr="0007074F">
        <w:rPr>
          <w:noProof/>
        </w:rPr>
        <w:t>Přijetí aktu v přenesené pravomoci Komise neprodleně oznámí současně Evropskému parlamentu a Radě.</w:t>
      </w:r>
    </w:p>
    <w:p w14:paraId="3CD45B7E" w14:textId="3D9EF84A" w:rsidR="00C15382" w:rsidRPr="0007074F" w:rsidRDefault="00230DDD" w:rsidP="00C15382">
      <w:pPr>
        <w:rPr>
          <w:noProof/>
        </w:rPr>
      </w:pPr>
      <w:r w:rsidRPr="00732AF8">
        <w:rPr>
          <w:noProof/>
        </w:rPr>
        <w:t>6</w:t>
      </w:r>
      <w:r w:rsidRPr="0007074F">
        <w:rPr>
          <w:noProof/>
        </w:rPr>
        <w:t xml:space="preserve">. </w:t>
      </w:r>
      <w:r w:rsidR="00C15382" w:rsidRPr="0007074F">
        <w:rPr>
          <w:noProof/>
        </w:rPr>
        <w:t>Akt v přenesené pravomoci přijatý podle článku 10 vstoupí v platnost, pouze pokud proti němu Evropský parlament nebo Rada nevysloví námitky ve lhůtě dvou měsíců ode dne, kdy jim byl tento akt oznámen, nebo pokud Evropský parlament i Rada před uplynutím této lhůty informují Komisi o tom, že námitky nevysloví. Z podnětu Evropského parlamentu nebo Rady se tato lhůta prodlouží o dva měsíce.</w:t>
      </w:r>
    </w:p>
    <w:p w14:paraId="39C6C644" w14:textId="16A81683" w:rsidR="00C15382" w:rsidRPr="0007074F" w:rsidRDefault="00C15382" w:rsidP="00C15382">
      <w:pPr>
        <w:pStyle w:val="Titrearticle"/>
        <w:rPr>
          <w:noProof/>
        </w:rPr>
      </w:pPr>
      <w:r w:rsidRPr="0007074F">
        <w:rPr>
          <w:noProof/>
        </w:rPr>
        <w:t xml:space="preserve">Článek </w:t>
      </w:r>
      <w:r w:rsidR="00013094" w:rsidRPr="00732AF8">
        <w:rPr>
          <w:noProof/>
        </w:rPr>
        <w:t>17</w:t>
      </w:r>
    </w:p>
    <w:p w14:paraId="19B10236" w14:textId="095723DE" w:rsidR="00C15382" w:rsidRPr="0007074F" w:rsidRDefault="00DB52C9" w:rsidP="00C15382">
      <w:pPr>
        <w:rPr>
          <w:noProof/>
        </w:rPr>
      </w:pPr>
      <w:r w:rsidRPr="0007074F">
        <w:rPr>
          <w:noProof/>
        </w:rPr>
        <w:t xml:space="preserve">1. </w:t>
      </w:r>
      <w:r w:rsidR="00C15382" w:rsidRPr="0007074F">
        <w:rPr>
          <w:noProof/>
        </w:rPr>
        <w:t>Komisi je nápomocen Výbor pro silniční dopravu uvedený v článku 42 nařízení Evrop</w:t>
      </w:r>
      <w:r w:rsidR="009C55AA">
        <w:rPr>
          <w:noProof/>
        </w:rPr>
        <w:t>ského parlamentu a Rady (EU) č. </w:t>
      </w:r>
      <w:r w:rsidR="00C15382" w:rsidRPr="0007074F">
        <w:rPr>
          <w:noProof/>
        </w:rPr>
        <w:t>165/2014</w:t>
      </w:r>
      <w:r w:rsidR="00C15382">
        <w:rPr>
          <w:rStyle w:val="FootnoteReference"/>
          <w:noProof/>
        </w:rPr>
        <w:footnoteReference w:id="18"/>
      </w:r>
      <w:r w:rsidR="00C15382" w:rsidRPr="0007074F">
        <w:rPr>
          <w:noProof/>
        </w:rPr>
        <w:t>. Tento výbor je výborem ve smyslu nařízení</w:t>
      </w:r>
      <w:r w:rsidR="00732AF8">
        <w:rPr>
          <w:noProof/>
        </w:rPr>
        <w:t xml:space="preserve"> </w:t>
      </w:r>
      <w:r w:rsidR="009C55AA">
        <w:rPr>
          <w:noProof/>
        </w:rPr>
        <w:t>(EU) č. </w:t>
      </w:r>
      <w:r w:rsidR="00C15382" w:rsidRPr="0007074F">
        <w:rPr>
          <w:noProof/>
        </w:rPr>
        <w:t>182/2011.</w:t>
      </w:r>
    </w:p>
    <w:p w14:paraId="36AE8D7C" w14:textId="35196B2A" w:rsidR="00C15382" w:rsidRDefault="00DB52C9" w:rsidP="00C15382">
      <w:pPr>
        <w:rPr>
          <w:noProof/>
        </w:rPr>
      </w:pPr>
      <w:r>
        <w:rPr>
          <w:noProof/>
        </w:rPr>
        <w:t xml:space="preserve">2. </w:t>
      </w:r>
      <w:r w:rsidR="00C15382">
        <w:rPr>
          <w:noProof/>
        </w:rPr>
        <w:t>Odkazuje-li se na tento odstavec, použi</w:t>
      </w:r>
      <w:r w:rsidR="009C55AA">
        <w:rPr>
          <w:noProof/>
        </w:rPr>
        <w:t>je se článek 5 nařízení (EU) č. </w:t>
      </w:r>
      <w:r w:rsidR="00C15382">
        <w:rPr>
          <w:noProof/>
        </w:rPr>
        <w:t>182/2011.</w:t>
      </w:r>
    </w:p>
    <w:p w14:paraId="6176ACE8" w14:textId="01684AFE" w:rsidR="00C15382" w:rsidRDefault="00DB52C9" w:rsidP="00C15382">
      <w:pPr>
        <w:rPr>
          <w:noProof/>
        </w:rPr>
      </w:pPr>
      <w:r>
        <w:rPr>
          <w:noProof/>
        </w:rPr>
        <w:t xml:space="preserve">3. </w:t>
      </w:r>
      <w:r w:rsidR="00C15382">
        <w:rPr>
          <w:noProof/>
        </w:rPr>
        <w:t>Pokud výbor nevydá žádné stanovisko, Komise navrhovaný prováděcí akt nepřijme a použije se čl. 5 odst. 4 tře</w:t>
      </w:r>
      <w:r w:rsidR="009C55AA">
        <w:rPr>
          <w:noProof/>
        </w:rPr>
        <w:t>tí pododstavec nařízení (EU) č. </w:t>
      </w:r>
      <w:r w:rsidR="00C15382">
        <w:rPr>
          <w:noProof/>
        </w:rPr>
        <w:t>182/2011.</w:t>
      </w:r>
    </w:p>
    <w:p w14:paraId="20D41879" w14:textId="2D91FB10" w:rsidR="00C15382" w:rsidRDefault="00C15382" w:rsidP="00C15382">
      <w:pPr>
        <w:pStyle w:val="Titrearticle"/>
        <w:rPr>
          <w:noProof/>
        </w:rPr>
      </w:pPr>
      <w:r>
        <w:rPr>
          <w:noProof/>
        </w:rPr>
        <w:t xml:space="preserve">Článek </w:t>
      </w:r>
      <w:r w:rsidR="00DB52C9" w:rsidRPr="00732AF8">
        <w:rPr>
          <w:noProof/>
        </w:rPr>
        <w:t>18</w:t>
      </w:r>
    </w:p>
    <w:p w14:paraId="03BBABC8" w14:textId="023FA9BB" w:rsidR="00C15382" w:rsidRDefault="00C15382" w:rsidP="00C15382">
      <w:pPr>
        <w:rPr>
          <w:noProof/>
        </w:rPr>
      </w:pPr>
      <w:r>
        <w:rPr>
          <w:noProof/>
        </w:rPr>
        <w:t xml:space="preserve">Do 8. května 2020 předloží Komise v případě potřeby Evropskému parlamentu a Radě zprávu o provádění změn směrnice </w:t>
      </w:r>
      <w:r w:rsidR="00194CA7" w:rsidRPr="00194CA7">
        <w:rPr>
          <w:noProof/>
        </w:rPr>
        <w:fldChar w:fldCharType="begin"/>
      </w:r>
      <w:r w:rsidR="00194CA7" w:rsidRPr="00194CA7">
        <w:rPr>
          <w:noProof/>
        </w:rPr>
        <w:instrText xml:space="preserve"> QUOTE "</w:instrText>
      </w:r>
      <w:r w:rsidR="00194CA7" w:rsidRPr="00732AF8">
        <w:rPr>
          <w:rStyle w:val="CRMarker"/>
          <w:noProof/>
        </w:rPr>
        <w:instrText>Ö</w:instrText>
      </w:r>
      <w:r w:rsidR="00194CA7" w:rsidRPr="00194CA7">
        <w:rPr>
          <w:noProof/>
        </w:rPr>
        <w:instrText xml:space="preserve">" </w:instrText>
      </w:r>
      <w:r w:rsidR="00194CA7" w:rsidRPr="00194CA7">
        <w:rPr>
          <w:noProof/>
        </w:rPr>
        <w:fldChar w:fldCharType="separate"/>
      </w:r>
      <w:r w:rsidR="00194CA7" w:rsidRPr="00732AF8">
        <w:rPr>
          <w:rStyle w:val="CRMarker"/>
          <w:noProof/>
        </w:rPr>
        <w:t>Ö</w:t>
      </w:r>
      <w:r w:rsidR="00194CA7" w:rsidRPr="00194CA7">
        <w:rPr>
          <w:noProof/>
        </w:rPr>
        <w:fldChar w:fldCharType="end"/>
      </w:r>
      <w:r w:rsidR="00194CA7" w:rsidRPr="00194CA7">
        <w:rPr>
          <w:noProof/>
        </w:rPr>
        <w:t> 96/53/E</w:t>
      </w:r>
      <w:r w:rsidR="00194CA7">
        <w:rPr>
          <w:noProof/>
        </w:rPr>
        <w:t>S</w:t>
      </w:r>
      <w:r w:rsidR="00194CA7" w:rsidRPr="00194CA7">
        <w:rPr>
          <w:noProof/>
        </w:rPr>
        <w:t> </w:t>
      </w:r>
      <w:r w:rsidR="00194CA7" w:rsidRPr="00194CA7">
        <w:rPr>
          <w:noProof/>
        </w:rPr>
        <w:fldChar w:fldCharType="begin"/>
      </w:r>
      <w:r w:rsidR="00194CA7" w:rsidRPr="00194CA7">
        <w:rPr>
          <w:noProof/>
        </w:rPr>
        <w:instrText xml:space="preserve"> QUOTE "</w:instrText>
      </w:r>
      <w:r w:rsidR="00194CA7" w:rsidRPr="00732AF8">
        <w:rPr>
          <w:rStyle w:val="CRMarker"/>
          <w:noProof/>
        </w:rPr>
        <w:instrText>Õ</w:instrText>
      </w:r>
      <w:r w:rsidR="00194CA7" w:rsidRPr="00194CA7">
        <w:rPr>
          <w:noProof/>
        </w:rPr>
        <w:instrText xml:space="preserve">" </w:instrText>
      </w:r>
      <w:r w:rsidR="00194CA7" w:rsidRPr="00194CA7">
        <w:rPr>
          <w:noProof/>
        </w:rPr>
        <w:fldChar w:fldCharType="separate"/>
      </w:r>
      <w:r w:rsidR="00194CA7" w:rsidRPr="00732AF8">
        <w:rPr>
          <w:rStyle w:val="CRMarker"/>
          <w:noProof/>
        </w:rPr>
        <w:t>Õ</w:t>
      </w:r>
      <w:r w:rsidR="00194CA7" w:rsidRPr="00194CA7">
        <w:rPr>
          <w:noProof/>
        </w:rPr>
        <w:fldChar w:fldCharType="end"/>
      </w:r>
      <w:r w:rsidR="00194CA7" w:rsidRPr="00194CA7">
        <w:rPr>
          <w:noProof/>
        </w:rPr>
        <w:t xml:space="preserve"> </w:t>
      </w:r>
      <w:r>
        <w:rPr>
          <w:noProof/>
        </w:rPr>
        <w:t>zavedených směrnicí Evropského parlamentu a Rady (EU) 2015/719</w:t>
      </w:r>
      <w:r>
        <w:rPr>
          <w:rStyle w:val="FootnoteReference"/>
          <w:noProof/>
        </w:rPr>
        <w:footnoteReference w:id="19"/>
      </w:r>
      <w:r>
        <w:rPr>
          <w:noProof/>
        </w:rPr>
        <w:t>, včetně zohlednění specifické povahy určitých segmentů trhu. Na základě této zprávy předloží Komise v případě potřeby legislativní návrh, k němuž bude řádně připojeno posouzení dopadu. Tato zpráva bude k dispozici nejpozději šest měsíců před předložením legislativního návrhu.</w:t>
      </w:r>
    </w:p>
    <w:p w14:paraId="51B9D89E" w14:textId="77777777" w:rsidR="00C15382" w:rsidRPr="00046338" w:rsidRDefault="00C15382" w:rsidP="00C15382">
      <w:pPr>
        <w:pStyle w:val="CRSeparator"/>
        <w:rPr>
          <w:noProof/>
          <w:lang w:val="cs-CZ"/>
        </w:rPr>
      </w:pPr>
    </w:p>
    <w:p w14:paraId="61B811BE" w14:textId="443DEB16" w:rsidR="00C15382" w:rsidRPr="00732AF8" w:rsidRDefault="00C15382" w:rsidP="00C15382">
      <w:pPr>
        <w:pStyle w:val="CRReference"/>
        <w:rPr>
          <w:noProof/>
          <w:lang w:val="cs-CZ"/>
        </w:rPr>
      </w:pPr>
      <w:r>
        <w:rPr>
          <w:noProof/>
        </w:rPr>
        <w:fldChar w:fldCharType="begin"/>
      </w:r>
      <w:r w:rsidRPr="00732AF8">
        <w:rPr>
          <w:noProof/>
          <w:lang w:val="cs-CZ"/>
        </w:rPr>
        <w:instrText xml:space="preserve"> QUOTE "</w:instrText>
      </w:r>
      <w:r w:rsidRPr="00732AF8">
        <w:rPr>
          <w:rStyle w:val="CRMarker"/>
          <w:noProof/>
          <w:lang w:val="cs-CZ"/>
        </w:rPr>
        <w:instrText>ê</w:instrText>
      </w:r>
      <w:r w:rsidRPr="00732AF8">
        <w:rPr>
          <w:noProof/>
          <w:lang w:val="cs-CZ"/>
        </w:rPr>
        <w:instrText xml:space="preserve">" </w:instrText>
      </w:r>
      <w:r>
        <w:rPr>
          <w:noProof/>
        </w:rPr>
        <w:fldChar w:fldCharType="separate"/>
      </w:r>
      <w:r w:rsidRPr="00732AF8">
        <w:rPr>
          <w:rStyle w:val="CRMarker"/>
          <w:noProof/>
          <w:lang w:val="cs-CZ"/>
        </w:rPr>
        <w:t>ê</w:t>
      </w:r>
      <w:r>
        <w:rPr>
          <w:noProof/>
        </w:rPr>
        <w:fldChar w:fldCharType="end"/>
      </w:r>
      <w:r w:rsidR="00DB52C9">
        <w:rPr>
          <w:noProof/>
          <w:lang w:val="cs-CZ"/>
        </w:rPr>
        <w:t> </w:t>
      </w:r>
      <w:r w:rsidRPr="00732AF8">
        <w:rPr>
          <w:noProof/>
          <w:lang w:val="cs-CZ"/>
        </w:rPr>
        <w:t>96/53</w:t>
      </w:r>
      <w:r w:rsidR="00DB52C9">
        <w:rPr>
          <w:noProof/>
          <w:lang w:val="cs-CZ"/>
        </w:rPr>
        <w:t xml:space="preserve"> (přizpůsobený)</w:t>
      </w:r>
    </w:p>
    <w:p w14:paraId="128D06B8" w14:textId="54594EBB" w:rsidR="00C15382" w:rsidRDefault="00C15382" w:rsidP="00C15382">
      <w:pPr>
        <w:pStyle w:val="Titrearticle"/>
        <w:rPr>
          <w:noProof/>
        </w:rPr>
      </w:pPr>
      <w:r>
        <w:rPr>
          <w:noProof/>
        </w:rPr>
        <w:t xml:space="preserve">Článek </w:t>
      </w:r>
      <w:r w:rsidR="00DB52C9" w:rsidRPr="00732AF8">
        <w:rPr>
          <w:noProof/>
        </w:rPr>
        <w:t>19</w:t>
      </w:r>
    </w:p>
    <w:p w14:paraId="78B8189E" w14:textId="6506667C" w:rsidR="00C15382" w:rsidRDefault="00C15382" w:rsidP="00C15382">
      <w:pPr>
        <w:rPr>
          <w:noProof/>
        </w:rPr>
      </w:pPr>
      <w:r>
        <w:rPr>
          <w:noProof/>
        </w:rPr>
        <w:t>Členské státy sdělí Komisi znění hlavních ustanovení vnitrostátních právních předpisů, které přijmou v oblasti působnosti této směrnice.</w:t>
      </w:r>
    </w:p>
    <w:p w14:paraId="254E14B2" w14:textId="45787FAE" w:rsidR="00DB52C9" w:rsidRPr="00DB52C9" w:rsidRDefault="00DB52C9" w:rsidP="00DB52C9">
      <w:pPr>
        <w:pStyle w:val="Titrearticle"/>
        <w:rPr>
          <w:noProof/>
        </w:rPr>
      </w:pPr>
      <w:r w:rsidRPr="00DB52C9">
        <w:rPr>
          <w:noProof/>
        </w:rPr>
        <w:t xml:space="preserve">Článek </w:t>
      </w:r>
      <w:r w:rsidRPr="00732AF8">
        <w:rPr>
          <w:noProof/>
        </w:rPr>
        <w:t>20</w:t>
      </w:r>
    </w:p>
    <w:p w14:paraId="3F7CC8DB" w14:textId="4C3DED29" w:rsidR="00DB52C9" w:rsidRDefault="00DB52C9" w:rsidP="00DB52C9">
      <w:pPr>
        <w:rPr>
          <w:noProof/>
        </w:rPr>
      </w:pPr>
      <w:r w:rsidRPr="00DB52C9">
        <w:rPr>
          <w:noProof/>
        </w:rPr>
        <w:t xml:space="preserve">Směrnice </w:t>
      </w:r>
      <w:r w:rsidR="00BC60A1" w:rsidRPr="00BC60A1">
        <w:rPr>
          <w:noProof/>
        </w:rPr>
        <w:fldChar w:fldCharType="begin"/>
      </w:r>
      <w:r w:rsidR="00BC60A1" w:rsidRPr="00BC60A1">
        <w:rPr>
          <w:noProof/>
        </w:rPr>
        <w:instrText xml:space="preserve"> QUOTE "</w:instrText>
      </w:r>
      <w:r w:rsidR="00BC60A1" w:rsidRPr="00732AF8">
        <w:rPr>
          <w:rStyle w:val="CRMarker"/>
          <w:noProof/>
        </w:rPr>
        <w:instrText>Ö</w:instrText>
      </w:r>
      <w:r w:rsidR="00BC60A1" w:rsidRPr="00BC60A1">
        <w:rPr>
          <w:noProof/>
        </w:rPr>
        <w:instrText xml:space="preserve">" </w:instrText>
      </w:r>
      <w:r w:rsidR="00BC60A1" w:rsidRPr="00BC60A1">
        <w:rPr>
          <w:noProof/>
        </w:rPr>
        <w:fldChar w:fldCharType="separate"/>
      </w:r>
      <w:r w:rsidR="00BC60A1" w:rsidRPr="00732AF8">
        <w:rPr>
          <w:rStyle w:val="CRMarker"/>
          <w:noProof/>
        </w:rPr>
        <w:t>Ö</w:t>
      </w:r>
      <w:r w:rsidR="00BC60A1" w:rsidRPr="00BC60A1">
        <w:rPr>
          <w:noProof/>
        </w:rPr>
        <w:fldChar w:fldCharType="end"/>
      </w:r>
      <w:r w:rsidR="00BC60A1" w:rsidRPr="00BC60A1">
        <w:rPr>
          <w:noProof/>
        </w:rPr>
        <w:t> </w:t>
      </w:r>
      <w:r w:rsidR="00BC60A1">
        <w:rPr>
          <w:noProof/>
        </w:rPr>
        <w:t>96/53</w:t>
      </w:r>
      <w:r w:rsidR="00A5347B">
        <w:rPr>
          <w:noProof/>
        </w:rPr>
        <w:t>,</w:t>
      </w:r>
      <w:r w:rsidR="00BC60A1">
        <w:rPr>
          <w:noProof/>
        </w:rPr>
        <w:t xml:space="preserve"> </w:t>
      </w:r>
      <w:r w:rsidR="00BC60A1" w:rsidRPr="00BC60A1">
        <w:rPr>
          <w:noProof/>
        </w:rPr>
        <w:t>ve znění aktů </w:t>
      </w:r>
      <w:r w:rsidR="00BC60A1" w:rsidRPr="00BC60A1">
        <w:rPr>
          <w:noProof/>
        </w:rPr>
        <w:fldChar w:fldCharType="begin"/>
      </w:r>
      <w:r w:rsidR="00BC60A1" w:rsidRPr="00BC60A1">
        <w:rPr>
          <w:noProof/>
        </w:rPr>
        <w:instrText xml:space="preserve"> QUOTE "</w:instrText>
      </w:r>
      <w:r w:rsidR="00BC60A1" w:rsidRPr="00732AF8">
        <w:rPr>
          <w:rStyle w:val="CRMarker"/>
          <w:noProof/>
        </w:rPr>
        <w:instrText>Õ</w:instrText>
      </w:r>
      <w:r w:rsidR="00BC60A1" w:rsidRPr="00BC60A1">
        <w:rPr>
          <w:noProof/>
        </w:rPr>
        <w:instrText xml:space="preserve">" </w:instrText>
      </w:r>
      <w:r w:rsidR="00BC60A1" w:rsidRPr="00BC60A1">
        <w:rPr>
          <w:noProof/>
        </w:rPr>
        <w:fldChar w:fldCharType="separate"/>
      </w:r>
      <w:r w:rsidR="00BC60A1" w:rsidRPr="00732AF8">
        <w:rPr>
          <w:rStyle w:val="CRMarker"/>
          <w:noProof/>
        </w:rPr>
        <w:t>Õ</w:t>
      </w:r>
      <w:r w:rsidR="00BC60A1" w:rsidRPr="00BC60A1">
        <w:rPr>
          <w:noProof/>
        </w:rPr>
        <w:fldChar w:fldCharType="end"/>
      </w:r>
      <w:r w:rsidR="00BC60A1" w:rsidRPr="00BC60A1">
        <w:rPr>
          <w:noProof/>
        </w:rPr>
        <w:t xml:space="preserve"> </w:t>
      </w:r>
      <w:r w:rsidRPr="00DB52C9">
        <w:rPr>
          <w:noProof/>
        </w:rPr>
        <w:t>uveden</w:t>
      </w:r>
      <w:r w:rsidR="00BC60A1" w:rsidRPr="00BC60A1">
        <w:rPr>
          <w:noProof/>
        </w:rPr>
        <w:t>ých</w:t>
      </w:r>
      <w:r w:rsidRPr="00DB52C9">
        <w:rPr>
          <w:noProof/>
        </w:rPr>
        <w:t xml:space="preserve"> </w:t>
      </w:r>
      <w:r w:rsidRPr="00732AF8">
        <w:rPr>
          <w:noProof/>
        </w:rPr>
        <w:t>v přílo</w:t>
      </w:r>
      <w:r w:rsidR="00A5347B" w:rsidRPr="00732AF8">
        <w:rPr>
          <w:noProof/>
        </w:rPr>
        <w:t>ze</w:t>
      </w:r>
      <w:r w:rsidRPr="00732AF8">
        <w:rPr>
          <w:noProof/>
        </w:rPr>
        <w:t xml:space="preserve"> IV</w:t>
      </w:r>
      <w:r w:rsidRPr="005D42E9">
        <w:rPr>
          <w:noProof/>
        </w:rPr>
        <w:t xml:space="preserve"> </w:t>
      </w:r>
      <w:r w:rsidR="00A5347B" w:rsidRPr="00732AF8">
        <w:rPr>
          <w:noProof/>
        </w:rPr>
        <w:t>části A</w:t>
      </w:r>
      <w:r w:rsidR="00A5347B" w:rsidRPr="005D42E9">
        <w:rPr>
          <w:noProof/>
        </w:rPr>
        <w:t xml:space="preserve">, </w:t>
      </w:r>
      <w:r w:rsidR="0045274C">
        <w:rPr>
          <w:noProof/>
        </w:rPr>
        <w:t>se zrušuje</w:t>
      </w:r>
      <w:r w:rsidRPr="005D42E9">
        <w:rPr>
          <w:noProof/>
        </w:rPr>
        <w:t>, aniž jsou dotčeny povinnosti členských států</w:t>
      </w:r>
      <w:r w:rsidR="0045274C">
        <w:rPr>
          <w:noProof/>
        </w:rPr>
        <w:t xml:space="preserve"> týkající se lhůt pro provedení</w:t>
      </w:r>
      <w:r w:rsidRPr="005D42E9">
        <w:rPr>
          <w:noProof/>
        </w:rPr>
        <w:t xml:space="preserve"> </w:t>
      </w:r>
      <w:r w:rsidR="00BC60A1" w:rsidRPr="00732AF8">
        <w:rPr>
          <w:noProof/>
        </w:rPr>
        <w:fldChar w:fldCharType="begin"/>
      </w:r>
      <w:r w:rsidR="00BC60A1" w:rsidRPr="005D42E9">
        <w:rPr>
          <w:noProof/>
        </w:rPr>
        <w:instrText xml:space="preserve"> QUOTE "</w:instrText>
      </w:r>
      <w:r w:rsidR="00BC60A1" w:rsidRPr="00732AF8">
        <w:rPr>
          <w:rStyle w:val="CRMarker"/>
          <w:noProof/>
        </w:rPr>
        <w:instrText>Ö</w:instrText>
      </w:r>
      <w:r w:rsidR="00BC60A1" w:rsidRPr="005D42E9">
        <w:rPr>
          <w:noProof/>
        </w:rPr>
        <w:instrText xml:space="preserve">" </w:instrText>
      </w:r>
      <w:r w:rsidR="00BC60A1" w:rsidRPr="00732AF8">
        <w:rPr>
          <w:noProof/>
        </w:rPr>
        <w:fldChar w:fldCharType="separate"/>
      </w:r>
      <w:r w:rsidR="00BC60A1" w:rsidRPr="00732AF8">
        <w:rPr>
          <w:rStyle w:val="CRMarker"/>
          <w:noProof/>
        </w:rPr>
        <w:t>Ö</w:t>
      </w:r>
      <w:r w:rsidR="00BC60A1" w:rsidRPr="00732AF8">
        <w:rPr>
          <w:noProof/>
        </w:rPr>
        <w:fldChar w:fldCharType="end"/>
      </w:r>
      <w:r w:rsidR="00BC60A1" w:rsidRPr="005D42E9">
        <w:rPr>
          <w:noProof/>
        </w:rPr>
        <w:t> směrnic uvedených v </w:t>
      </w:r>
      <w:r w:rsidR="00BC60A1" w:rsidRPr="00732AF8">
        <w:rPr>
          <w:noProof/>
        </w:rPr>
        <w:fldChar w:fldCharType="begin"/>
      </w:r>
      <w:r w:rsidR="00BC60A1" w:rsidRPr="005D42E9">
        <w:rPr>
          <w:noProof/>
        </w:rPr>
        <w:instrText xml:space="preserve"> QUOTE "</w:instrText>
      </w:r>
      <w:r w:rsidR="00BC60A1" w:rsidRPr="00732AF8">
        <w:rPr>
          <w:rStyle w:val="CRMarker"/>
          <w:noProof/>
        </w:rPr>
        <w:instrText>Õ</w:instrText>
      </w:r>
      <w:r w:rsidR="00BC60A1" w:rsidRPr="005D42E9">
        <w:rPr>
          <w:noProof/>
        </w:rPr>
        <w:instrText xml:space="preserve">" </w:instrText>
      </w:r>
      <w:r w:rsidR="00BC60A1" w:rsidRPr="00732AF8">
        <w:rPr>
          <w:noProof/>
        </w:rPr>
        <w:fldChar w:fldCharType="separate"/>
      </w:r>
      <w:r w:rsidR="00BC60A1" w:rsidRPr="00732AF8">
        <w:rPr>
          <w:rStyle w:val="CRMarker"/>
          <w:noProof/>
        </w:rPr>
        <w:t>Õ</w:t>
      </w:r>
      <w:r w:rsidR="00BC60A1" w:rsidRPr="00732AF8">
        <w:rPr>
          <w:noProof/>
        </w:rPr>
        <w:fldChar w:fldCharType="end"/>
      </w:r>
      <w:r w:rsidR="00BC60A1" w:rsidRPr="005D42E9">
        <w:rPr>
          <w:noProof/>
        </w:rPr>
        <w:t xml:space="preserve"> </w:t>
      </w:r>
      <w:r w:rsidRPr="00732AF8">
        <w:rPr>
          <w:noProof/>
        </w:rPr>
        <w:t>přílo</w:t>
      </w:r>
      <w:r w:rsidR="00A5347B" w:rsidRPr="00732AF8">
        <w:rPr>
          <w:noProof/>
        </w:rPr>
        <w:t>ze</w:t>
      </w:r>
      <w:r w:rsidRPr="00732AF8">
        <w:rPr>
          <w:noProof/>
        </w:rPr>
        <w:t xml:space="preserve"> IV</w:t>
      </w:r>
      <w:r w:rsidR="00BC60A1" w:rsidRPr="005D42E9">
        <w:rPr>
          <w:noProof/>
        </w:rPr>
        <w:t xml:space="preserve"> </w:t>
      </w:r>
      <w:r w:rsidR="00A5347B" w:rsidRPr="00732AF8">
        <w:rPr>
          <w:noProof/>
        </w:rPr>
        <w:t xml:space="preserve">části B </w:t>
      </w:r>
      <w:r w:rsidR="00BC60A1" w:rsidRPr="00BC60A1">
        <w:rPr>
          <w:noProof/>
        </w:rPr>
        <w:fldChar w:fldCharType="begin"/>
      </w:r>
      <w:r w:rsidR="00BC60A1" w:rsidRPr="00BC60A1">
        <w:rPr>
          <w:noProof/>
        </w:rPr>
        <w:instrText xml:space="preserve"> QUOTE "</w:instrText>
      </w:r>
      <w:r w:rsidR="00BC60A1" w:rsidRPr="00732AF8">
        <w:rPr>
          <w:rStyle w:val="CRMarker"/>
          <w:noProof/>
        </w:rPr>
        <w:instrText>Ö</w:instrText>
      </w:r>
      <w:r w:rsidR="00BC60A1" w:rsidRPr="00BC60A1">
        <w:rPr>
          <w:noProof/>
        </w:rPr>
        <w:instrText xml:space="preserve">" </w:instrText>
      </w:r>
      <w:r w:rsidR="00BC60A1" w:rsidRPr="00BC60A1">
        <w:rPr>
          <w:noProof/>
        </w:rPr>
        <w:fldChar w:fldCharType="separate"/>
      </w:r>
      <w:r w:rsidR="00BC60A1" w:rsidRPr="00732AF8">
        <w:rPr>
          <w:rStyle w:val="CRMarker"/>
          <w:noProof/>
        </w:rPr>
        <w:t>Ö</w:t>
      </w:r>
      <w:r w:rsidR="00BC60A1" w:rsidRPr="00BC60A1">
        <w:rPr>
          <w:noProof/>
        </w:rPr>
        <w:fldChar w:fldCharType="end"/>
      </w:r>
      <w:r w:rsidR="00BC60A1" w:rsidRPr="00BC60A1">
        <w:rPr>
          <w:noProof/>
        </w:rPr>
        <w:t> ve vnitrostátním právu </w:t>
      </w:r>
      <w:r w:rsidR="00BC60A1" w:rsidRPr="00BC60A1">
        <w:rPr>
          <w:noProof/>
        </w:rPr>
        <w:fldChar w:fldCharType="begin"/>
      </w:r>
      <w:r w:rsidR="00BC60A1" w:rsidRPr="00BC60A1">
        <w:rPr>
          <w:noProof/>
        </w:rPr>
        <w:instrText xml:space="preserve"> QUOTE "</w:instrText>
      </w:r>
      <w:r w:rsidR="00BC60A1" w:rsidRPr="00732AF8">
        <w:rPr>
          <w:rStyle w:val="CRMarker"/>
          <w:noProof/>
        </w:rPr>
        <w:instrText>Õ</w:instrText>
      </w:r>
      <w:r w:rsidR="00BC60A1" w:rsidRPr="00BC60A1">
        <w:rPr>
          <w:noProof/>
        </w:rPr>
        <w:instrText xml:space="preserve">" </w:instrText>
      </w:r>
      <w:r w:rsidR="00BC60A1" w:rsidRPr="00BC60A1">
        <w:rPr>
          <w:noProof/>
        </w:rPr>
        <w:fldChar w:fldCharType="separate"/>
      </w:r>
      <w:r w:rsidR="00BC60A1" w:rsidRPr="00732AF8">
        <w:rPr>
          <w:rStyle w:val="CRMarker"/>
          <w:noProof/>
        </w:rPr>
        <w:t>Õ</w:t>
      </w:r>
      <w:r w:rsidR="00BC60A1" w:rsidRPr="00BC60A1">
        <w:rPr>
          <w:noProof/>
        </w:rPr>
        <w:fldChar w:fldCharType="end"/>
      </w:r>
      <w:r w:rsidRPr="00DB52C9">
        <w:rPr>
          <w:noProof/>
        </w:rPr>
        <w:t>.</w:t>
      </w:r>
    </w:p>
    <w:p w14:paraId="31324B62" w14:textId="77777777" w:rsidR="00DB52C9" w:rsidRDefault="00DB52C9" w:rsidP="00DB52C9">
      <w:pPr>
        <w:rPr>
          <w:noProof/>
        </w:rPr>
      </w:pPr>
      <w:r w:rsidRPr="00DB52C9">
        <w:rPr>
          <w:noProof/>
        </w:rPr>
        <w:t>Odkazy na zrušenou směrnici se považují za odkazy na tuto směrnici v souladu se srovnávací tabulkou obsaženou v příloze V.</w:t>
      </w:r>
    </w:p>
    <w:p w14:paraId="49955138" w14:textId="3AC70E07" w:rsidR="00C15382" w:rsidRDefault="00C15382" w:rsidP="00C15382">
      <w:pPr>
        <w:pStyle w:val="Titrearticle"/>
        <w:rPr>
          <w:noProof/>
        </w:rPr>
      </w:pPr>
      <w:r>
        <w:rPr>
          <w:noProof/>
        </w:rPr>
        <w:t xml:space="preserve">Článek </w:t>
      </w:r>
      <w:r w:rsidR="00994D9D" w:rsidRPr="00732AF8">
        <w:rPr>
          <w:noProof/>
        </w:rPr>
        <w:t>21</w:t>
      </w:r>
    </w:p>
    <w:p w14:paraId="0059B9DF" w14:textId="0A93F79C" w:rsidR="00C15382" w:rsidRDefault="00C15382" w:rsidP="00C15382">
      <w:pPr>
        <w:rPr>
          <w:i/>
          <w:iCs/>
          <w:noProof/>
        </w:rPr>
      </w:pPr>
      <w:r>
        <w:rPr>
          <w:noProof/>
        </w:rPr>
        <w:t xml:space="preserve">Tato směrnice vstupuje v platnost </w:t>
      </w:r>
      <w:r w:rsidR="00994D9D" w:rsidRPr="00994D9D">
        <w:rPr>
          <w:noProof/>
        </w:rPr>
        <w:fldChar w:fldCharType="begin"/>
      </w:r>
      <w:r w:rsidR="00994D9D" w:rsidRPr="00994D9D">
        <w:rPr>
          <w:noProof/>
        </w:rPr>
        <w:instrText xml:space="preserve"> QUOTE "</w:instrText>
      </w:r>
      <w:r w:rsidR="00994D9D" w:rsidRPr="00732AF8">
        <w:rPr>
          <w:rStyle w:val="CRMarker"/>
          <w:noProof/>
        </w:rPr>
        <w:instrText>Ö</w:instrText>
      </w:r>
      <w:r w:rsidR="00994D9D" w:rsidRPr="00994D9D">
        <w:rPr>
          <w:noProof/>
        </w:rPr>
        <w:instrText xml:space="preserve">" </w:instrText>
      </w:r>
      <w:r w:rsidR="00994D9D" w:rsidRPr="00994D9D">
        <w:rPr>
          <w:noProof/>
        </w:rPr>
        <w:fldChar w:fldCharType="separate"/>
      </w:r>
      <w:r w:rsidR="00994D9D" w:rsidRPr="00732AF8">
        <w:rPr>
          <w:rStyle w:val="CRMarker"/>
          <w:noProof/>
        </w:rPr>
        <w:t>Ö</w:t>
      </w:r>
      <w:r w:rsidR="00994D9D" w:rsidRPr="00994D9D">
        <w:rPr>
          <w:noProof/>
        </w:rPr>
        <w:fldChar w:fldCharType="end"/>
      </w:r>
      <w:r w:rsidR="00994D9D" w:rsidRPr="00994D9D">
        <w:rPr>
          <w:noProof/>
        </w:rPr>
        <w:t> dvacátým </w:t>
      </w:r>
      <w:r w:rsidR="00994D9D" w:rsidRPr="00994D9D">
        <w:rPr>
          <w:noProof/>
        </w:rPr>
        <w:fldChar w:fldCharType="begin"/>
      </w:r>
      <w:r w:rsidR="00994D9D" w:rsidRPr="00994D9D">
        <w:rPr>
          <w:noProof/>
        </w:rPr>
        <w:instrText xml:space="preserve"> QUOTE "</w:instrText>
      </w:r>
      <w:r w:rsidR="00994D9D" w:rsidRPr="00732AF8">
        <w:rPr>
          <w:rStyle w:val="CRMarker"/>
          <w:noProof/>
        </w:rPr>
        <w:instrText>Õ</w:instrText>
      </w:r>
      <w:r w:rsidR="00994D9D" w:rsidRPr="00994D9D">
        <w:rPr>
          <w:noProof/>
        </w:rPr>
        <w:instrText xml:space="preserve">" </w:instrText>
      </w:r>
      <w:r w:rsidR="00994D9D" w:rsidRPr="00994D9D">
        <w:rPr>
          <w:noProof/>
        </w:rPr>
        <w:fldChar w:fldCharType="separate"/>
      </w:r>
      <w:r w:rsidR="00994D9D" w:rsidRPr="00732AF8">
        <w:rPr>
          <w:rStyle w:val="CRMarker"/>
          <w:noProof/>
        </w:rPr>
        <w:t>Õ</w:t>
      </w:r>
      <w:r w:rsidR="00994D9D" w:rsidRPr="00994D9D">
        <w:rPr>
          <w:noProof/>
        </w:rPr>
        <w:fldChar w:fldCharType="end"/>
      </w:r>
      <w:r w:rsidR="00994D9D">
        <w:rPr>
          <w:noProof/>
        </w:rPr>
        <w:t xml:space="preserve"> </w:t>
      </w:r>
      <w:r>
        <w:rPr>
          <w:noProof/>
        </w:rPr>
        <w:t xml:space="preserve">dnem </w:t>
      </w:r>
      <w:r w:rsidR="00994D9D" w:rsidRPr="00994D9D">
        <w:rPr>
          <w:noProof/>
        </w:rPr>
        <w:fldChar w:fldCharType="begin"/>
      </w:r>
      <w:r w:rsidR="00994D9D" w:rsidRPr="00994D9D">
        <w:rPr>
          <w:noProof/>
        </w:rPr>
        <w:instrText xml:space="preserve"> QUOTE "</w:instrText>
      </w:r>
      <w:r w:rsidR="00994D9D" w:rsidRPr="00732AF8">
        <w:rPr>
          <w:rStyle w:val="CRMarker"/>
          <w:noProof/>
        </w:rPr>
        <w:instrText>Ö</w:instrText>
      </w:r>
      <w:r w:rsidR="00994D9D" w:rsidRPr="00994D9D">
        <w:rPr>
          <w:noProof/>
        </w:rPr>
        <w:instrText xml:space="preserve">" </w:instrText>
      </w:r>
      <w:r w:rsidR="00994D9D" w:rsidRPr="00994D9D">
        <w:rPr>
          <w:noProof/>
        </w:rPr>
        <w:fldChar w:fldCharType="separate"/>
      </w:r>
      <w:r w:rsidR="00994D9D" w:rsidRPr="00732AF8">
        <w:rPr>
          <w:rStyle w:val="CRMarker"/>
          <w:noProof/>
        </w:rPr>
        <w:t>Ö</w:t>
      </w:r>
      <w:r w:rsidR="00994D9D" w:rsidRPr="00994D9D">
        <w:rPr>
          <w:noProof/>
        </w:rPr>
        <w:fldChar w:fldCharType="end"/>
      </w:r>
      <w:r w:rsidR="00994D9D" w:rsidRPr="00994D9D">
        <w:rPr>
          <w:noProof/>
        </w:rPr>
        <w:t> </w:t>
      </w:r>
      <w:r w:rsidR="00994D9D">
        <w:rPr>
          <w:noProof/>
        </w:rPr>
        <w:t>po</w:t>
      </w:r>
      <w:r w:rsidR="00994D9D" w:rsidRPr="00994D9D">
        <w:rPr>
          <w:noProof/>
        </w:rPr>
        <w:t> </w:t>
      </w:r>
      <w:r w:rsidR="00994D9D" w:rsidRPr="00994D9D">
        <w:rPr>
          <w:noProof/>
        </w:rPr>
        <w:fldChar w:fldCharType="begin"/>
      </w:r>
      <w:r w:rsidR="00994D9D" w:rsidRPr="00994D9D">
        <w:rPr>
          <w:noProof/>
        </w:rPr>
        <w:instrText xml:space="preserve"> QUOTE "</w:instrText>
      </w:r>
      <w:r w:rsidR="00994D9D" w:rsidRPr="00732AF8">
        <w:rPr>
          <w:rStyle w:val="CRMarker"/>
          <w:noProof/>
        </w:rPr>
        <w:instrText>Õ</w:instrText>
      </w:r>
      <w:r w:rsidR="00994D9D" w:rsidRPr="00994D9D">
        <w:rPr>
          <w:noProof/>
        </w:rPr>
        <w:instrText xml:space="preserve">" </w:instrText>
      </w:r>
      <w:r w:rsidR="00994D9D" w:rsidRPr="00994D9D">
        <w:rPr>
          <w:noProof/>
        </w:rPr>
        <w:fldChar w:fldCharType="separate"/>
      </w:r>
      <w:r w:rsidR="00994D9D" w:rsidRPr="00732AF8">
        <w:rPr>
          <w:rStyle w:val="CRMarker"/>
          <w:noProof/>
        </w:rPr>
        <w:t>Õ</w:t>
      </w:r>
      <w:r w:rsidR="00994D9D" w:rsidRPr="00994D9D">
        <w:rPr>
          <w:noProof/>
        </w:rPr>
        <w:fldChar w:fldCharType="end"/>
      </w:r>
      <w:r w:rsidR="00994D9D">
        <w:rPr>
          <w:noProof/>
        </w:rPr>
        <w:t xml:space="preserve"> </w:t>
      </w:r>
      <w:r>
        <w:rPr>
          <w:noProof/>
        </w:rPr>
        <w:t xml:space="preserve">vyhlášení v </w:t>
      </w:r>
      <w:r w:rsidR="0045274C">
        <w:rPr>
          <w:i/>
          <w:iCs/>
          <w:noProof/>
        </w:rPr>
        <w:t>Úředním věstníku</w:t>
      </w:r>
      <w:r>
        <w:rPr>
          <w:i/>
          <w:iCs/>
          <w:noProof/>
        </w:rPr>
        <w:t xml:space="preserve"> </w:t>
      </w:r>
      <w:r w:rsidR="00994D9D" w:rsidRPr="00732AF8">
        <w:rPr>
          <w:noProof/>
        </w:rPr>
        <w:fldChar w:fldCharType="begin"/>
      </w:r>
      <w:r w:rsidR="00994D9D" w:rsidRPr="00732AF8">
        <w:rPr>
          <w:noProof/>
        </w:rPr>
        <w:instrText xml:space="preserve"> QUOTE "</w:instrText>
      </w:r>
      <w:r w:rsidR="00994D9D" w:rsidRPr="00732AF8">
        <w:rPr>
          <w:rStyle w:val="CRMarker"/>
          <w:noProof/>
        </w:rPr>
        <w:instrText>Ö</w:instrText>
      </w:r>
      <w:r w:rsidR="00994D9D" w:rsidRPr="00732AF8">
        <w:rPr>
          <w:noProof/>
        </w:rPr>
        <w:instrText xml:space="preserve">" </w:instrText>
      </w:r>
      <w:r w:rsidR="00994D9D" w:rsidRPr="00732AF8">
        <w:rPr>
          <w:noProof/>
        </w:rPr>
        <w:fldChar w:fldCharType="separate"/>
      </w:r>
      <w:r w:rsidR="00994D9D" w:rsidRPr="00732AF8">
        <w:rPr>
          <w:rStyle w:val="CRMarker"/>
          <w:noProof/>
        </w:rPr>
        <w:t>Ö</w:t>
      </w:r>
      <w:r w:rsidR="00994D9D" w:rsidRPr="00732AF8">
        <w:rPr>
          <w:noProof/>
        </w:rPr>
        <w:fldChar w:fldCharType="end"/>
      </w:r>
      <w:r w:rsidR="00994D9D" w:rsidRPr="00994D9D">
        <w:rPr>
          <w:noProof/>
        </w:rPr>
        <w:t> </w:t>
      </w:r>
      <w:r w:rsidR="00B565FE">
        <w:rPr>
          <w:i/>
          <w:iCs/>
          <w:noProof/>
        </w:rPr>
        <w:t xml:space="preserve">Evropské </w:t>
      </w:r>
      <w:r w:rsidR="00994D9D">
        <w:rPr>
          <w:i/>
          <w:iCs/>
          <w:noProof/>
        </w:rPr>
        <w:t>unie</w:t>
      </w:r>
      <w:r w:rsidR="00994D9D" w:rsidRPr="00732AF8">
        <w:rPr>
          <w:noProof/>
        </w:rPr>
        <w:t> </w:t>
      </w:r>
      <w:r w:rsidR="00994D9D" w:rsidRPr="00994D9D">
        <w:rPr>
          <w:noProof/>
        </w:rPr>
        <w:fldChar w:fldCharType="begin"/>
      </w:r>
      <w:r w:rsidR="00994D9D" w:rsidRPr="00994D9D">
        <w:rPr>
          <w:noProof/>
        </w:rPr>
        <w:instrText xml:space="preserve"> QUOTE "</w:instrText>
      </w:r>
      <w:r w:rsidR="00994D9D" w:rsidRPr="00732AF8">
        <w:rPr>
          <w:rStyle w:val="CRMarker"/>
          <w:noProof/>
        </w:rPr>
        <w:instrText>Õ</w:instrText>
      </w:r>
      <w:r w:rsidR="00994D9D" w:rsidRPr="00994D9D">
        <w:rPr>
          <w:noProof/>
        </w:rPr>
        <w:instrText xml:space="preserve">" </w:instrText>
      </w:r>
      <w:r w:rsidR="00994D9D" w:rsidRPr="00994D9D">
        <w:rPr>
          <w:noProof/>
        </w:rPr>
        <w:fldChar w:fldCharType="separate"/>
      </w:r>
      <w:r w:rsidR="00994D9D" w:rsidRPr="00732AF8">
        <w:rPr>
          <w:rStyle w:val="CRMarker"/>
          <w:noProof/>
        </w:rPr>
        <w:t>Õ</w:t>
      </w:r>
      <w:r w:rsidR="00994D9D" w:rsidRPr="00994D9D">
        <w:rPr>
          <w:noProof/>
        </w:rPr>
        <w:fldChar w:fldCharType="end"/>
      </w:r>
      <w:r>
        <w:rPr>
          <w:i/>
          <w:iCs/>
          <w:noProof/>
        </w:rPr>
        <w:t>.</w:t>
      </w:r>
    </w:p>
    <w:p w14:paraId="0D3C6267" w14:textId="0171F7E4" w:rsidR="00C15382" w:rsidRDefault="00C15382" w:rsidP="00AF6B15">
      <w:pPr>
        <w:pStyle w:val="Titrearticle"/>
        <w:rPr>
          <w:noProof/>
        </w:rPr>
      </w:pPr>
      <w:r>
        <w:rPr>
          <w:noProof/>
        </w:rPr>
        <w:t xml:space="preserve">Článek </w:t>
      </w:r>
      <w:r w:rsidR="00994D9D" w:rsidRPr="00732AF8">
        <w:rPr>
          <w:noProof/>
        </w:rPr>
        <w:t>22</w:t>
      </w:r>
    </w:p>
    <w:p w14:paraId="6097BA59" w14:textId="77777777" w:rsidR="00C15382" w:rsidRDefault="00C15382" w:rsidP="00C15382">
      <w:pPr>
        <w:rPr>
          <w:noProof/>
        </w:rPr>
      </w:pPr>
      <w:r>
        <w:rPr>
          <w:noProof/>
        </w:rPr>
        <w:t>Tato směrnice je určena členským státům.</w:t>
      </w:r>
    </w:p>
    <w:p w14:paraId="2DB0AACB" w14:textId="42F5C671" w:rsidR="00CB25DF" w:rsidRDefault="009C26E5" w:rsidP="00AF6B15">
      <w:pPr>
        <w:pStyle w:val="Fait"/>
        <w:rPr>
          <w:noProof/>
        </w:rPr>
      </w:pPr>
      <w:r w:rsidRPr="009C26E5">
        <w:t>V Bruselu dne</w:t>
      </w:r>
    </w:p>
    <w:p w14:paraId="6D94EF61" w14:textId="77777777" w:rsidR="00CB25DF" w:rsidRDefault="00CB25DF" w:rsidP="00AF6B15">
      <w:pPr>
        <w:pStyle w:val="Institutionquisigne"/>
        <w:rPr>
          <w:noProof/>
        </w:rPr>
      </w:pPr>
      <w:r w:rsidRPr="00CB25DF">
        <w:rPr>
          <w:noProof/>
        </w:rPr>
        <w:t>Za Evropský parlament</w:t>
      </w:r>
      <w:r w:rsidRPr="00CB25DF">
        <w:rPr>
          <w:noProof/>
        </w:rPr>
        <w:tab/>
        <w:t>Za Radu</w:t>
      </w:r>
    </w:p>
    <w:p w14:paraId="05B060F1" w14:textId="77777777" w:rsidR="00CB25DF" w:rsidRPr="00CB25DF" w:rsidRDefault="00CB25DF" w:rsidP="00CB25DF">
      <w:pPr>
        <w:pStyle w:val="Personnequisigne"/>
        <w:rPr>
          <w:noProof/>
        </w:rPr>
      </w:pPr>
      <w:r w:rsidRPr="00CB25DF">
        <w:rPr>
          <w:noProof/>
        </w:rPr>
        <w:t>předseda</w:t>
      </w:r>
      <w:r w:rsidRPr="00CB25DF">
        <w:rPr>
          <w:noProof/>
        </w:rPr>
        <w:tab/>
        <w:t>předseda</w:t>
      </w:r>
    </w:p>
    <w:sectPr w:rsidR="00CB25DF" w:rsidRPr="00CB25DF" w:rsidSect="00382F7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097C0" w14:textId="77777777" w:rsidR="00191FC5" w:rsidRDefault="00191FC5" w:rsidP="00CB25DF">
      <w:pPr>
        <w:spacing w:before="0" w:after="0"/>
      </w:pPr>
      <w:r>
        <w:separator/>
      </w:r>
    </w:p>
  </w:endnote>
  <w:endnote w:type="continuationSeparator" w:id="0">
    <w:p w14:paraId="74AFD726" w14:textId="77777777" w:rsidR="00191FC5" w:rsidRDefault="00191FC5" w:rsidP="00CB25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5797" w14:textId="625FEE72" w:rsidR="00191FC5" w:rsidRPr="00382F74" w:rsidRDefault="00382F74" w:rsidP="00382F74">
    <w:pPr>
      <w:pStyle w:val="Footer"/>
      <w:rPr>
        <w:rFonts w:ascii="Arial" w:hAnsi="Arial" w:cs="Arial"/>
        <w:b/>
        <w:sz w:val="48"/>
      </w:rPr>
    </w:pPr>
    <w:r w:rsidRPr="00382F74">
      <w:rPr>
        <w:rFonts w:ascii="Arial" w:hAnsi="Arial" w:cs="Arial"/>
        <w:b/>
        <w:sz w:val="48"/>
      </w:rPr>
      <w:t>CS</w:t>
    </w:r>
    <w:r w:rsidRPr="00382F74">
      <w:rPr>
        <w:rFonts w:ascii="Arial" w:hAnsi="Arial" w:cs="Arial"/>
        <w:b/>
        <w:sz w:val="48"/>
      </w:rPr>
      <w:tab/>
    </w:r>
    <w:r w:rsidRPr="00382F74">
      <w:rPr>
        <w:rFonts w:ascii="Arial" w:hAnsi="Arial" w:cs="Arial"/>
        <w:b/>
        <w:sz w:val="48"/>
      </w:rPr>
      <w:tab/>
    </w:r>
    <w:r w:rsidRPr="00382F74">
      <w:tab/>
    </w:r>
    <w:r w:rsidRPr="00382F74">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E50C4" w14:textId="76CC99B2" w:rsidR="00382F74" w:rsidRPr="00382F74" w:rsidRDefault="00382F74" w:rsidP="00382F74">
    <w:pPr>
      <w:pStyle w:val="Footer"/>
      <w:rPr>
        <w:rFonts w:ascii="Arial" w:hAnsi="Arial" w:cs="Arial"/>
        <w:b/>
        <w:sz w:val="48"/>
      </w:rPr>
    </w:pPr>
    <w:r w:rsidRPr="00382F74">
      <w:rPr>
        <w:rFonts w:ascii="Arial" w:hAnsi="Arial" w:cs="Arial"/>
        <w:b/>
        <w:sz w:val="48"/>
      </w:rPr>
      <w:t>CS</w:t>
    </w:r>
    <w:r w:rsidRPr="00382F74">
      <w:rPr>
        <w:rFonts w:ascii="Arial" w:hAnsi="Arial" w:cs="Arial"/>
        <w:b/>
        <w:sz w:val="48"/>
      </w:rPr>
      <w:tab/>
    </w:r>
    <w:r>
      <w:fldChar w:fldCharType="begin"/>
    </w:r>
    <w:r>
      <w:instrText xml:space="preserve"> PAGE  \* MERGEFORMAT </w:instrText>
    </w:r>
    <w:r>
      <w:fldChar w:fldCharType="separate"/>
    </w:r>
    <w:r w:rsidR="00AF6B15">
      <w:rPr>
        <w:noProof/>
      </w:rPr>
      <w:t>19</w:t>
    </w:r>
    <w:r>
      <w:fldChar w:fldCharType="end"/>
    </w:r>
    <w:r>
      <w:tab/>
    </w:r>
    <w:r w:rsidRPr="00382F74">
      <w:tab/>
    </w:r>
    <w:r w:rsidRPr="00382F74">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58093" w14:textId="77777777" w:rsidR="00382F74" w:rsidRPr="00382F74" w:rsidRDefault="00382F74" w:rsidP="00382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2DC7D" w14:textId="77777777" w:rsidR="00191FC5" w:rsidRDefault="00191FC5" w:rsidP="00CB25DF">
      <w:pPr>
        <w:spacing w:before="0" w:after="0"/>
      </w:pPr>
      <w:r>
        <w:separator/>
      </w:r>
    </w:p>
  </w:footnote>
  <w:footnote w:type="continuationSeparator" w:id="0">
    <w:p w14:paraId="3E5EB7F4" w14:textId="77777777" w:rsidR="00191FC5" w:rsidRDefault="00191FC5" w:rsidP="00CB25DF">
      <w:pPr>
        <w:spacing w:before="0" w:after="0"/>
      </w:pPr>
      <w:r>
        <w:continuationSeparator/>
      </w:r>
    </w:p>
  </w:footnote>
  <w:footnote w:id="1">
    <w:p w14:paraId="36B18D47" w14:textId="77777777" w:rsidR="00191FC5" w:rsidRPr="00C6135E" w:rsidRDefault="00191FC5" w:rsidP="00A93B59">
      <w:pPr>
        <w:pStyle w:val="FootnoteText"/>
      </w:pPr>
      <w:r w:rsidRPr="00C6135E">
        <w:rPr>
          <w:rStyle w:val="FootnoteReference"/>
        </w:rPr>
        <w:footnoteRef/>
      </w:r>
      <w:r w:rsidRPr="00C6135E">
        <w:tab/>
        <w:t>KOM(87) 868 PV.</w:t>
      </w:r>
    </w:p>
  </w:footnote>
  <w:footnote w:id="2">
    <w:p w14:paraId="5485B788" w14:textId="77777777" w:rsidR="00191FC5" w:rsidRPr="00C6135E" w:rsidRDefault="00191FC5" w:rsidP="00A93B59">
      <w:pPr>
        <w:pStyle w:val="FootnoteText"/>
      </w:pPr>
      <w:r w:rsidRPr="00C6135E">
        <w:rPr>
          <w:rStyle w:val="FootnoteReference"/>
        </w:rPr>
        <w:footnoteRef/>
      </w:r>
      <w:r w:rsidRPr="00C6135E">
        <w:tab/>
        <w:t>Viz část A přílohu 3 uvedených závěrů.</w:t>
      </w:r>
    </w:p>
  </w:footnote>
  <w:footnote w:id="3">
    <w:p w14:paraId="28DEB4F9" w14:textId="77777777" w:rsidR="00191FC5" w:rsidRPr="00C6135E" w:rsidRDefault="00191FC5" w:rsidP="00A93B59">
      <w:pPr>
        <w:pStyle w:val="FootnoteText"/>
      </w:pPr>
      <w:r w:rsidRPr="00C6135E">
        <w:rPr>
          <w:rStyle w:val="FootnoteReference"/>
        </w:rPr>
        <w:footnoteRef/>
      </w:r>
      <w:r>
        <w:tab/>
      </w:r>
      <w:r w:rsidRPr="00333809">
        <w:t>Zařazeno do legislativního programu pro 202</w:t>
      </w:r>
      <w:r>
        <w:t>1</w:t>
      </w:r>
      <w:r w:rsidRPr="00333809">
        <w:t>.</w:t>
      </w:r>
    </w:p>
  </w:footnote>
  <w:footnote w:id="4">
    <w:p w14:paraId="02D182C3" w14:textId="77777777" w:rsidR="00191FC5" w:rsidRPr="00C6135E" w:rsidRDefault="00191FC5" w:rsidP="00A93B59">
      <w:pPr>
        <w:pStyle w:val="FootnoteText"/>
      </w:pPr>
      <w:r w:rsidRPr="00C6135E">
        <w:rPr>
          <w:rStyle w:val="FootnoteReference"/>
        </w:rPr>
        <w:footnoteRef/>
      </w:r>
      <w:r>
        <w:tab/>
        <w:t xml:space="preserve">Viz příloha IV část A </w:t>
      </w:r>
      <w:r w:rsidRPr="00C6135E">
        <w:t>tohoto návrhu.</w:t>
      </w:r>
    </w:p>
  </w:footnote>
  <w:footnote w:id="5">
    <w:p w14:paraId="3988F0EA" w14:textId="77777777" w:rsidR="00191FC5" w:rsidRPr="00296A02" w:rsidRDefault="00191FC5" w:rsidP="00CA39FE">
      <w:pPr>
        <w:pStyle w:val="FootnoteText"/>
      </w:pPr>
      <w:r w:rsidRPr="00296A02">
        <w:rPr>
          <w:rStyle w:val="FootnoteReference"/>
        </w:rPr>
        <w:footnoteRef/>
      </w:r>
      <w:r w:rsidRPr="00296A02">
        <w:tab/>
        <w:t xml:space="preserve">Úř. věst. C </w:t>
      </w:r>
      <w:r w:rsidRPr="00682B51">
        <w:t>[…]</w:t>
      </w:r>
      <w:r w:rsidRPr="00296A02">
        <w:t xml:space="preserve">, </w:t>
      </w:r>
      <w:r w:rsidRPr="00682B51">
        <w:t>[…]</w:t>
      </w:r>
      <w:r w:rsidRPr="00296A02">
        <w:t xml:space="preserve">, s. </w:t>
      </w:r>
      <w:r w:rsidRPr="00682B51">
        <w:t>[…]</w:t>
      </w:r>
      <w:r w:rsidRPr="00296A02">
        <w:t>.</w:t>
      </w:r>
    </w:p>
  </w:footnote>
  <w:footnote w:id="6">
    <w:p w14:paraId="558F2676" w14:textId="77777777" w:rsidR="00191FC5" w:rsidRPr="00296A02" w:rsidRDefault="00191FC5" w:rsidP="00CA39FE">
      <w:pPr>
        <w:pStyle w:val="FootnoteText"/>
      </w:pPr>
      <w:r w:rsidRPr="00296A02">
        <w:rPr>
          <w:rStyle w:val="FootnoteReference"/>
        </w:rPr>
        <w:footnoteRef/>
      </w:r>
      <w:r w:rsidRPr="00296A02">
        <w:tab/>
        <w:t xml:space="preserve">Úř. věst. C </w:t>
      </w:r>
      <w:r w:rsidRPr="00682B51">
        <w:t>[…]</w:t>
      </w:r>
      <w:r w:rsidRPr="00296A02">
        <w:t xml:space="preserve">, </w:t>
      </w:r>
      <w:r w:rsidRPr="00682B51">
        <w:t>[…]</w:t>
      </w:r>
      <w:r w:rsidRPr="00296A02">
        <w:t xml:space="preserve">, s. </w:t>
      </w:r>
      <w:r w:rsidRPr="00682B51">
        <w:t>[…]</w:t>
      </w:r>
      <w:r w:rsidRPr="00296A02">
        <w:t>.</w:t>
      </w:r>
    </w:p>
  </w:footnote>
  <w:footnote w:id="7">
    <w:p w14:paraId="6FC35FEB" w14:textId="77777777" w:rsidR="00191FC5" w:rsidRPr="00885AD8" w:rsidRDefault="00191FC5">
      <w:pPr>
        <w:pStyle w:val="FootnoteText"/>
      </w:pPr>
      <w:r>
        <w:rPr>
          <w:rStyle w:val="FootnoteReference"/>
        </w:rPr>
        <w:footnoteRef/>
      </w:r>
      <w:r w:rsidRPr="00732AF8">
        <w:tab/>
        <w:t>Směrnice Rady 96/53/ES ze dne 25. července 1996, kterou se pro určitá silniční vozidla provozovaná v rámci Společenství stanoví maximální přípustné rozměry pro vnitrostátní a mezinárodní provoz a maximální přípustné hmotnosti pro mezinárodní provoz (Úř. věst. L 235, 17.9.1996, s. 59).</w:t>
      </w:r>
    </w:p>
  </w:footnote>
  <w:footnote w:id="8">
    <w:p w14:paraId="3543BF85" w14:textId="77777777" w:rsidR="00191FC5" w:rsidRPr="00885AD8" w:rsidRDefault="00191FC5">
      <w:pPr>
        <w:pStyle w:val="FootnoteText"/>
      </w:pPr>
      <w:r>
        <w:rPr>
          <w:rStyle w:val="FootnoteReference"/>
        </w:rPr>
        <w:footnoteRef/>
      </w:r>
      <w:r w:rsidRPr="00732AF8">
        <w:tab/>
        <w:t>Viz příloha IV část A.</w:t>
      </w:r>
    </w:p>
  </w:footnote>
  <w:footnote w:id="9">
    <w:p w14:paraId="262AE765" w14:textId="77777777" w:rsidR="00191FC5" w:rsidRDefault="00191FC5" w:rsidP="000108E9">
      <w:pPr>
        <w:pStyle w:val="FootnoteText"/>
      </w:pPr>
      <w:r>
        <w:rPr>
          <w:rStyle w:val="FootnoteReference"/>
          <w:lang w:val="en-US"/>
        </w:rPr>
        <w:footnoteRef/>
      </w:r>
      <w:r w:rsidRPr="000108E9">
        <w:tab/>
      </w:r>
      <w:r>
        <w:t>Směrnice Rady 92/106/EHS ze dne 7. prosince 1992 o zavedení společných pravidel pro určité druhy kombinované přepravy zboží mezi členskými státy (Úř. věst. L 368, 17.12.1992, s. 38).</w:t>
      </w:r>
    </w:p>
  </w:footnote>
  <w:footnote w:id="10">
    <w:p w14:paraId="2A0F816B" w14:textId="0450E62D" w:rsidR="00191FC5" w:rsidRDefault="00191FC5" w:rsidP="002254D9">
      <w:pPr>
        <w:pStyle w:val="FootnoteText"/>
      </w:pPr>
      <w:r>
        <w:rPr>
          <w:rStyle w:val="FootnoteReference"/>
          <w:lang w:val="en-US"/>
        </w:rPr>
        <w:footnoteRef/>
      </w:r>
      <w:r w:rsidRPr="002254D9">
        <w:tab/>
      </w:r>
      <w:r>
        <w:t>Nařízení Evropského parlamentu a Rady (ES) č. 1071/2009 ze dne 21. října 2009, kterým se zavádějí společná pravidla týkající se závazných podmínek pro výkon povolání podnikatele v silniční dopravě a zrušuje směrnice Rady 96/26/ES (Úř. věst. L 300, 14.11.2009, s. 51).</w:t>
      </w:r>
    </w:p>
  </w:footnote>
  <w:footnote w:id="11">
    <w:p w14:paraId="648BDA7F" w14:textId="185B6C05" w:rsidR="00191FC5" w:rsidRPr="0000091C" w:rsidRDefault="00191FC5">
      <w:pPr>
        <w:pStyle w:val="FootnoteText"/>
      </w:pPr>
      <w:r>
        <w:rPr>
          <w:rStyle w:val="FootnoteReference"/>
        </w:rPr>
        <w:footnoteRef/>
      </w:r>
      <w:r w:rsidRPr="00732AF8">
        <w:tab/>
        <w:t>Úř. věst. L 123, 12.5.2016, s. 1.</w:t>
      </w:r>
    </w:p>
  </w:footnote>
  <w:footnote w:id="12">
    <w:p w14:paraId="436F1AF4" w14:textId="77777777" w:rsidR="00191FC5" w:rsidRDefault="00191FC5" w:rsidP="004D0B49">
      <w:pPr>
        <w:pStyle w:val="FootnoteText"/>
      </w:pPr>
      <w:r>
        <w:rPr>
          <w:rStyle w:val="FootnoteReference"/>
          <w:lang w:val="en-US"/>
        </w:rPr>
        <w:footnoteRef/>
      </w:r>
      <w:r w:rsidRPr="004D0B49">
        <w:tab/>
      </w:r>
      <w:r>
        <w:t>Nařízení Evropského parlamentu a Rady (EU) č. 182/2011 ze dne 16. února 2011, kterým se stanoví pravidla a obecné zásady způsobu, jakým členské státy kontrolují Komisi při výkonu prováděcích pravomocí (Úř. věst. L 55, 28.2.2011, s. 13).</w:t>
      </w:r>
    </w:p>
  </w:footnote>
  <w:footnote w:id="13">
    <w:p w14:paraId="2A856A4B" w14:textId="223055FE" w:rsidR="00191FC5" w:rsidRPr="00827570" w:rsidRDefault="00191FC5">
      <w:pPr>
        <w:pStyle w:val="FootnoteText"/>
      </w:pPr>
      <w:r>
        <w:rPr>
          <w:rStyle w:val="FootnoteReference"/>
        </w:rPr>
        <w:footnoteRef/>
      </w:r>
      <w:r w:rsidRPr="00732AF8">
        <w:tab/>
        <w:t xml:space="preserve">Nařízení Evropského parlamentu a Rady (EU) 2018/858 ze dne 30. května 2018 o schvalování motorových vozidel a jejich přípojných vozidel, jakož i systémů, konstrukčních částí a samostatných technických celků určených pro tato vozidla a o dozoru nad trhem s </w:t>
      </w:r>
      <w:r>
        <w:t>nimi, o změně nařízení (ES) č. </w:t>
      </w:r>
      <w:r w:rsidRPr="00732AF8">
        <w:t>715/2007 a č. 595/2009 a o zrušení směrnice 2007/46/ES (Úř. věst. L 151, 14.6.2018, s. 1).</w:t>
      </w:r>
    </w:p>
  </w:footnote>
  <w:footnote w:id="14">
    <w:p w14:paraId="2FA5D2B6" w14:textId="37465B9C" w:rsidR="00191FC5" w:rsidRPr="00827570" w:rsidRDefault="00191FC5">
      <w:pPr>
        <w:pStyle w:val="FootnoteText"/>
      </w:pPr>
      <w:r>
        <w:rPr>
          <w:rStyle w:val="FootnoteReference"/>
        </w:rPr>
        <w:footnoteRef/>
      </w:r>
      <w:r>
        <w:tab/>
        <w:t>Nařízení Komise (EU) č. </w:t>
      </w:r>
      <w:r w:rsidRPr="00732AF8">
        <w:t>1230/2012 ze dne 12. prosince 2012, kterým se provádí nařízení Evrop</w:t>
      </w:r>
      <w:r>
        <w:t>ského parlamentu a Rady (ES) č. </w:t>
      </w:r>
      <w:r w:rsidRPr="00732AF8">
        <w:t>661/2009, pokud jde o požadavky pro schvalování typu motorových vozidel a jejich přípojných vozidel týkající se jejich hmotností a rozměrů, a mění směrnice Evropského parlamentu a Rady 2007/46/ES (Úř. věst. L 353, 21.12.2012, s. 31).</w:t>
      </w:r>
    </w:p>
  </w:footnote>
  <w:footnote w:id="15">
    <w:p w14:paraId="3D5ECFBF" w14:textId="6C274367" w:rsidR="00191FC5" w:rsidRDefault="00191FC5" w:rsidP="00C15382">
      <w:pPr>
        <w:pStyle w:val="FootnoteText"/>
      </w:pPr>
      <w:r>
        <w:rPr>
          <w:rStyle w:val="FootnoteReference"/>
          <w:lang w:val="en-US"/>
        </w:rPr>
        <w:footnoteRef/>
      </w:r>
      <w:r w:rsidRPr="00046338">
        <w:tab/>
      </w:r>
      <w:r>
        <w:t>Nařízení Evropského parlamentu a Rady (EU) 2019/1242 ze dne 20. června 2019, kterým se stanoví výkonnostní normy pro emise CO</w:t>
      </w:r>
      <w:r>
        <w:rPr>
          <w:vertAlign w:val="subscript"/>
        </w:rPr>
        <w:t>2</w:t>
      </w:r>
      <w:r>
        <w:t xml:space="preserve"> pro nová těžká vozidla a kterým se mění nařízení Evropského parlamentu a Rady (ES) č. 595/2009 a (EU) 2018/956 a směrnice Rady 96/53/ES (Úř. věst. L 198, 25.7.2019, s. 202).</w:t>
      </w:r>
    </w:p>
  </w:footnote>
  <w:footnote w:id="16">
    <w:p w14:paraId="34C35001" w14:textId="5D371311" w:rsidR="00191FC5" w:rsidRPr="0007074F" w:rsidRDefault="00191FC5">
      <w:pPr>
        <w:pStyle w:val="FootnoteText"/>
      </w:pPr>
      <w:r>
        <w:rPr>
          <w:rStyle w:val="FootnoteReference"/>
        </w:rPr>
        <w:footnoteRef/>
      </w:r>
      <w:r w:rsidR="002E3379">
        <w:tab/>
        <w:t>Nařízení Komise (EU) č. </w:t>
      </w:r>
      <w:r w:rsidRPr="00732AF8">
        <w:t>19/2011 ze dne 11. ledna 2011, které se týká požadavků pro schvalování typu týkajících se povinných štítků výrobce a identifikačních čísel motorových vozidel a jejich přípojných vozidel a kterým se provádí nařízení Evrop</w:t>
      </w:r>
      <w:r w:rsidR="002E3379">
        <w:t>ského parlamentu a Rady (ES) č. </w:t>
      </w:r>
      <w:r w:rsidRPr="00732AF8">
        <w:t>661/2009 o požadavcích pro schvalování typu motorových vozidel, jejich přípojných vozidel a systémů, konstrukčních částí a samostatných technických celků určených pro tato vozidla z hlediska obecné bezpečnosti (Úř. věst. L 8, 12.1.2011, s. 1).</w:t>
      </w:r>
    </w:p>
  </w:footnote>
  <w:footnote w:id="17">
    <w:p w14:paraId="3D355BCB" w14:textId="40B58984" w:rsidR="00191FC5" w:rsidRDefault="00191FC5" w:rsidP="00C15382">
      <w:pPr>
        <w:pStyle w:val="FootnoteText"/>
      </w:pPr>
      <w:r>
        <w:rPr>
          <w:rStyle w:val="FootnoteReference"/>
          <w:lang w:val="en-US"/>
        </w:rPr>
        <w:footnoteRef/>
      </w:r>
      <w:r w:rsidRPr="00046338">
        <w:tab/>
      </w:r>
      <w:r>
        <w:t>Nařízení Evrop</w:t>
      </w:r>
      <w:r w:rsidR="009C55AA">
        <w:t>ského parlamentu a Rady (ES) č. </w:t>
      </w:r>
      <w:r>
        <w:t>561/2006 ze dne 15. března 2006 o harmonizaci některých předpisů v sociální oblasti týkajících se silniční dopravy, o změně nařízení Rady (EHS) č. </w:t>
      </w:r>
      <w:r w:rsidR="008E1F8E">
        <w:t>3821/85 a (ES) č. </w:t>
      </w:r>
      <w:r>
        <w:t>2135/98 a o</w:t>
      </w:r>
      <w:r w:rsidR="009C55AA">
        <w:t xml:space="preserve"> zrušení nařízení Rady (EHS) č. </w:t>
      </w:r>
      <w:r>
        <w:t>3820/85 (Úř. věst. L 102, 11.4.2006, s. 1).</w:t>
      </w:r>
    </w:p>
  </w:footnote>
  <w:footnote w:id="18">
    <w:p w14:paraId="430F54BC" w14:textId="5AF1D50A" w:rsidR="00191FC5" w:rsidRDefault="00191FC5" w:rsidP="00C15382">
      <w:pPr>
        <w:pStyle w:val="FootnoteText"/>
      </w:pPr>
      <w:r>
        <w:rPr>
          <w:rStyle w:val="FootnoteReference"/>
          <w:lang w:val="en-US"/>
        </w:rPr>
        <w:footnoteRef/>
      </w:r>
      <w:r w:rsidRPr="00046338">
        <w:tab/>
      </w:r>
      <w:r>
        <w:t>Nařízení Evrop</w:t>
      </w:r>
      <w:r w:rsidR="009C55AA">
        <w:t>ského parlamentu a Rady (EU) č. </w:t>
      </w:r>
      <w:r>
        <w:t>165/2014 ze dne 4. února 2014 o tachografech v silniční dopravě, o</w:t>
      </w:r>
      <w:r w:rsidR="009C55AA">
        <w:t xml:space="preserve"> zrušení nařízení Rady (EHS) č. </w:t>
      </w:r>
      <w:r>
        <w:t>3821/85 o záznamovém zařízení v silniční dopravě a o změně nařízení Evrop</w:t>
      </w:r>
      <w:r w:rsidR="009C55AA">
        <w:t>ského parlamentu a Rady (ES) č. </w:t>
      </w:r>
      <w:r>
        <w:t>561/2006 o harmonizaci některých předpisů v sociální oblasti týkajících se silniční dopravy (Úř. věst. L 60, 28.2.2014, s. 1).</w:t>
      </w:r>
    </w:p>
  </w:footnote>
  <w:footnote w:id="19">
    <w:p w14:paraId="34C7886E" w14:textId="3AD477B3" w:rsidR="00191FC5" w:rsidRDefault="00191FC5" w:rsidP="00C15382">
      <w:pPr>
        <w:pStyle w:val="FootnoteText"/>
      </w:pPr>
      <w:r>
        <w:rPr>
          <w:rStyle w:val="FootnoteReference"/>
          <w:lang w:val="en-US"/>
        </w:rPr>
        <w:footnoteRef/>
      </w:r>
      <w:r w:rsidRPr="00046338">
        <w:tab/>
      </w:r>
      <w:r>
        <w:t>Směrnice Evropského parlamentu a Rady (EU) 2015/719 ze dne 29. dubna 2015, kterou se mění směrnice Rady 96/53/ES, kterou se pro určitá silniční vozidla provozovaná v rámci Společenství stanoví maximální přípustné rozměry pro vnitrostátní a mezinárodní provoz a maximální přípustné hmotnosti pro mezinárodní provoz (Úř. věst. L 115, 6.5.2015,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2EC820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A1AE082"/>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15C6B20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A9ADDD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33653D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E32F65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5D8031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D0EEA7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lvlOverride w:ilvl="0">
      <w:lvl w:ilvl="0">
        <w:start w:val="1"/>
        <w:numFmt w:val="bullet"/>
        <w:pStyle w:val="Tiret0"/>
        <w:lvlText w:val="–"/>
        <w:legacy w:legacy="1" w:legacySpace="0" w:legacyIndent="283"/>
        <w:lvlJc w:val="left"/>
        <w:pPr>
          <w:ind w:left="283" w:hanging="283"/>
        </w:pPr>
        <w:rPr>
          <w:rFonts w:ascii="Times New Roman" w:hAnsi="Times New Roman" w:hint="default"/>
        </w:rPr>
      </w:lvl>
    </w:lvlOverride>
  </w:num>
  <w:num w:numId="3">
    <w:abstractNumId w:val="7"/>
  </w:num>
  <w:num w:numId="4">
    <w:abstractNumId w:val="5"/>
  </w:num>
  <w:num w:numId="5">
    <w:abstractNumId w:val="4"/>
  </w:num>
  <w:num w:numId="6">
    <w:abstractNumId w:val="3"/>
  </w:num>
  <w:num w:numId="7">
    <w:abstractNumId w:val="22"/>
    <w:lvlOverride w:ilvl="0">
      <w:startOverride w:val="1"/>
    </w:lvlOverride>
  </w:num>
  <w:num w:numId="8">
    <w:abstractNumId w:val="6"/>
  </w:num>
  <w:num w:numId="9">
    <w:abstractNumId w:val="2"/>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2"/>
  </w:num>
  <w:num w:numId="27">
    <w:abstractNumId w:val="21"/>
  </w:num>
  <w:num w:numId="28">
    <w:abstractNumId w:val="11"/>
  </w:num>
  <w:num w:numId="29">
    <w:abstractNumId w:val="13"/>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 w:numId="39">
    <w:abstractNumId w:val="20"/>
  </w:num>
  <w:num w:numId="40">
    <w:abstractNumId w:val="20"/>
  </w:num>
  <w:num w:numId="41">
    <w:abstractNumId w:val="20"/>
  </w:num>
  <w:num w:numId="42">
    <w:abstractNumId w:val="14"/>
  </w:num>
  <w:num w:numId="43">
    <w:abstractNumId w:val="9"/>
  </w:num>
  <w:num w:numId="44">
    <w:abstractNumId w:val="9"/>
  </w:num>
  <w:num w:numId="4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96/53"/>
    <w:docVar w:name="CR_Ref1" w:val="96/53 bod od\u367?vodn\u283?ní 2"/>
    <w:docVar w:name="CR_Ref2" w:val="2002/7/ES bod od\u367?vodn\u283?ní 1"/>
    <w:docVar w:name="CR_Ref3" w:val="2015/719 bod od\u367?vodn\u283?ní 1"/>
    <w:docVar w:name="CR_Ref4" w:val="2015/719 \u269?l. 1 bod 6 "/>
    <w:docVar w:name="CR_RefCount" w:val="5"/>
    <w:docVar w:name="CR_RefLast" w:val="6"/>
    <w:docVar w:name="DQCDateTime" w:val="2021-11-30 08:06: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628240BF-9365-488A-A370-DFB67A931F33"/>
    <w:docVar w:name="LW_COVERPAGE_TYPE" w:val="1"/>
    <w:docVar w:name="LW_CROSSREFERENCE" w:val="&lt;UNUSED&gt;"/>
    <w:docVar w:name="LW_DocType" w:val="COM"/>
    <w:docVar w:name="LW_EMISSION" w:val="7.12.2021"/>
    <w:docVar w:name="LW_EMISSION_ISODATE" w:val="2021-12-07"/>
    <w:docVar w:name="LW_EMISSION_LOCATION" w:val="BRX"/>
    <w:docVar w:name="LW_EMISSION_PREFIX" w:val="V Bruselu dne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COD"/>
    <w:docVar w:name="LW_REF.II.NEW.CP_NUMBER" w:val="0400"/>
    <w:docVar w:name="LW_REF.II.NEW.CP_YEAR" w:val="2021"/>
    <w:docVar w:name="LW_REF.INST.NEW" w:val="COM"/>
    <w:docVar w:name="LW_REF.INST.NEW_ADOPTED" w:val="final"/>
    <w:docVar w:name="LW_REF.INST.NEW_TEXT" w:val="(2021) 7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erou se pro určitá silniční vozidla provozovaná v rámci Unie stanoví maximální přípustné rozměry pro vnitrostátní a mezinárodní provoz a maximální přípustné hmotnosti pro mezinárodní provoz (kodifikované znění)"/>
    <w:docVar w:name="LW_TYPE.DOC.CP" w:val="SMĚRNICE EVROPSKÉHO PARLAMENTU A RADY"/>
    <w:docVar w:name="LwApiVersions" w:val="LW4CoDe 1.23.2.0; LW 8.0, Build 20211117"/>
  </w:docVars>
  <w:rsids>
    <w:rsidRoot w:val="00CB25DF"/>
    <w:rsid w:val="0000091C"/>
    <w:rsid w:val="000108E9"/>
    <w:rsid w:val="00013094"/>
    <w:rsid w:val="00014DEA"/>
    <w:rsid w:val="000216BD"/>
    <w:rsid w:val="00046338"/>
    <w:rsid w:val="00052BC0"/>
    <w:rsid w:val="0006348C"/>
    <w:rsid w:val="0007074F"/>
    <w:rsid w:val="00080392"/>
    <w:rsid w:val="000866FA"/>
    <w:rsid w:val="00095A57"/>
    <w:rsid w:val="000A080E"/>
    <w:rsid w:val="000A7517"/>
    <w:rsid w:val="000B6338"/>
    <w:rsid w:val="000C1D94"/>
    <w:rsid w:val="000D03E0"/>
    <w:rsid w:val="000E198E"/>
    <w:rsid w:val="000E5F43"/>
    <w:rsid w:val="00127182"/>
    <w:rsid w:val="0014768E"/>
    <w:rsid w:val="00173BB3"/>
    <w:rsid w:val="00183835"/>
    <w:rsid w:val="00186950"/>
    <w:rsid w:val="00191FC5"/>
    <w:rsid w:val="00194CA7"/>
    <w:rsid w:val="001A24F6"/>
    <w:rsid w:val="001C0087"/>
    <w:rsid w:val="001C038E"/>
    <w:rsid w:val="001C2816"/>
    <w:rsid w:val="001F6729"/>
    <w:rsid w:val="00216DAF"/>
    <w:rsid w:val="0021727C"/>
    <w:rsid w:val="00221CD1"/>
    <w:rsid w:val="002254D9"/>
    <w:rsid w:val="00230DDD"/>
    <w:rsid w:val="00232E98"/>
    <w:rsid w:val="00250BCC"/>
    <w:rsid w:val="00284570"/>
    <w:rsid w:val="002A685E"/>
    <w:rsid w:val="002D7BC9"/>
    <w:rsid w:val="002E3379"/>
    <w:rsid w:val="003321C0"/>
    <w:rsid w:val="00344888"/>
    <w:rsid w:val="00346E26"/>
    <w:rsid w:val="003664E3"/>
    <w:rsid w:val="00367075"/>
    <w:rsid w:val="00374724"/>
    <w:rsid w:val="00374A01"/>
    <w:rsid w:val="00380586"/>
    <w:rsid w:val="00382F74"/>
    <w:rsid w:val="003904C1"/>
    <w:rsid w:val="00397D95"/>
    <w:rsid w:val="003D127C"/>
    <w:rsid w:val="00412080"/>
    <w:rsid w:val="004343D4"/>
    <w:rsid w:val="0043799F"/>
    <w:rsid w:val="0044049C"/>
    <w:rsid w:val="00440549"/>
    <w:rsid w:val="004505F3"/>
    <w:rsid w:val="0045274C"/>
    <w:rsid w:val="00465995"/>
    <w:rsid w:val="00467CCB"/>
    <w:rsid w:val="00471E0B"/>
    <w:rsid w:val="00474A4A"/>
    <w:rsid w:val="004751B7"/>
    <w:rsid w:val="00482F79"/>
    <w:rsid w:val="004853D5"/>
    <w:rsid w:val="004865D9"/>
    <w:rsid w:val="00495BE9"/>
    <w:rsid w:val="00496F3D"/>
    <w:rsid w:val="004A2247"/>
    <w:rsid w:val="004A367B"/>
    <w:rsid w:val="004B2D1B"/>
    <w:rsid w:val="004B533D"/>
    <w:rsid w:val="004C2843"/>
    <w:rsid w:val="004D0B49"/>
    <w:rsid w:val="004D4F9E"/>
    <w:rsid w:val="004D6188"/>
    <w:rsid w:val="004E1E33"/>
    <w:rsid w:val="004F2CF9"/>
    <w:rsid w:val="004F37EC"/>
    <w:rsid w:val="005065E0"/>
    <w:rsid w:val="00522AD3"/>
    <w:rsid w:val="00535EC4"/>
    <w:rsid w:val="00542442"/>
    <w:rsid w:val="005550CD"/>
    <w:rsid w:val="0055576D"/>
    <w:rsid w:val="005647EF"/>
    <w:rsid w:val="0056782C"/>
    <w:rsid w:val="0057079C"/>
    <w:rsid w:val="00580E02"/>
    <w:rsid w:val="005B18B0"/>
    <w:rsid w:val="005C274E"/>
    <w:rsid w:val="005C3747"/>
    <w:rsid w:val="005D42E9"/>
    <w:rsid w:val="005D77DC"/>
    <w:rsid w:val="005D7D8A"/>
    <w:rsid w:val="005F1F6C"/>
    <w:rsid w:val="00603ED5"/>
    <w:rsid w:val="006043A5"/>
    <w:rsid w:val="00616EB2"/>
    <w:rsid w:val="00645696"/>
    <w:rsid w:val="0066121D"/>
    <w:rsid w:val="00673ED5"/>
    <w:rsid w:val="00675483"/>
    <w:rsid w:val="00682B51"/>
    <w:rsid w:val="006A5B55"/>
    <w:rsid w:val="006A6B69"/>
    <w:rsid w:val="006C0C35"/>
    <w:rsid w:val="006C1E6C"/>
    <w:rsid w:val="006C5815"/>
    <w:rsid w:val="006D7F17"/>
    <w:rsid w:val="006E6D14"/>
    <w:rsid w:val="0070128F"/>
    <w:rsid w:val="007049DD"/>
    <w:rsid w:val="00705B67"/>
    <w:rsid w:val="00710557"/>
    <w:rsid w:val="007122B7"/>
    <w:rsid w:val="00712450"/>
    <w:rsid w:val="00713C80"/>
    <w:rsid w:val="007151D7"/>
    <w:rsid w:val="00726CE8"/>
    <w:rsid w:val="00732AF8"/>
    <w:rsid w:val="0074236E"/>
    <w:rsid w:val="0076594E"/>
    <w:rsid w:val="00774B4B"/>
    <w:rsid w:val="007775E5"/>
    <w:rsid w:val="00784B41"/>
    <w:rsid w:val="00792C56"/>
    <w:rsid w:val="007A7B95"/>
    <w:rsid w:val="007B3CB9"/>
    <w:rsid w:val="007C06F6"/>
    <w:rsid w:val="007D29EC"/>
    <w:rsid w:val="007E3525"/>
    <w:rsid w:val="007E5724"/>
    <w:rsid w:val="007E5976"/>
    <w:rsid w:val="007F1275"/>
    <w:rsid w:val="0081461E"/>
    <w:rsid w:val="00824D05"/>
    <w:rsid w:val="00825DAA"/>
    <w:rsid w:val="00827570"/>
    <w:rsid w:val="00830133"/>
    <w:rsid w:val="00833711"/>
    <w:rsid w:val="00870B06"/>
    <w:rsid w:val="00880AD8"/>
    <w:rsid w:val="00885AD8"/>
    <w:rsid w:val="008870A2"/>
    <w:rsid w:val="00895C5D"/>
    <w:rsid w:val="008B30C7"/>
    <w:rsid w:val="008E1F8E"/>
    <w:rsid w:val="00942151"/>
    <w:rsid w:val="00942955"/>
    <w:rsid w:val="00953020"/>
    <w:rsid w:val="00977B4F"/>
    <w:rsid w:val="00983395"/>
    <w:rsid w:val="00986B33"/>
    <w:rsid w:val="00987AD5"/>
    <w:rsid w:val="00994D9D"/>
    <w:rsid w:val="009A4B7A"/>
    <w:rsid w:val="009B43C3"/>
    <w:rsid w:val="009B6DD3"/>
    <w:rsid w:val="009B7138"/>
    <w:rsid w:val="009C26E5"/>
    <w:rsid w:val="009C55AA"/>
    <w:rsid w:val="009E08BF"/>
    <w:rsid w:val="009F6BD4"/>
    <w:rsid w:val="00A071D3"/>
    <w:rsid w:val="00A208B8"/>
    <w:rsid w:val="00A35AC7"/>
    <w:rsid w:val="00A5347B"/>
    <w:rsid w:val="00A70D1E"/>
    <w:rsid w:val="00A72F15"/>
    <w:rsid w:val="00A87D8D"/>
    <w:rsid w:val="00A93B59"/>
    <w:rsid w:val="00A94335"/>
    <w:rsid w:val="00AA1D27"/>
    <w:rsid w:val="00AC2405"/>
    <w:rsid w:val="00AD12E6"/>
    <w:rsid w:val="00AE14F7"/>
    <w:rsid w:val="00AF6B15"/>
    <w:rsid w:val="00B07E9B"/>
    <w:rsid w:val="00B12818"/>
    <w:rsid w:val="00B33560"/>
    <w:rsid w:val="00B51FF0"/>
    <w:rsid w:val="00B565FE"/>
    <w:rsid w:val="00B735AF"/>
    <w:rsid w:val="00B8006D"/>
    <w:rsid w:val="00B86046"/>
    <w:rsid w:val="00B93787"/>
    <w:rsid w:val="00B967E2"/>
    <w:rsid w:val="00BC60A1"/>
    <w:rsid w:val="00BC74DC"/>
    <w:rsid w:val="00BD3859"/>
    <w:rsid w:val="00BE12D7"/>
    <w:rsid w:val="00BE246D"/>
    <w:rsid w:val="00BF17AA"/>
    <w:rsid w:val="00BF626B"/>
    <w:rsid w:val="00BF79E1"/>
    <w:rsid w:val="00C11591"/>
    <w:rsid w:val="00C15382"/>
    <w:rsid w:val="00C24556"/>
    <w:rsid w:val="00C36406"/>
    <w:rsid w:val="00C75B49"/>
    <w:rsid w:val="00C8069C"/>
    <w:rsid w:val="00C807CE"/>
    <w:rsid w:val="00C82850"/>
    <w:rsid w:val="00C9009C"/>
    <w:rsid w:val="00CA39FE"/>
    <w:rsid w:val="00CB25DF"/>
    <w:rsid w:val="00CE2E69"/>
    <w:rsid w:val="00CF03CF"/>
    <w:rsid w:val="00CF6993"/>
    <w:rsid w:val="00D01EFB"/>
    <w:rsid w:val="00D022D8"/>
    <w:rsid w:val="00D0784D"/>
    <w:rsid w:val="00D166CF"/>
    <w:rsid w:val="00D34273"/>
    <w:rsid w:val="00D55329"/>
    <w:rsid w:val="00D6464F"/>
    <w:rsid w:val="00D66B74"/>
    <w:rsid w:val="00DA1316"/>
    <w:rsid w:val="00DA603C"/>
    <w:rsid w:val="00DA7C51"/>
    <w:rsid w:val="00DB52C9"/>
    <w:rsid w:val="00DC189E"/>
    <w:rsid w:val="00DC5E97"/>
    <w:rsid w:val="00DC72A8"/>
    <w:rsid w:val="00E01892"/>
    <w:rsid w:val="00E0390C"/>
    <w:rsid w:val="00E120CE"/>
    <w:rsid w:val="00E236E0"/>
    <w:rsid w:val="00E50E5F"/>
    <w:rsid w:val="00E516F9"/>
    <w:rsid w:val="00E55182"/>
    <w:rsid w:val="00E646A1"/>
    <w:rsid w:val="00E654AA"/>
    <w:rsid w:val="00EA118A"/>
    <w:rsid w:val="00EA6B30"/>
    <w:rsid w:val="00EC3F6D"/>
    <w:rsid w:val="00EC4896"/>
    <w:rsid w:val="00EE02A5"/>
    <w:rsid w:val="00EE05E5"/>
    <w:rsid w:val="00EE2E96"/>
    <w:rsid w:val="00EF1125"/>
    <w:rsid w:val="00EF28B5"/>
    <w:rsid w:val="00EF45D6"/>
    <w:rsid w:val="00F019BA"/>
    <w:rsid w:val="00F16631"/>
    <w:rsid w:val="00F20062"/>
    <w:rsid w:val="00F26B28"/>
    <w:rsid w:val="00F31327"/>
    <w:rsid w:val="00F43EB6"/>
    <w:rsid w:val="00F57DC5"/>
    <w:rsid w:val="00F76E91"/>
    <w:rsid w:val="00F80A58"/>
    <w:rsid w:val="00FD409D"/>
    <w:rsid w:val="00FE009E"/>
    <w:rsid w:val="00FE2620"/>
    <w:rsid w:val="00FE3553"/>
    <w:rsid w:val="00FE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6EE9CCB"/>
  <w15:docId w15:val="{1BE9800B-39BF-4743-8855-A570206E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rsid w:val="009B7138"/>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D34273"/>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rsid w:val="00D34273"/>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rsid w:val="00D34273"/>
    <w:pPr>
      <w:keepNext/>
      <w:numPr>
        <w:ilvl w:val="6"/>
        <w:numId w:val="4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25DF"/>
    <w:rPr>
      <w:color w:val="0000FF"/>
      <w:u w:val="single"/>
      <w:shd w:val="clear" w:color="auto" w:fill="auto"/>
    </w:rPr>
  </w:style>
  <w:style w:type="character" w:customStyle="1" w:styleId="CRMarker">
    <w:name w:val="CR Marker"/>
    <w:basedOn w:val="DefaultParagraphFont"/>
    <w:uiPriority w:val="99"/>
    <w:rsid w:val="00C15382"/>
    <w:rPr>
      <w:rFonts w:ascii="Wingdings" w:hAnsi="Wingdings" w:cs="Wingdings"/>
    </w:rPr>
  </w:style>
  <w:style w:type="paragraph" w:customStyle="1" w:styleId="CRSeparator">
    <w:name w:val="CR Separator"/>
    <w:basedOn w:val="Normal"/>
    <w:next w:val="CRReference"/>
    <w:uiPriority w:val="99"/>
    <w:rsid w:val="00C15382"/>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rsid w:val="00C15382"/>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character" w:customStyle="1" w:styleId="CRRefNum">
    <w:name w:val="CR RefNum"/>
    <w:basedOn w:val="DefaultParagraphFont"/>
    <w:uiPriority w:val="99"/>
    <w:rsid w:val="00C15382"/>
    <w:rPr>
      <w:rFonts w:cs="Times New Roman"/>
      <w:vertAlign w:val="subscript"/>
    </w:rPr>
  </w:style>
  <w:style w:type="paragraph" w:customStyle="1" w:styleId="CRParaDeleted">
    <w:name w:val="CR ParaDeleted"/>
    <w:basedOn w:val="Normal"/>
    <w:next w:val="Normal"/>
    <w:uiPriority w:val="99"/>
    <w:rsid w:val="00C15382"/>
    <w:pPr>
      <w:autoSpaceDE w:val="0"/>
      <w:autoSpaceDN w:val="0"/>
    </w:pPr>
    <w:rPr>
      <w:rFonts w:eastAsiaTheme="minorEastAsia"/>
      <w:szCs w:val="24"/>
      <w:lang w:val="fr-FR" w:eastAsia="da-DK"/>
    </w:rPr>
  </w:style>
  <w:style w:type="character" w:customStyle="1" w:styleId="CRDeleted">
    <w:name w:val="CR Deleted"/>
    <w:basedOn w:val="DefaultParagraphFont"/>
    <w:rsid w:val="00E50E5F"/>
    <w:rPr>
      <w:strike w:val="0"/>
      <w:dstrike/>
    </w:rPr>
  </w:style>
  <w:style w:type="paragraph" w:styleId="BalloonText">
    <w:name w:val="Balloon Text"/>
    <w:basedOn w:val="Normal"/>
    <w:link w:val="BalloonTextChar"/>
    <w:uiPriority w:val="99"/>
    <w:semiHidden/>
    <w:unhideWhenUsed/>
    <w:rsid w:val="00E50E5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5F"/>
    <w:rPr>
      <w:rFonts w:ascii="Segoe UI" w:hAnsi="Segoe UI" w:cs="Segoe UI"/>
      <w:sz w:val="18"/>
      <w:szCs w:val="18"/>
      <w:lang w:val="cs-CZ"/>
    </w:rPr>
  </w:style>
  <w:style w:type="character" w:customStyle="1" w:styleId="CRMinorChangeAdded">
    <w:name w:val="CR Minor Change Added"/>
    <w:basedOn w:val="DefaultParagraphFont"/>
    <w:rsid w:val="00D66B74"/>
    <w:rPr>
      <w:u w:val="double"/>
      <w:lang w:val="cs-CZ"/>
    </w:rPr>
  </w:style>
  <w:style w:type="character" w:styleId="CommentReference">
    <w:name w:val="annotation reference"/>
    <w:basedOn w:val="DefaultParagraphFont"/>
    <w:uiPriority w:val="99"/>
    <w:semiHidden/>
    <w:unhideWhenUsed/>
    <w:rsid w:val="00221CD1"/>
    <w:rPr>
      <w:sz w:val="16"/>
      <w:szCs w:val="16"/>
    </w:rPr>
  </w:style>
  <w:style w:type="paragraph" w:styleId="CommentText">
    <w:name w:val="annotation text"/>
    <w:basedOn w:val="Normal"/>
    <w:link w:val="CommentTextChar"/>
    <w:uiPriority w:val="99"/>
    <w:semiHidden/>
    <w:unhideWhenUsed/>
    <w:rsid w:val="00221CD1"/>
    <w:rPr>
      <w:sz w:val="20"/>
      <w:szCs w:val="20"/>
    </w:rPr>
  </w:style>
  <w:style w:type="character" w:customStyle="1" w:styleId="CommentTextChar">
    <w:name w:val="Comment Text Char"/>
    <w:basedOn w:val="DefaultParagraphFont"/>
    <w:link w:val="CommentText"/>
    <w:uiPriority w:val="99"/>
    <w:semiHidden/>
    <w:rsid w:val="00221CD1"/>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sid w:val="00221CD1"/>
    <w:rPr>
      <w:b/>
      <w:bCs/>
    </w:rPr>
  </w:style>
  <w:style w:type="character" w:customStyle="1" w:styleId="CommentSubjectChar">
    <w:name w:val="Comment Subject Char"/>
    <w:basedOn w:val="CommentTextChar"/>
    <w:link w:val="CommentSubject"/>
    <w:uiPriority w:val="99"/>
    <w:semiHidden/>
    <w:rsid w:val="00221CD1"/>
    <w:rPr>
      <w:rFonts w:ascii="Times New Roman" w:hAnsi="Times New Roman" w:cs="Times New Roman"/>
      <w:b/>
      <w:bCs/>
      <w:sz w:val="20"/>
      <w:szCs w:val="20"/>
      <w:lang w:val="cs-CZ"/>
    </w:rPr>
  </w:style>
  <w:style w:type="character" w:customStyle="1" w:styleId="CRMinorChangeDeleted">
    <w:name w:val="CR Minor Change Deleted"/>
    <w:basedOn w:val="DefaultParagraphFont"/>
    <w:rsid w:val="007151D7"/>
    <w:rPr>
      <w:strike w:val="0"/>
      <w:dstrike/>
      <w:u w:val="double"/>
    </w:rPr>
  </w:style>
  <w:style w:type="paragraph" w:styleId="ListBullet">
    <w:name w:val="List Bullet"/>
    <w:basedOn w:val="Normal"/>
    <w:uiPriority w:val="99"/>
    <w:semiHidden/>
    <w:unhideWhenUsed/>
    <w:rsid w:val="00C9009C"/>
    <w:pPr>
      <w:numPr>
        <w:numId w:val="3"/>
      </w:numPr>
      <w:contextualSpacing/>
    </w:pPr>
  </w:style>
  <w:style w:type="paragraph" w:styleId="ListBullet2">
    <w:name w:val="List Bullet 2"/>
    <w:basedOn w:val="Normal"/>
    <w:uiPriority w:val="99"/>
    <w:semiHidden/>
    <w:unhideWhenUsed/>
    <w:rsid w:val="00C9009C"/>
    <w:pPr>
      <w:numPr>
        <w:numId w:val="4"/>
      </w:numPr>
      <w:contextualSpacing/>
    </w:pPr>
  </w:style>
  <w:style w:type="paragraph" w:styleId="ListBullet3">
    <w:name w:val="List Bullet 3"/>
    <w:basedOn w:val="Normal"/>
    <w:uiPriority w:val="99"/>
    <w:semiHidden/>
    <w:unhideWhenUsed/>
    <w:rsid w:val="00C9009C"/>
    <w:pPr>
      <w:numPr>
        <w:numId w:val="5"/>
      </w:numPr>
      <w:contextualSpacing/>
    </w:pPr>
  </w:style>
  <w:style w:type="paragraph" w:styleId="ListBullet4">
    <w:name w:val="List Bullet 4"/>
    <w:basedOn w:val="Normal"/>
    <w:uiPriority w:val="99"/>
    <w:semiHidden/>
    <w:unhideWhenUsed/>
    <w:rsid w:val="00C9009C"/>
    <w:pPr>
      <w:numPr>
        <w:numId w:val="6"/>
      </w:numPr>
      <w:contextualSpacing/>
    </w:pPr>
  </w:style>
  <w:style w:type="paragraph" w:styleId="Caption">
    <w:name w:val="caption"/>
    <w:basedOn w:val="Normal"/>
    <w:next w:val="Normal"/>
    <w:uiPriority w:val="35"/>
    <w:semiHidden/>
    <w:unhideWhenUsed/>
    <w:qFormat/>
    <w:rsid w:val="00BF626B"/>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F626B"/>
    <w:pPr>
      <w:spacing w:after="0"/>
    </w:pPr>
  </w:style>
  <w:style w:type="paragraph" w:styleId="ListNumber">
    <w:name w:val="List Number"/>
    <w:basedOn w:val="Normal"/>
    <w:uiPriority w:val="99"/>
    <w:semiHidden/>
    <w:unhideWhenUsed/>
    <w:rsid w:val="00BF626B"/>
    <w:pPr>
      <w:numPr>
        <w:numId w:val="8"/>
      </w:numPr>
      <w:contextualSpacing/>
    </w:pPr>
  </w:style>
  <w:style w:type="paragraph" w:styleId="ListNumber2">
    <w:name w:val="List Number 2"/>
    <w:basedOn w:val="Normal"/>
    <w:uiPriority w:val="99"/>
    <w:semiHidden/>
    <w:unhideWhenUsed/>
    <w:rsid w:val="00BF626B"/>
    <w:pPr>
      <w:numPr>
        <w:numId w:val="9"/>
      </w:numPr>
      <w:contextualSpacing/>
    </w:pPr>
  </w:style>
  <w:style w:type="paragraph" w:styleId="ListNumber3">
    <w:name w:val="List Number 3"/>
    <w:basedOn w:val="Normal"/>
    <w:uiPriority w:val="99"/>
    <w:semiHidden/>
    <w:unhideWhenUsed/>
    <w:rsid w:val="00BF626B"/>
    <w:pPr>
      <w:numPr>
        <w:numId w:val="1"/>
      </w:numPr>
      <w:contextualSpacing/>
    </w:pPr>
  </w:style>
  <w:style w:type="paragraph" w:styleId="ListNumber4">
    <w:name w:val="List Number 4"/>
    <w:basedOn w:val="Normal"/>
    <w:uiPriority w:val="99"/>
    <w:semiHidden/>
    <w:unhideWhenUsed/>
    <w:rsid w:val="00BF626B"/>
    <w:pPr>
      <w:numPr>
        <w:numId w:val="10"/>
      </w:numPr>
      <w:contextualSpacing/>
    </w:pPr>
  </w:style>
  <w:style w:type="paragraph" w:styleId="Header">
    <w:name w:val="header"/>
    <w:basedOn w:val="Normal"/>
    <w:link w:val="HeaderChar"/>
    <w:uiPriority w:val="99"/>
    <w:unhideWhenUsed/>
    <w:rsid w:val="00382F74"/>
    <w:pPr>
      <w:tabs>
        <w:tab w:val="center" w:pos="4535"/>
        <w:tab w:val="right" w:pos="9071"/>
      </w:tabs>
      <w:spacing w:before="0"/>
    </w:pPr>
  </w:style>
  <w:style w:type="character" w:customStyle="1" w:styleId="HeaderChar">
    <w:name w:val="Header Char"/>
    <w:basedOn w:val="DefaultParagraphFont"/>
    <w:link w:val="Header"/>
    <w:uiPriority w:val="99"/>
    <w:rsid w:val="00382F74"/>
    <w:rPr>
      <w:rFonts w:ascii="Times New Roman" w:hAnsi="Times New Roman" w:cs="Times New Roman"/>
      <w:sz w:val="24"/>
      <w:lang w:val="cs-CZ"/>
    </w:rPr>
  </w:style>
  <w:style w:type="paragraph" w:styleId="Footer">
    <w:name w:val="footer"/>
    <w:basedOn w:val="Normal"/>
    <w:link w:val="FooterChar"/>
    <w:uiPriority w:val="99"/>
    <w:unhideWhenUsed/>
    <w:rsid w:val="00382F7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82F74"/>
    <w:rPr>
      <w:rFonts w:ascii="Times New Roman" w:hAnsi="Times New Roman" w:cs="Times New Roman"/>
      <w:sz w:val="24"/>
      <w:lang w:val="cs-CZ"/>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382F74"/>
    <w:pPr>
      <w:tabs>
        <w:tab w:val="center" w:pos="7285"/>
        <w:tab w:val="right" w:pos="14003"/>
      </w:tabs>
      <w:spacing w:before="0"/>
    </w:pPr>
  </w:style>
  <w:style w:type="paragraph" w:customStyle="1" w:styleId="FooterLandscape">
    <w:name w:val="FooterLandscape"/>
    <w:basedOn w:val="Normal"/>
    <w:rsid w:val="00382F7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382F7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82F74"/>
    <w:pPr>
      <w:spacing w:before="0"/>
      <w:jc w:val="right"/>
    </w:pPr>
    <w:rPr>
      <w:sz w:val="28"/>
    </w:rPr>
  </w:style>
  <w:style w:type="paragraph" w:customStyle="1" w:styleId="FooterSensitivity">
    <w:name w:val="Footer Sensitivity"/>
    <w:basedOn w:val="Normal"/>
    <w:rsid w:val="00382F7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5"/>
      </w:numPr>
    </w:pPr>
  </w:style>
  <w:style w:type="paragraph" w:customStyle="1" w:styleId="Tiret1">
    <w:name w:val="Tiret 1"/>
    <w:basedOn w:val="Point1"/>
    <w:rsid w:val="009B7138"/>
    <w:pPr>
      <w:numPr>
        <w:numId w:val="26"/>
      </w:numPr>
    </w:pPr>
  </w:style>
  <w:style w:type="paragraph" w:customStyle="1" w:styleId="Tiret2">
    <w:name w:val="Tiret 2"/>
    <w:basedOn w:val="Point2"/>
    <w:rsid w:val="009B7138"/>
    <w:pPr>
      <w:numPr>
        <w:numId w:val="27"/>
      </w:numPr>
    </w:pPr>
  </w:style>
  <w:style w:type="paragraph" w:customStyle="1" w:styleId="Tiret3">
    <w:name w:val="Tiret 3"/>
    <w:basedOn w:val="Point3"/>
    <w:rsid w:val="009B7138"/>
    <w:pPr>
      <w:numPr>
        <w:numId w:val="28"/>
      </w:numPr>
    </w:pPr>
  </w:style>
  <w:style w:type="paragraph" w:customStyle="1" w:styleId="Tiret4">
    <w:name w:val="Tiret 4"/>
    <w:basedOn w:val="Point4"/>
    <w:rsid w:val="009B7138"/>
    <w:pPr>
      <w:numPr>
        <w:numId w:val="29"/>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5"/>
      </w:numPr>
    </w:pPr>
  </w:style>
  <w:style w:type="paragraph" w:customStyle="1" w:styleId="NumPar2">
    <w:name w:val="NumPar 2"/>
    <w:basedOn w:val="Normal"/>
    <w:next w:val="Text1"/>
    <w:rsid w:val="009B7138"/>
    <w:pPr>
      <w:numPr>
        <w:ilvl w:val="1"/>
        <w:numId w:val="45"/>
      </w:numPr>
    </w:pPr>
  </w:style>
  <w:style w:type="paragraph" w:customStyle="1" w:styleId="NumPar3">
    <w:name w:val="NumPar 3"/>
    <w:basedOn w:val="Normal"/>
    <w:next w:val="Text1"/>
    <w:rsid w:val="009B7138"/>
    <w:pPr>
      <w:numPr>
        <w:ilvl w:val="2"/>
        <w:numId w:val="45"/>
      </w:numPr>
    </w:pPr>
  </w:style>
  <w:style w:type="paragraph" w:customStyle="1" w:styleId="NumPar4">
    <w:name w:val="NumPar 4"/>
    <w:basedOn w:val="Normal"/>
    <w:next w:val="Text1"/>
    <w:rsid w:val="009B7138"/>
    <w:pPr>
      <w:numPr>
        <w:ilvl w:val="3"/>
        <w:numId w:val="45"/>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2"/>
      </w:numPr>
    </w:pPr>
  </w:style>
  <w:style w:type="paragraph" w:customStyle="1" w:styleId="Point1number">
    <w:name w:val="Point 1 (number)"/>
    <w:basedOn w:val="Normal"/>
    <w:rsid w:val="009B7138"/>
    <w:pPr>
      <w:numPr>
        <w:ilvl w:val="2"/>
        <w:numId w:val="32"/>
      </w:numPr>
    </w:pPr>
  </w:style>
  <w:style w:type="paragraph" w:customStyle="1" w:styleId="Point2number">
    <w:name w:val="Point 2 (number)"/>
    <w:basedOn w:val="Normal"/>
    <w:rsid w:val="009B7138"/>
    <w:pPr>
      <w:numPr>
        <w:ilvl w:val="4"/>
        <w:numId w:val="32"/>
      </w:numPr>
    </w:pPr>
  </w:style>
  <w:style w:type="paragraph" w:customStyle="1" w:styleId="Point3number">
    <w:name w:val="Point 3 (number)"/>
    <w:basedOn w:val="Normal"/>
    <w:rsid w:val="009B7138"/>
    <w:pPr>
      <w:numPr>
        <w:ilvl w:val="6"/>
        <w:numId w:val="32"/>
      </w:numPr>
    </w:pPr>
  </w:style>
  <w:style w:type="paragraph" w:customStyle="1" w:styleId="Point0letter">
    <w:name w:val="Point 0 (letter)"/>
    <w:basedOn w:val="Normal"/>
    <w:rsid w:val="009B7138"/>
    <w:pPr>
      <w:numPr>
        <w:ilvl w:val="1"/>
        <w:numId w:val="32"/>
      </w:numPr>
    </w:pPr>
  </w:style>
  <w:style w:type="paragraph" w:customStyle="1" w:styleId="Point1letter">
    <w:name w:val="Point 1 (letter)"/>
    <w:basedOn w:val="Normal"/>
    <w:rsid w:val="009B7138"/>
    <w:pPr>
      <w:numPr>
        <w:ilvl w:val="3"/>
        <w:numId w:val="32"/>
      </w:numPr>
    </w:pPr>
  </w:style>
  <w:style w:type="paragraph" w:customStyle="1" w:styleId="Point2letter">
    <w:name w:val="Point 2 (letter)"/>
    <w:basedOn w:val="Normal"/>
    <w:rsid w:val="009B7138"/>
    <w:pPr>
      <w:numPr>
        <w:ilvl w:val="5"/>
        <w:numId w:val="32"/>
      </w:numPr>
    </w:pPr>
  </w:style>
  <w:style w:type="paragraph" w:customStyle="1" w:styleId="Point3letter">
    <w:name w:val="Point 3 (letter)"/>
    <w:basedOn w:val="Normal"/>
    <w:rsid w:val="009B7138"/>
    <w:pPr>
      <w:numPr>
        <w:ilvl w:val="7"/>
        <w:numId w:val="32"/>
      </w:numPr>
    </w:pPr>
  </w:style>
  <w:style w:type="paragraph" w:customStyle="1" w:styleId="Point4letter">
    <w:name w:val="Point 4 (letter)"/>
    <w:basedOn w:val="Normal"/>
    <w:rsid w:val="009B7138"/>
    <w:pPr>
      <w:numPr>
        <w:ilvl w:val="8"/>
        <w:numId w:val="32"/>
      </w:numPr>
    </w:pPr>
  </w:style>
  <w:style w:type="paragraph" w:customStyle="1" w:styleId="Bullet0">
    <w:name w:val="Bullet 0"/>
    <w:basedOn w:val="Normal"/>
    <w:rsid w:val="009B7138"/>
    <w:pPr>
      <w:numPr>
        <w:numId w:val="33"/>
      </w:numPr>
    </w:pPr>
  </w:style>
  <w:style w:type="paragraph" w:customStyle="1" w:styleId="Bullet1">
    <w:name w:val="Bullet 1"/>
    <w:basedOn w:val="Normal"/>
    <w:rsid w:val="009B7138"/>
    <w:pPr>
      <w:numPr>
        <w:numId w:val="34"/>
      </w:numPr>
    </w:pPr>
  </w:style>
  <w:style w:type="paragraph" w:customStyle="1" w:styleId="Bullet2">
    <w:name w:val="Bullet 2"/>
    <w:basedOn w:val="Normal"/>
    <w:rsid w:val="009B7138"/>
    <w:pPr>
      <w:numPr>
        <w:numId w:val="35"/>
      </w:numPr>
    </w:pPr>
  </w:style>
  <w:style w:type="paragraph" w:customStyle="1" w:styleId="Bullet3">
    <w:name w:val="Bullet 3"/>
    <w:basedOn w:val="Normal"/>
    <w:rsid w:val="009B7138"/>
    <w:pPr>
      <w:numPr>
        <w:numId w:val="36"/>
      </w:numPr>
    </w:pPr>
  </w:style>
  <w:style w:type="paragraph" w:customStyle="1" w:styleId="Bullet4">
    <w:name w:val="Bullet 4"/>
    <w:basedOn w:val="Normal"/>
    <w:rsid w:val="009B7138"/>
    <w:pPr>
      <w:numPr>
        <w:numId w:val="37"/>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8"/>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D34273"/>
    <w:rPr>
      <w:rFonts w:ascii="Times New Roman" w:eastAsiaTheme="majorEastAsia" w:hAnsi="Times New Roman" w:cs="Times New Roman"/>
      <w:sz w:val="24"/>
      <w:lang w:val="cs-CZ"/>
    </w:rPr>
  </w:style>
  <w:style w:type="character" w:customStyle="1" w:styleId="Heading6Char">
    <w:name w:val="Heading 6 Char"/>
    <w:basedOn w:val="DefaultParagraphFont"/>
    <w:link w:val="Heading6"/>
    <w:uiPriority w:val="9"/>
    <w:semiHidden/>
    <w:rsid w:val="00D34273"/>
    <w:rPr>
      <w:rFonts w:ascii="Times New Roman" w:eastAsiaTheme="majorEastAsia" w:hAnsi="Times New Roman" w:cs="Times New Roman"/>
      <w:iCs/>
      <w:sz w:val="24"/>
      <w:lang w:val="cs-CZ"/>
    </w:rPr>
  </w:style>
  <w:style w:type="character" w:customStyle="1" w:styleId="Heading7Char">
    <w:name w:val="Heading 7 Char"/>
    <w:basedOn w:val="DefaultParagraphFont"/>
    <w:link w:val="Heading7"/>
    <w:uiPriority w:val="9"/>
    <w:semiHidden/>
    <w:rsid w:val="00D34273"/>
    <w:rPr>
      <w:rFonts w:ascii="Times New Roman" w:eastAsiaTheme="majorEastAsia" w:hAnsi="Times New Roman" w:cs="Times New Roman"/>
      <w:iCs/>
      <w:sz w:val="24"/>
      <w:lang w:val="cs-CZ"/>
    </w:rPr>
  </w:style>
  <w:style w:type="paragraph" w:customStyle="1" w:styleId="ManualHeading5">
    <w:name w:val="Manual Heading 5"/>
    <w:basedOn w:val="Normal"/>
    <w:next w:val="Text2"/>
    <w:rsid w:val="00D34273"/>
    <w:pPr>
      <w:keepNext/>
      <w:tabs>
        <w:tab w:val="left" w:pos="1417"/>
      </w:tabs>
      <w:ind w:left="1417" w:hanging="1417"/>
      <w:outlineLvl w:val="4"/>
    </w:pPr>
  </w:style>
  <w:style w:type="paragraph" w:customStyle="1" w:styleId="ManualHeading6">
    <w:name w:val="Manual Heading 6"/>
    <w:basedOn w:val="Normal"/>
    <w:next w:val="Text2"/>
    <w:rsid w:val="00D34273"/>
    <w:pPr>
      <w:keepNext/>
      <w:tabs>
        <w:tab w:val="left" w:pos="1417"/>
      </w:tabs>
      <w:ind w:left="1417" w:hanging="1417"/>
      <w:outlineLvl w:val="5"/>
    </w:pPr>
  </w:style>
  <w:style w:type="paragraph" w:customStyle="1" w:styleId="ManualHeading7">
    <w:name w:val="Manual Heading 7"/>
    <w:basedOn w:val="Normal"/>
    <w:next w:val="Text2"/>
    <w:rsid w:val="00D34273"/>
    <w:pPr>
      <w:keepNext/>
      <w:tabs>
        <w:tab w:val="left" w:pos="1417"/>
      </w:tabs>
      <w:ind w:left="1417" w:hanging="1417"/>
      <w:outlineLvl w:val="6"/>
    </w:pPr>
  </w:style>
  <w:style w:type="paragraph" w:customStyle="1" w:styleId="Text5">
    <w:name w:val="Text 5"/>
    <w:basedOn w:val="Normal"/>
    <w:rsid w:val="00D34273"/>
    <w:pPr>
      <w:ind w:left="3118"/>
    </w:pPr>
  </w:style>
  <w:style w:type="paragraph" w:customStyle="1" w:styleId="Text6">
    <w:name w:val="Text 6"/>
    <w:basedOn w:val="Normal"/>
    <w:rsid w:val="00D34273"/>
    <w:pPr>
      <w:ind w:left="3685"/>
    </w:pPr>
  </w:style>
  <w:style w:type="paragraph" w:customStyle="1" w:styleId="Point5">
    <w:name w:val="Point 5"/>
    <w:basedOn w:val="Normal"/>
    <w:rsid w:val="00D34273"/>
    <w:pPr>
      <w:ind w:left="3685" w:hanging="567"/>
    </w:pPr>
  </w:style>
  <w:style w:type="paragraph" w:customStyle="1" w:styleId="Tiret5">
    <w:name w:val="Tiret 5"/>
    <w:basedOn w:val="Point5"/>
    <w:rsid w:val="00D34273"/>
    <w:pPr>
      <w:numPr>
        <w:numId w:val="42"/>
      </w:numPr>
    </w:pPr>
  </w:style>
  <w:style w:type="paragraph" w:customStyle="1" w:styleId="NumPar5">
    <w:name w:val="NumPar 5"/>
    <w:basedOn w:val="Normal"/>
    <w:next w:val="Text2"/>
    <w:rsid w:val="00D34273"/>
    <w:pPr>
      <w:numPr>
        <w:ilvl w:val="4"/>
        <w:numId w:val="45"/>
      </w:numPr>
    </w:pPr>
  </w:style>
  <w:style w:type="paragraph" w:customStyle="1" w:styleId="NumPar6">
    <w:name w:val="NumPar 6"/>
    <w:basedOn w:val="Normal"/>
    <w:next w:val="Text2"/>
    <w:rsid w:val="00D34273"/>
    <w:pPr>
      <w:numPr>
        <w:ilvl w:val="5"/>
        <w:numId w:val="45"/>
      </w:numPr>
    </w:pPr>
  </w:style>
  <w:style w:type="paragraph" w:customStyle="1" w:styleId="NumPar7">
    <w:name w:val="NumPar 7"/>
    <w:basedOn w:val="Normal"/>
    <w:next w:val="Text2"/>
    <w:rsid w:val="00D34273"/>
    <w:pPr>
      <w:numPr>
        <w:ilvl w:val="6"/>
        <w:numId w:val="45"/>
      </w:numPr>
    </w:pPr>
  </w:style>
  <w:style w:type="paragraph" w:customStyle="1" w:styleId="ManualNumPar5">
    <w:name w:val="Manual NumPar 5"/>
    <w:basedOn w:val="Normal"/>
    <w:next w:val="Text2"/>
    <w:rsid w:val="00D34273"/>
    <w:pPr>
      <w:ind w:left="1417" w:hanging="1417"/>
    </w:pPr>
  </w:style>
  <w:style w:type="paragraph" w:customStyle="1" w:styleId="ManualNumPar6">
    <w:name w:val="Manual NumPar 6"/>
    <w:basedOn w:val="Normal"/>
    <w:next w:val="Text2"/>
    <w:rsid w:val="00D34273"/>
    <w:pPr>
      <w:ind w:left="1417" w:hanging="1417"/>
    </w:pPr>
  </w:style>
  <w:style w:type="paragraph" w:customStyle="1" w:styleId="ManualNumPar7">
    <w:name w:val="Manual NumPar 7"/>
    <w:basedOn w:val="Normal"/>
    <w:next w:val="Text2"/>
    <w:rsid w:val="00D34273"/>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311DF-D024-4FE2-8F29-8AF41580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20</Pages>
  <Words>6034</Words>
  <Characters>34937</Characters>
  <Application>Microsoft Office Word</Application>
  <DocSecurity>0</DocSecurity>
  <Lines>727</Lines>
  <Paragraphs>310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2021-09-22T09:26:00Z</dcterms:created>
  <dcterms:modified xsi:type="dcterms:W3CDTF">2021-11-30T07:06:00Z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LWCR IsRefonte">
    <vt:lpwstr>False</vt:lpwstr>
  </property>
  <property fmtid="{D5CDD505-2E9C-101B-9397-08002B2CF9AE}" pid="11" name="DQCStatus">
    <vt:lpwstr>Green (DQC version 03)</vt:lpwstr>
  </property>
</Properties>
</file>