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95806" w14:textId="62B2EF71" w:rsidR="00824647" w:rsidRDefault="006605B9" w:rsidP="006605B9">
      <w:pPr>
        <w:pStyle w:val="Pagedecouverture"/>
        <w:rPr>
          <w:noProof/>
        </w:rPr>
      </w:pPr>
      <w:r>
        <w:rPr>
          <w:noProof/>
        </w:rPr>
        <w:pict w14:anchorId="6CE8C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16A51D6-FAA8-4A85-9778-118B90A9EEE8" style="width:455.25pt;height:369.75pt">
            <v:imagedata r:id="rId11" o:title=""/>
          </v:shape>
        </w:pict>
      </w:r>
    </w:p>
    <w:p w14:paraId="62C89400" w14:textId="77777777" w:rsidR="003272AC" w:rsidRPr="003272AC" w:rsidRDefault="003272AC" w:rsidP="003272AC">
      <w:pPr>
        <w:pStyle w:val="Pagedecouverture"/>
        <w:rPr>
          <w:noProof/>
        </w:rPr>
        <w:sectPr w:rsidR="003272AC" w:rsidRPr="003272AC" w:rsidSect="006605B9">
          <w:footerReference w:type="default" r:id="rId12"/>
          <w:pgSz w:w="11907" w:h="16839"/>
          <w:pgMar w:top="1134" w:right="1417" w:bottom="1134" w:left="1417" w:header="709" w:footer="709" w:gutter="0"/>
          <w:pgNumType w:start="0"/>
          <w:cols w:space="720"/>
          <w:docGrid w:linePitch="360"/>
        </w:sectPr>
      </w:pPr>
    </w:p>
    <w:p w14:paraId="666ADA5A" w14:textId="48CF4D36" w:rsidR="00AF44C3" w:rsidRPr="006A56CD" w:rsidRDefault="00AF44C3" w:rsidP="00263CB2">
      <w:pPr>
        <w:pStyle w:val="Exposdesmotifstitre"/>
        <w:rPr>
          <w:noProof/>
        </w:rPr>
      </w:pPr>
      <w:bookmarkStart w:id="0" w:name="_GoBack"/>
      <w:bookmarkEnd w:id="0"/>
      <w:r w:rsidRPr="006A56CD">
        <w:rPr>
          <w:noProof/>
        </w:rPr>
        <w:lastRenderedPageBreak/>
        <w:t>EXPLANATORY MEMORANDUM</w:t>
      </w:r>
    </w:p>
    <w:p w14:paraId="2C478A8F" w14:textId="11B70C2F" w:rsidR="00AF44C3" w:rsidRDefault="002E4C52" w:rsidP="002E4C52">
      <w:pPr>
        <w:pStyle w:val="ManualHeading1"/>
        <w:rPr>
          <w:noProof/>
        </w:rPr>
      </w:pPr>
      <w:bookmarkStart w:id="1" w:name="_Toc85807186"/>
      <w:r w:rsidRPr="002E4C52">
        <w:t>1.</w:t>
      </w:r>
      <w:r w:rsidRPr="002E4C52">
        <w:tab/>
      </w:r>
      <w:r w:rsidR="00AF44C3" w:rsidRPr="006F770D">
        <w:rPr>
          <w:noProof/>
        </w:rPr>
        <w:t>CONTEXT OF THE PROPOSAL</w:t>
      </w:r>
      <w:bookmarkEnd w:id="1"/>
    </w:p>
    <w:p w14:paraId="4F9B5DF3" w14:textId="77777777" w:rsidR="00AF44C3" w:rsidRPr="00AC7C45" w:rsidRDefault="00AF44C3" w:rsidP="00AF44C3">
      <w:pPr>
        <w:pStyle w:val="ManualHeading2"/>
        <w:rPr>
          <w:noProof/>
        </w:rPr>
      </w:pPr>
      <w:bookmarkStart w:id="2" w:name="_Toc85807187"/>
      <w:r w:rsidRPr="0029266A">
        <w:rPr>
          <w:rFonts w:eastAsia="Arial Unicode MS"/>
          <w:noProof/>
          <w:color w:val="000000"/>
          <w:u w:color="000000"/>
          <w:bdr w:val="nil"/>
          <w:lang w:val="en-US" w:eastAsia="en-GB"/>
        </w:rPr>
        <w:t>•</w:t>
      </w:r>
      <w:r>
        <w:rPr>
          <w:rFonts w:eastAsia="Arial Unicode MS"/>
          <w:noProof/>
          <w:color w:val="000000"/>
          <w:u w:color="000000"/>
          <w:bdr w:val="nil"/>
          <w:lang w:val="en-US" w:eastAsia="en-GB"/>
        </w:rPr>
        <w:t xml:space="preserve"> </w:t>
      </w:r>
      <w:r w:rsidRPr="00CA7FAC">
        <w:rPr>
          <w:rFonts w:eastAsia="Arial Unicode MS"/>
          <w:noProof/>
        </w:rPr>
        <w:t>General context</w:t>
      </w:r>
      <w:bookmarkEnd w:id="2"/>
    </w:p>
    <w:p w14:paraId="1670107E" w14:textId="18966765" w:rsidR="00AF44C3" w:rsidRPr="00426A5C" w:rsidRDefault="00C4529E" w:rsidP="00AF44C3">
      <w:pPr>
        <w:pStyle w:val="Body"/>
        <w:rPr>
          <w:rFonts w:ascii="Times New Roman" w:hAnsi="Times New Roman"/>
          <w:noProof/>
          <w:sz w:val="24"/>
          <w:szCs w:val="24"/>
        </w:rPr>
      </w:pPr>
      <w:r w:rsidRPr="00E835F0">
        <w:rPr>
          <w:rFonts w:ascii="Times New Roman" w:hAnsi="Times New Roman"/>
          <w:noProof/>
          <w:sz w:val="24"/>
          <w:szCs w:val="24"/>
        </w:rPr>
        <w:t>A</w:t>
      </w:r>
      <w:r w:rsidRPr="00E835F0">
        <w:rPr>
          <w:rFonts w:ascii="Times New Roman" w:hAnsi="Times New Roman"/>
          <w:noProof/>
          <w:sz w:val="24"/>
          <w:szCs w:val="24"/>
          <w:lang w:eastAsia="en-GB"/>
        </w:rPr>
        <w:t>s set out in the EU Security Union Strategy</w:t>
      </w:r>
      <w:r w:rsidRPr="00E835F0">
        <w:rPr>
          <w:rStyle w:val="FootnoteReference0"/>
          <w:rFonts w:ascii="Times New Roman" w:hAnsi="Times New Roman"/>
          <w:noProof/>
          <w:sz w:val="24"/>
          <w:szCs w:val="24"/>
          <w:lang w:eastAsia="en-GB"/>
        </w:rPr>
        <w:footnoteReference w:id="2"/>
      </w:r>
      <w:r w:rsidRPr="00E835F0">
        <w:rPr>
          <w:rFonts w:ascii="Times New Roman" w:hAnsi="Times New Roman"/>
          <w:noProof/>
          <w:sz w:val="24"/>
          <w:szCs w:val="24"/>
          <w:lang w:eastAsia="en-GB"/>
        </w:rPr>
        <w:t>, the new Counter-terrorism agenda for the EU</w:t>
      </w:r>
      <w:r w:rsidRPr="00E835F0">
        <w:rPr>
          <w:rStyle w:val="FootnoteReference0"/>
          <w:rFonts w:ascii="Times New Roman" w:hAnsi="Times New Roman"/>
          <w:noProof/>
          <w:sz w:val="24"/>
          <w:szCs w:val="24"/>
          <w:lang w:eastAsia="en-GB"/>
        </w:rPr>
        <w:footnoteReference w:id="3"/>
      </w:r>
      <w:r w:rsidRPr="00E835F0">
        <w:rPr>
          <w:rFonts w:ascii="Times New Roman" w:hAnsi="Times New Roman"/>
          <w:noProof/>
          <w:sz w:val="24"/>
          <w:szCs w:val="24"/>
          <w:lang w:eastAsia="en-GB"/>
        </w:rPr>
        <w:t xml:space="preserve"> and the EU Strategy to tackle Organised Crime 2021-2025</w:t>
      </w:r>
      <w:r w:rsidRPr="00E835F0">
        <w:rPr>
          <w:rStyle w:val="FootnoteReference0"/>
          <w:rFonts w:ascii="Times New Roman" w:hAnsi="Times New Roman"/>
          <w:noProof/>
          <w:sz w:val="24"/>
          <w:szCs w:val="24"/>
          <w:lang w:eastAsia="en-GB"/>
        </w:rPr>
        <w:footnoteReference w:id="4"/>
      </w:r>
      <w:r w:rsidRPr="00E835F0">
        <w:rPr>
          <w:rFonts w:ascii="Times New Roman" w:hAnsi="Times New Roman"/>
          <w:noProof/>
          <w:sz w:val="24"/>
          <w:szCs w:val="24"/>
          <w:lang w:eastAsia="en-GB"/>
        </w:rPr>
        <w:t xml:space="preserve">, </w:t>
      </w:r>
      <w:r w:rsidRPr="00E835F0">
        <w:rPr>
          <w:rFonts w:ascii="Times New Roman" w:hAnsi="Times New Roman"/>
          <w:noProof/>
          <w:sz w:val="24"/>
          <w:szCs w:val="27"/>
          <w:shd w:val="clear" w:color="auto" w:fill="FFFFFF"/>
        </w:rPr>
        <w:t xml:space="preserve">transnational threats call for a coordinated, more targeted and adapted response. While national authorities operating on the ground are on the frontline in the fight against organised crime and terrorism, action at Union level and global partnerships are paramount to ensure effective cooperation as well as information and knowledge exchange among national authorities, supported by a common criminal law framework and effective financial means. Furthermore, organised crime and terrorism are emblematic of the link between internal and external security. </w:t>
      </w:r>
      <w:r w:rsidR="00AF44C3" w:rsidRPr="00E835F0">
        <w:rPr>
          <w:rFonts w:ascii="Times New Roman" w:hAnsi="Times New Roman"/>
          <w:noProof/>
          <w:sz w:val="24"/>
          <w:szCs w:val="24"/>
        </w:rPr>
        <w:t xml:space="preserve">These threats spread across borders and manifest themselves in organised crime </w:t>
      </w:r>
      <w:r w:rsidRPr="00E835F0">
        <w:rPr>
          <w:rFonts w:ascii="Times New Roman" w:hAnsi="Times New Roman"/>
          <w:noProof/>
          <w:sz w:val="24"/>
          <w:szCs w:val="24"/>
        </w:rPr>
        <w:t xml:space="preserve">and terrorist </w:t>
      </w:r>
      <w:r w:rsidR="00AF44C3" w:rsidRPr="00E835F0">
        <w:rPr>
          <w:rFonts w:ascii="Times New Roman" w:hAnsi="Times New Roman"/>
          <w:noProof/>
          <w:sz w:val="24"/>
          <w:szCs w:val="24"/>
        </w:rPr>
        <w:t xml:space="preserve">groups </w:t>
      </w:r>
      <w:r w:rsidR="00AF44C3" w:rsidRPr="00426A5C">
        <w:rPr>
          <w:rFonts w:ascii="Times New Roman" w:hAnsi="Times New Roman"/>
          <w:noProof/>
          <w:sz w:val="24"/>
          <w:szCs w:val="24"/>
        </w:rPr>
        <w:t xml:space="preserve">that engage in a wide range of criminal activities. </w:t>
      </w:r>
    </w:p>
    <w:p w14:paraId="643563C0" w14:textId="78AB8FD6" w:rsidR="00AF44C3" w:rsidRDefault="00AF44C3" w:rsidP="00AF44C3">
      <w:pPr>
        <w:autoSpaceDE w:val="0"/>
        <w:autoSpaceDN w:val="0"/>
        <w:spacing w:after="0"/>
        <w:rPr>
          <w:noProof/>
          <w:szCs w:val="24"/>
        </w:rPr>
      </w:pPr>
      <w:r w:rsidRPr="00426A5C">
        <w:rPr>
          <w:noProof/>
          <w:szCs w:val="24"/>
        </w:rPr>
        <w:t>In an area without internal border controls</w:t>
      </w:r>
      <w:r>
        <w:rPr>
          <w:noProof/>
          <w:szCs w:val="24"/>
        </w:rPr>
        <w:t xml:space="preserve"> </w:t>
      </w:r>
      <w:r>
        <w:rPr>
          <w:noProof/>
        </w:rPr>
        <w:t>('the Schengen area'</w:t>
      </w:r>
      <w:r>
        <w:rPr>
          <w:rStyle w:val="FootnoteReference0"/>
          <w:noProof/>
        </w:rPr>
        <w:footnoteReference w:id="5"/>
      </w:r>
      <w:r>
        <w:rPr>
          <w:noProof/>
        </w:rPr>
        <w:t>)</w:t>
      </w:r>
      <w:r w:rsidRPr="00426A5C">
        <w:rPr>
          <w:noProof/>
          <w:szCs w:val="24"/>
        </w:rPr>
        <w:t xml:space="preserve">, police officers in one Member State should have </w:t>
      </w:r>
      <w:r w:rsidR="00C4529E">
        <w:rPr>
          <w:noProof/>
          <w:szCs w:val="24"/>
        </w:rPr>
        <w:t xml:space="preserve">equivalent </w:t>
      </w:r>
      <w:r w:rsidRPr="00426A5C">
        <w:rPr>
          <w:noProof/>
          <w:szCs w:val="24"/>
        </w:rPr>
        <w:t>access to the information available to their colleagues in another Member State</w:t>
      </w:r>
      <w:r w:rsidR="000B09ED">
        <w:rPr>
          <w:noProof/>
          <w:szCs w:val="24"/>
        </w:rPr>
        <w:t xml:space="preserve"> (</w:t>
      </w:r>
      <w:r w:rsidR="00196E89">
        <w:rPr>
          <w:noProof/>
        </w:rPr>
        <w:t>subject to the same conditions</w:t>
      </w:r>
      <w:r w:rsidR="000B09ED">
        <w:rPr>
          <w:noProof/>
        </w:rPr>
        <w:t>)</w:t>
      </w:r>
      <w:r w:rsidRPr="00426A5C">
        <w:rPr>
          <w:noProof/>
          <w:szCs w:val="24"/>
        </w:rPr>
        <w:t xml:space="preserve">. They should cooperate effectively and by default across </w:t>
      </w:r>
      <w:r w:rsidR="00F5542B">
        <w:rPr>
          <w:noProof/>
          <w:szCs w:val="24"/>
        </w:rPr>
        <w:t>the Union</w:t>
      </w:r>
      <w:r w:rsidRPr="00426A5C">
        <w:rPr>
          <w:noProof/>
          <w:szCs w:val="24"/>
        </w:rPr>
        <w:t xml:space="preserve">. </w:t>
      </w:r>
      <w:r>
        <w:rPr>
          <w:noProof/>
          <w:szCs w:val="24"/>
        </w:rPr>
        <w:t xml:space="preserve">Exchange of information on criminal matters is thus a key enabler to safeguarding security in the Schengen area. </w:t>
      </w:r>
    </w:p>
    <w:p w14:paraId="6F409C81" w14:textId="4A15853D" w:rsidR="00AF44C3" w:rsidRDefault="00AF44C3" w:rsidP="00AF44C3">
      <w:pPr>
        <w:autoSpaceDE w:val="0"/>
        <w:autoSpaceDN w:val="0"/>
        <w:spacing w:after="0"/>
        <w:rPr>
          <w:noProof/>
          <w:szCs w:val="24"/>
        </w:rPr>
      </w:pPr>
      <w:r>
        <w:rPr>
          <w:noProof/>
        </w:rPr>
        <w:t xml:space="preserve">Together with the abolition of internal border controls within the Schengen area, a set of rules for information exchange and police cooperation were agreed upon in the Convention Implementing the Schengen Agreement (CISA). In addition, the Schengen Information System (SIS) was established, </w:t>
      </w:r>
      <w:r w:rsidR="00C4529E">
        <w:rPr>
          <w:noProof/>
        </w:rPr>
        <w:t xml:space="preserve">creating </w:t>
      </w:r>
      <w:r>
        <w:rPr>
          <w:noProof/>
        </w:rPr>
        <w:t xml:space="preserve">a common EU security </w:t>
      </w:r>
      <w:r w:rsidR="00C4529E">
        <w:rPr>
          <w:noProof/>
        </w:rPr>
        <w:t xml:space="preserve">and border </w:t>
      </w:r>
      <w:r>
        <w:rPr>
          <w:noProof/>
        </w:rPr>
        <w:t>database containing information on wanted and missing persons and objects in the forms of alerts.</w:t>
      </w:r>
    </w:p>
    <w:p w14:paraId="1CC10650" w14:textId="45F38D5B" w:rsidR="00AF44C3" w:rsidRDefault="00AF44C3" w:rsidP="00AF44C3">
      <w:pPr>
        <w:pStyle w:val="Body"/>
        <w:rPr>
          <w:rFonts w:ascii="Times New Roman" w:eastAsia="Calibri" w:hAnsi="Times New Roman"/>
          <w:noProof/>
          <w:sz w:val="24"/>
          <w:szCs w:val="24"/>
        </w:rPr>
      </w:pPr>
      <w:r w:rsidRPr="0000286E">
        <w:rPr>
          <w:rFonts w:ascii="Times New Roman" w:eastAsia="Calibri" w:hAnsi="Times New Roman"/>
          <w:noProof/>
          <w:sz w:val="24"/>
          <w:szCs w:val="24"/>
        </w:rPr>
        <w:t>According to the EU Serious and Organised Crime Threat Assessment 2021 (EU SOCTA), more than 70% of organised crime groups are present in more than three Member States</w:t>
      </w:r>
      <w:r w:rsidR="00ED3FA7" w:rsidRPr="00914727">
        <w:rPr>
          <w:rStyle w:val="FootnoteReference0"/>
          <w:rFonts w:ascii="Times New Roman" w:hAnsi="Times New Roman"/>
          <w:noProof/>
          <w:sz w:val="24"/>
          <w:lang w:eastAsia="nl-BE"/>
        </w:rPr>
        <w:footnoteReference w:id="6"/>
      </w:r>
      <w:r w:rsidRPr="0000286E">
        <w:rPr>
          <w:rFonts w:ascii="Times New Roman" w:hAnsi="Times New Roman"/>
          <w:noProof/>
          <w:sz w:val="24"/>
          <w:lang w:eastAsia="nl-BE"/>
        </w:rPr>
        <w:t xml:space="preserve">. </w:t>
      </w:r>
      <w:r w:rsidRPr="008A7AE0">
        <w:rPr>
          <w:rFonts w:ascii="Times New Roman" w:hAnsi="Times New Roman"/>
          <w:noProof/>
          <w:sz w:val="24"/>
          <w:lang w:eastAsia="nl-BE"/>
        </w:rPr>
        <w:t xml:space="preserve">The </w:t>
      </w:r>
      <w:r w:rsidRPr="00E431A2">
        <w:rPr>
          <w:rFonts w:ascii="Times New Roman" w:hAnsi="Times New Roman"/>
          <w:noProof/>
          <w:sz w:val="24"/>
          <w:lang w:eastAsia="nl-BE"/>
        </w:rPr>
        <w:t xml:space="preserve">2021 </w:t>
      </w:r>
      <w:r>
        <w:rPr>
          <w:rFonts w:ascii="Times New Roman" w:hAnsi="Times New Roman"/>
          <w:noProof/>
          <w:sz w:val="24"/>
          <w:lang w:eastAsia="nl-BE"/>
        </w:rPr>
        <w:t xml:space="preserve">EU </w:t>
      </w:r>
      <w:r w:rsidRPr="000E14A4">
        <w:rPr>
          <w:rFonts w:ascii="Times New Roman" w:hAnsi="Times New Roman"/>
          <w:bCs/>
          <w:noProof/>
          <w:sz w:val="24"/>
          <w:lang w:eastAsia="nl-BE"/>
        </w:rPr>
        <w:t xml:space="preserve">SOCTA </w:t>
      </w:r>
      <w:r w:rsidRPr="008A7AE0">
        <w:rPr>
          <w:rFonts w:ascii="Times New Roman" w:hAnsi="Times New Roman"/>
          <w:noProof/>
          <w:sz w:val="24"/>
          <w:lang w:eastAsia="nl-BE"/>
        </w:rPr>
        <w:t xml:space="preserve">and the </w:t>
      </w:r>
      <w:r w:rsidRPr="001A5C3D">
        <w:rPr>
          <w:rFonts w:ascii="Times New Roman" w:hAnsi="Times New Roman"/>
          <w:noProof/>
          <w:sz w:val="24"/>
          <w:lang w:eastAsia="nl-BE"/>
        </w:rPr>
        <w:t>EMCDDA European Drug report</w:t>
      </w:r>
      <w:r>
        <w:rPr>
          <w:rStyle w:val="FootnoteReference0"/>
          <w:rFonts w:ascii="Times New Roman" w:hAnsi="Times New Roman"/>
          <w:noProof/>
          <w:sz w:val="24"/>
          <w:lang w:eastAsia="nl-BE"/>
        </w:rPr>
        <w:footnoteReference w:id="7"/>
      </w:r>
      <w:r>
        <w:rPr>
          <w:rFonts w:ascii="Times New Roman" w:hAnsi="Times New Roman"/>
          <w:bCs/>
          <w:noProof/>
          <w:sz w:val="24"/>
          <w:lang w:eastAsia="nl-BE"/>
        </w:rPr>
        <w:t xml:space="preserve"> </w:t>
      </w:r>
      <w:r w:rsidRPr="00E431A2">
        <w:rPr>
          <w:rFonts w:ascii="Times New Roman" w:hAnsi="Times New Roman"/>
          <w:bCs/>
          <w:noProof/>
          <w:sz w:val="24"/>
          <w:lang w:eastAsia="nl-BE"/>
        </w:rPr>
        <w:t xml:space="preserve">outline a number of areas where </w:t>
      </w:r>
      <w:r w:rsidRPr="008A7AE0">
        <w:rPr>
          <w:rFonts w:ascii="Times New Roman" w:hAnsi="Times New Roman"/>
          <w:bCs/>
          <w:noProof/>
          <w:sz w:val="24"/>
          <w:lang w:eastAsia="nl-BE"/>
        </w:rPr>
        <w:t xml:space="preserve">serious and organised crime </w:t>
      </w:r>
      <w:r w:rsidRPr="00E431A2">
        <w:rPr>
          <w:rFonts w:ascii="Times New Roman" w:hAnsi="Times New Roman"/>
          <w:bCs/>
          <w:noProof/>
          <w:sz w:val="24"/>
          <w:lang w:eastAsia="nl-BE"/>
        </w:rPr>
        <w:t>appears to be on the rise</w:t>
      </w:r>
      <w:r>
        <w:rPr>
          <w:rFonts w:ascii="Times New Roman" w:hAnsi="Times New Roman"/>
          <w:bCs/>
          <w:noProof/>
          <w:sz w:val="24"/>
          <w:lang w:eastAsia="nl-BE"/>
        </w:rPr>
        <w:t>.</w:t>
      </w:r>
      <w:r w:rsidRPr="008A7AE0">
        <w:rPr>
          <w:rFonts w:ascii="Times New Roman" w:hAnsi="Times New Roman"/>
          <w:noProof/>
          <w:sz w:val="24"/>
          <w:lang w:eastAsia="nl-BE"/>
        </w:rPr>
        <w:t xml:space="preserve"> </w:t>
      </w:r>
      <w:r>
        <w:rPr>
          <w:rFonts w:ascii="Times New Roman" w:hAnsi="Times New Roman"/>
          <w:noProof/>
          <w:sz w:val="24"/>
          <w:lang w:eastAsia="nl-BE"/>
        </w:rPr>
        <w:t xml:space="preserve">At the same time, as set out in the December 2020 </w:t>
      </w:r>
      <w:r w:rsidRPr="00CF5C36">
        <w:rPr>
          <w:rFonts w:ascii="Times New Roman" w:hAnsi="Times New Roman"/>
          <w:noProof/>
          <w:sz w:val="24"/>
          <w:lang w:eastAsia="nl-BE"/>
        </w:rPr>
        <w:t>Counter-Terrorism Agenda</w:t>
      </w:r>
      <w:r w:rsidR="00C4529E">
        <w:rPr>
          <w:rStyle w:val="FootnoteReference0"/>
          <w:rFonts w:ascii="Times New Roman" w:hAnsi="Times New Roman"/>
          <w:noProof/>
          <w:sz w:val="24"/>
          <w:lang w:eastAsia="nl-BE"/>
        </w:rPr>
        <w:footnoteReference w:id="8"/>
      </w:r>
      <w:r>
        <w:rPr>
          <w:rFonts w:ascii="Times New Roman" w:hAnsi="Times New Roman"/>
          <w:noProof/>
          <w:sz w:val="24"/>
          <w:lang w:eastAsia="nl-BE"/>
        </w:rPr>
        <w:t xml:space="preserve">, </w:t>
      </w:r>
      <w:r w:rsidRPr="00CF5C36">
        <w:rPr>
          <w:rFonts w:ascii="Times New Roman" w:hAnsi="Times New Roman"/>
          <w:noProof/>
          <w:sz w:val="24"/>
          <w:lang w:eastAsia="nl-BE"/>
        </w:rPr>
        <w:t>the EU remains on high terrorist alert</w:t>
      </w:r>
      <w:r>
        <w:rPr>
          <w:rFonts w:ascii="Times New Roman" w:hAnsi="Times New Roman"/>
          <w:noProof/>
          <w:sz w:val="24"/>
          <w:lang w:eastAsia="nl-BE"/>
        </w:rPr>
        <w:t>.</w:t>
      </w:r>
    </w:p>
    <w:p w14:paraId="341BF1DF" w14:textId="367FEC87" w:rsidR="00AF44C3" w:rsidRDefault="00AF44C3" w:rsidP="00AF44C3">
      <w:pPr>
        <w:spacing w:before="0"/>
        <w:rPr>
          <w:noProof/>
        </w:rPr>
      </w:pPr>
      <w:r>
        <w:rPr>
          <w:noProof/>
        </w:rPr>
        <w:t xml:space="preserve">The Schengen area is the largest free travel area in the world. It allows more than 420 </w:t>
      </w:r>
      <w:r w:rsidR="002E72DF">
        <w:rPr>
          <w:noProof/>
        </w:rPr>
        <w:t>million people</w:t>
      </w:r>
      <w:r>
        <w:rPr>
          <w:noProof/>
        </w:rPr>
        <w:t xml:space="preserve"> to move freely and goods and services to flow unhindered. By removing border controls between Member States, the Schengen area has become part of our European way of life. It is a symbol of Europe's interconnectedness and of the ties between European citizens</w:t>
      </w:r>
      <w:r>
        <w:rPr>
          <w:rStyle w:val="FootnoteReference0"/>
          <w:noProof/>
        </w:rPr>
        <w:footnoteReference w:id="9"/>
      </w:r>
      <w:r>
        <w:rPr>
          <w:noProof/>
        </w:rPr>
        <w:t>. The Schengen area also contributes to the efficient functioning of the Single Market, and thus to the growth of the Union's economy</w:t>
      </w:r>
      <w:r>
        <w:rPr>
          <w:rStyle w:val="FootnoteReference0"/>
          <w:noProof/>
        </w:rPr>
        <w:footnoteReference w:id="10"/>
      </w:r>
      <w:r>
        <w:rPr>
          <w:noProof/>
        </w:rPr>
        <w:t xml:space="preserve">. </w:t>
      </w:r>
    </w:p>
    <w:p w14:paraId="2F1AC471" w14:textId="22A0354B" w:rsidR="00AF44C3" w:rsidRPr="004549DF" w:rsidRDefault="00AF44C3" w:rsidP="00AF44C3">
      <w:pPr>
        <w:spacing w:before="0"/>
        <w:rPr>
          <w:noProof/>
        </w:rPr>
      </w:pPr>
      <w:r w:rsidRPr="004549DF">
        <w:rPr>
          <w:noProof/>
        </w:rPr>
        <w:t xml:space="preserve">However, the growing mobility of people within the EU also creates additional challenges in preventing and fighting criminal threats, and in ensuring public safety. Almost 2 million people commuted across borders, including 1.3 </w:t>
      </w:r>
      <w:r w:rsidRPr="009C1ACD">
        <w:rPr>
          <w:noProof/>
          <w:szCs w:val="24"/>
        </w:rPr>
        <w:t>million</w:t>
      </w:r>
      <w:r w:rsidRPr="004549DF">
        <w:rPr>
          <w:noProof/>
        </w:rPr>
        <w:t xml:space="preserve"> cross-border workers</w:t>
      </w:r>
      <w:r>
        <w:rPr>
          <w:rStyle w:val="FootnoteReference0"/>
          <w:noProof/>
          <w:lang w:val="en-US"/>
        </w:rPr>
        <w:footnoteReference w:id="11"/>
      </w:r>
      <w:r w:rsidRPr="004549DF">
        <w:rPr>
          <w:noProof/>
        </w:rPr>
        <w:t>. Despite the COVID-19 pandemic having reduced intra-EU mobility, flows of people will likely continue to be important in the future.</w:t>
      </w:r>
    </w:p>
    <w:p w14:paraId="30EEE105" w14:textId="24F616A2" w:rsidR="00AF44C3" w:rsidRDefault="00AF44C3" w:rsidP="00AF44C3">
      <w:pPr>
        <w:spacing w:before="0"/>
        <w:rPr>
          <w:noProof/>
          <w:szCs w:val="24"/>
          <w:lang w:val="en-US"/>
        </w:rPr>
      </w:pPr>
      <w:r>
        <w:rPr>
          <w:noProof/>
          <w:szCs w:val="24"/>
          <w:lang w:val="en-US"/>
        </w:rPr>
        <w:t>In recent years, the Schengen area has been repeatedly put to the test by a series of crises and challenges which have led several Member States to reintroduce internal border controls. One reason Member States have given for such a decision has been the uncontrolled secondary movements</w:t>
      </w:r>
      <w:r>
        <w:rPr>
          <w:rStyle w:val="FootnoteReference0"/>
          <w:noProof/>
          <w:szCs w:val="24"/>
          <w:lang w:val="en-US"/>
        </w:rPr>
        <w:footnoteReference w:id="12"/>
      </w:r>
      <w:r>
        <w:rPr>
          <w:noProof/>
          <w:szCs w:val="24"/>
          <w:lang w:val="en-US"/>
        </w:rPr>
        <w:t xml:space="preserve"> of irregular migrants, which these Member States consider to pose a serious threat to public policy or internal security, justifying the need to reintroduce border controls. Pursuant to Regulation (EU) 2016/399</w:t>
      </w:r>
      <w:r>
        <w:rPr>
          <w:rStyle w:val="FootnoteReference0"/>
          <w:noProof/>
          <w:szCs w:val="24"/>
          <w:lang w:val="en-US"/>
        </w:rPr>
        <w:footnoteReference w:id="13"/>
      </w:r>
      <w:r>
        <w:rPr>
          <w:noProof/>
          <w:szCs w:val="24"/>
          <w:lang w:val="en-US"/>
        </w:rPr>
        <w:t xml:space="preserve"> (</w:t>
      </w:r>
      <w:r w:rsidR="000358DC">
        <w:rPr>
          <w:noProof/>
          <w:szCs w:val="24"/>
          <w:lang w:val="en-US"/>
        </w:rPr>
        <w:t>'</w:t>
      </w:r>
      <w:r>
        <w:rPr>
          <w:noProof/>
          <w:szCs w:val="24"/>
          <w:lang w:val="en-US"/>
        </w:rPr>
        <w:t>Schengen Borders Code</w:t>
      </w:r>
      <w:r w:rsidR="000358DC">
        <w:rPr>
          <w:noProof/>
          <w:szCs w:val="24"/>
          <w:lang w:val="en-US"/>
        </w:rPr>
        <w:t>'</w:t>
      </w:r>
      <w:r>
        <w:rPr>
          <w:noProof/>
          <w:szCs w:val="24"/>
          <w:lang w:val="en-US"/>
        </w:rPr>
        <w:t>), the temporary reintroduction of border controls may be used only for a limited period of time, in exceptional circumstances (such as the migratory crisis observed in 2015/2016), as a last resort measure.</w:t>
      </w:r>
      <w:r w:rsidR="00625C71">
        <w:rPr>
          <w:noProof/>
          <w:szCs w:val="24"/>
          <w:lang w:val="en-US"/>
        </w:rPr>
        <w:t xml:space="preserve"> </w:t>
      </w:r>
      <w:r>
        <w:rPr>
          <w:noProof/>
          <w:szCs w:val="24"/>
          <w:lang w:val="en-US"/>
        </w:rPr>
        <w:t xml:space="preserve"> In particular, there is room for improvement as regards the use of police checks and cooperation, including of course with regard to information exchange and communication</w:t>
      </w:r>
      <w:r>
        <w:rPr>
          <w:noProof/>
        </w:rPr>
        <w:t xml:space="preserve">. These measures, in particular if combined, </w:t>
      </w:r>
      <w:r>
        <w:rPr>
          <w:noProof/>
          <w:szCs w:val="24"/>
          <w:lang w:val="en-US"/>
        </w:rPr>
        <w:t xml:space="preserve">have </w:t>
      </w:r>
      <w:r w:rsidR="006A26F8">
        <w:rPr>
          <w:noProof/>
          <w:szCs w:val="24"/>
          <w:lang w:val="en-US"/>
        </w:rPr>
        <w:t xml:space="preserve">the </w:t>
      </w:r>
      <w:r>
        <w:rPr>
          <w:noProof/>
          <w:szCs w:val="24"/>
          <w:lang w:val="en-US"/>
        </w:rPr>
        <w:t>potential to yield the same results in controlling secondary movements as temporary internal border controls, and are less intrusive when it comes to the free movement of persons, goods and services.</w:t>
      </w:r>
    </w:p>
    <w:p w14:paraId="15F79091" w14:textId="6E4E6E80" w:rsidR="00AF44C3" w:rsidRDefault="00AF44C3" w:rsidP="008E5DAF">
      <w:pPr>
        <w:spacing w:before="0"/>
        <w:rPr>
          <w:rFonts w:eastAsia="Calibri"/>
          <w:noProof/>
          <w:szCs w:val="24"/>
          <w:lang w:val="en-US"/>
        </w:rPr>
      </w:pPr>
      <w:r w:rsidRPr="00426A5C">
        <w:rPr>
          <w:noProof/>
          <w:szCs w:val="24"/>
        </w:rPr>
        <w:t xml:space="preserve">The rapidly evolving criminal landscape and the mobility of people suggest that cross-border cooperation between law enforcement authorities in the EU and the Schengen area is crucial to tackle </w:t>
      </w:r>
      <w:r w:rsidRPr="00426A5C">
        <w:rPr>
          <w:noProof/>
          <w:szCs w:val="16"/>
        </w:rPr>
        <w:t>criminal offences</w:t>
      </w:r>
      <w:r w:rsidRPr="00426A5C">
        <w:rPr>
          <w:noProof/>
          <w:szCs w:val="24"/>
        </w:rPr>
        <w:t>, and allow citizens</w:t>
      </w:r>
      <w:r w:rsidR="009E0F3A">
        <w:rPr>
          <w:noProof/>
          <w:szCs w:val="24"/>
        </w:rPr>
        <w:t xml:space="preserve"> and third country nationals legally staying on the territory </w:t>
      </w:r>
      <w:r w:rsidRPr="00426A5C">
        <w:rPr>
          <w:noProof/>
          <w:szCs w:val="24"/>
        </w:rPr>
        <w:t xml:space="preserve">to safely </w:t>
      </w:r>
      <w:r>
        <w:rPr>
          <w:noProof/>
          <w:szCs w:val="24"/>
        </w:rPr>
        <w:t xml:space="preserve">use </w:t>
      </w:r>
      <w:r w:rsidRPr="00426A5C">
        <w:rPr>
          <w:noProof/>
          <w:szCs w:val="24"/>
        </w:rPr>
        <w:t>their free movement.</w:t>
      </w:r>
      <w:r w:rsidR="00ED3FA7">
        <w:rPr>
          <w:noProof/>
          <w:szCs w:val="24"/>
        </w:rPr>
        <w:t xml:space="preserve"> </w:t>
      </w:r>
      <w:r>
        <w:rPr>
          <w:rFonts w:eastAsia="Calibri"/>
          <w:noProof/>
          <w:szCs w:val="24"/>
          <w:lang w:val="en-US"/>
        </w:rPr>
        <w:t xml:space="preserve">However, </w:t>
      </w:r>
      <w:r w:rsidRPr="00766D57">
        <w:rPr>
          <w:rFonts w:eastAsia="Calibri"/>
          <w:noProof/>
          <w:szCs w:val="24"/>
          <w:lang w:val="en-US"/>
        </w:rPr>
        <w:t>important challenges remain</w:t>
      </w:r>
      <w:r>
        <w:rPr>
          <w:rFonts w:eastAsia="Calibri"/>
          <w:noProof/>
          <w:szCs w:val="24"/>
          <w:lang w:val="en-US"/>
        </w:rPr>
        <w:t xml:space="preserve"> for law enforcement authorities</w:t>
      </w:r>
      <w:r w:rsidR="006A26F8">
        <w:rPr>
          <w:rFonts w:eastAsia="Calibri"/>
          <w:noProof/>
          <w:szCs w:val="24"/>
          <w:lang w:val="en-US"/>
        </w:rPr>
        <w:t>' ability</w:t>
      </w:r>
      <w:r>
        <w:rPr>
          <w:rFonts w:eastAsia="Calibri"/>
          <w:noProof/>
          <w:szCs w:val="24"/>
          <w:lang w:val="en-US"/>
        </w:rPr>
        <w:t xml:space="preserve"> to exchange information with their counterparts in other Member States in an effective and efficient manner. This capability </w:t>
      </w:r>
      <w:r w:rsidRPr="00696A84">
        <w:rPr>
          <w:rFonts w:eastAsia="Calibri"/>
          <w:noProof/>
          <w:szCs w:val="24"/>
          <w:lang w:val="en-US"/>
        </w:rPr>
        <w:t>still varies gr</w:t>
      </w:r>
      <w:r>
        <w:rPr>
          <w:rFonts w:eastAsia="Calibri"/>
          <w:noProof/>
          <w:szCs w:val="24"/>
          <w:lang w:val="en-US"/>
        </w:rPr>
        <w:t>eatly among the Member States</w:t>
      </w:r>
      <w:r w:rsidR="004E5C12">
        <w:rPr>
          <w:rFonts w:eastAsia="Calibri"/>
          <w:noProof/>
          <w:szCs w:val="24"/>
          <w:lang w:val="en-US"/>
        </w:rPr>
        <w:t xml:space="preserve"> highlighting a degree of fragmentation detrimental to the effectiveness and efficiency of information exchange</w:t>
      </w:r>
      <w:r w:rsidRPr="00696A84">
        <w:rPr>
          <w:rFonts w:eastAsia="Calibri"/>
          <w:noProof/>
          <w:szCs w:val="24"/>
          <w:lang w:val="en-US"/>
        </w:rPr>
        <w:t xml:space="preserve">. As a result, </w:t>
      </w:r>
      <w:r w:rsidRPr="003845C6">
        <w:rPr>
          <w:rFonts w:eastAsia="Calibri"/>
          <w:noProof/>
          <w:szCs w:val="24"/>
          <w:lang w:val="en-US"/>
        </w:rPr>
        <w:t xml:space="preserve">criminals and groups of criminals continue to take advantage of these inefficiencies to operate across borders, and secondary </w:t>
      </w:r>
      <w:r w:rsidR="009E0F3A">
        <w:rPr>
          <w:rFonts w:eastAsia="Calibri"/>
          <w:noProof/>
          <w:szCs w:val="24"/>
          <w:lang w:val="en-US"/>
        </w:rPr>
        <w:t>movements</w:t>
      </w:r>
      <w:r w:rsidR="009E0F3A" w:rsidRPr="003845C6">
        <w:rPr>
          <w:rFonts w:eastAsia="Calibri"/>
          <w:noProof/>
          <w:szCs w:val="24"/>
          <w:lang w:val="en-US"/>
        </w:rPr>
        <w:t xml:space="preserve"> </w:t>
      </w:r>
      <w:r w:rsidRPr="003845C6">
        <w:rPr>
          <w:rFonts w:eastAsia="Calibri"/>
          <w:noProof/>
          <w:szCs w:val="24"/>
          <w:lang w:val="en-US"/>
        </w:rPr>
        <w:t>of irregular migrants will continue to pose a problem.</w:t>
      </w:r>
    </w:p>
    <w:p w14:paraId="5571C0A0" w14:textId="77777777" w:rsidR="00AF44C3" w:rsidRPr="00044058" w:rsidRDefault="00AF44C3" w:rsidP="00AF44C3">
      <w:pPr>
        <w:pStyle w:val="ManualHeading2"/>
        <w:rPr>
          <w:rFonts w:eastAsia="Arial Unicode MS"/>
          <w:noProof/>
        </w:rPr>
      </w:pPr>
      <w:bookmarkStart w:id="3" w:name="_Toc85807188"/>
      <w:r w:rsidRPr="0029266A">
        <w:rPr>
          <w:rFonts w:eastAsia="Arial Unicode MS"/>
          <w:noProof/>
          <w:color w:val="000000"/>
          <w:u w:color="000000"/>
          <w:bdr w:val="nil"/>
          <w:lang w:val="en-US" w:eastAsia="en-GB"/>
        </w:rPr>
        <w:t>•</w:t>
      </w:r>
      <w:r>
        <w:rPr>
          <w:rFonts w:eastAsia="Arial Unicode MS"/>
          <w:noProof/>
          <w:color w:val="000000"/>
          <w:u w:color="000000"/>
          <w:bdr w:val="nil"/>
          <w:lang w:val="en-US" w:eastAsia="en-GB"/>
        </w:rPr>
        <w:t xml:space="preserve"> </w:t>
      </w:r>
      <w:r w:rsidRPr="00DF72E2">
        <w:rPr>
          <w:rFonts w:eastAsia="Arial Unicode MS"/>
          <w:noProof/>
        </w:rPr>
        <w:t>Reasons for and objectives of the proposal</w:t>
      </w:r>
      <w:bookmarkEnd w:id="3"/>
    </w:p>
    <w:p w14:paraId="3EB24AE3" w14:textId="2CDC02E7" w:rsidR="00AF44C3" w:rsidRPr="00CF2695" w:rsidRDefault="00AF44C3" w:rsidP="00F66FE5">
      <w:pPr>
        <w:pStyle w:val="Text1"/>
        <w:ind w:left="0"/>
        <w:rPr>
          <w:noProof/>
          <w:szCs w:val="24"/>
          <w:lang w:eastAsia="en-GB"/>
        </w:rPr>
      </w:pPr>
      <w:r>
        <w:rPr>
          <w:noProof/>
          <w:szCs w:val="24"/>
        </w:rPr>
        <w:t>T</w:t>
      </w:r>
      <w:r w:rsidRPr="00696A84">
        <w:rPr>
          <w:noProof/>
          <w:szCs w:val="24"/>
        </w:rPr>
        <w:t xml:space="preserve">he overall objective of this proposal </w:t>
      </w:r>
      <w:r w:rsidRPr="00426A5C">
        <w:rPr>
          <w:noProof/>
          <w:szCs w:val="24"/>
        </w:rPr>
        <w:t>is</w:t>
      </w:r>
      <w:r w:rsidRPr="00426A5C">
        <w:rPr>
          <w:noProof/>
        </w:rPr>
        <w:t xml:space="preserve"> </w:t>
      </w:r>
      <w:r w:rsidRPr="00426A5C">
        <w:rPr>
          <w:noProof/>
          <w:szCs w:val="24"/>
        </w:rPr>
        <w:t xml:space="preserve">to </w:t>
      </w:r>
      <w:r w:rsidR="00C4529E">
        <w:rPr>
          <w:noProof/>
        </w:rPr>
        <w:t>legislate on</w:t>
      </w:r>
      <w:r w:rsidRPr="00426A5C">
        <w:rPr>
          <w:noProof/>
        </w:rPr>
        <w:t xml:space="preserve"> organisational and procedural aspects of information exchange between law enforcement authorities in the EU with a view</w:t>
      </w:r>
      <w:r w:rsidRPr="00426A5C">
        <w:rPr>
          <w:noProof/>
          <w:szCs w:val="24"/>
          <w:lang w:eastAsia="en-GB"/>
        </w:rPr>
        <w:t xml:space="preserve"> to contribut</w:t>
      </w:r>
      <w:r w:rsidR="006A26F8">
        <w:rPr>
          <w:noProof/>
          <w:szCs w:val="24"/>
          <w:lang w:eastAsia="en-GB"/>
        </w:rPr>
        <w:t>ing</w:t>
      </w:r>
      <w:r w:rsidRPr="00483E4B">
        <w:rPr>
          <w:noProof/>
          <w:szCs w:val="24"/>
          <w:lang w:eastAsia="en-GB"/>
        </w:rPr>
        <w:t xml:space="preserve"> to the</w:t>
      </w:r>
      <w:r w:rsidRPr="00483E4B">
        <w:rPr>
          <w:noProof/>
        </w:rPr>
        <w:t xml:space="preserve"> effective and efficient exchange of such information, hence </w:t>
      </w:r>
      <w:r w:rsidRPr="00426A5C">
        <w:rPr>
          <w:noProof/>
        </w:rPr>
        <w:t>protecting a fully functioning</w:t>
      </w:r>
      <w:r>
        <w:rPr>
          <w:noProof/>
        </w:rPr>
        <w:t xml:space="preserve"> and</w:t>
      </w:r>
      <w:r w:rsidRPr="00426A5C">
        <w:rPr>
          <w:noProof/>
        </w:rPr>
        <w:t xml:space="preserve"> resilient Sche</w:t>
      </w:r>
      <w:r>
        <w:rPr>
          <w:noProof/>
        </w:rPr>
        <w:t>ngen area.</w:t>
      </w:r>
      <w:r w:rsidR="00ED3FA7">
        <w:rPr>
          <w:noProof/>
          <w:szCs w:val="24"/>
          <w:lang w:eastAsia="en-GB"/>
        </w:rPr>
        <w:t xml:space="preserve"> </w:t>
      </w:r>
      <w:r>
        <w:rPr>
          <w:noProof/>
          <w:szCs w:val="24"/>
          <w:lang w:eastAsia="en-GB"/>
        </w:rPr>
        <w:t xml:space="preserve">The proposal is </w:t>
      </w:r>
      <w:r w:rsidR="00CE4710">
        <w:rPr>
          <w:noProof/>
          <w:szCs w:val="24"/>
          <w:lang w:eastAsia="en-GB"/>
        </w:rPr>
        <w:t xml:space="preserve">(notably) </w:t>
      </w:r>
      <w:r>
        <w:rPr>
          <w:noProof/>
          <w:szCs w:val="24"/>
          <w:lang w:eastAsia="en-GB"/>
        </w:rPr>
        <w:t xml:space="preserve">without prejudice to the rules regulating the information exchange on alerts in the SIS via the </w:t>
      </w:r>
      <w:r w:rsidR="00DE7187" w:rsidRPr="00A86D25">
        <w:rPr>
          <w:noProof/>
          <w:szCs w:val="24"/>
          <w:lang w:eastAsia="en-GB"/>
        </w:rPr>
        <w:t xml:space="preserve">Supplementary Information Request at the National Entries </w:t>
      </w:r>
      <w:r w:rsidR="00DE7187">
        <w:rPr>
          <w:noProof/>
          <w:szCs w:val="24"/>
          <w:lang w:eastAsia="en-GB"/>
        </w:rPr>
        <w:t>(</w:t>
      </w:r>
      <w:r>
        <w:rPr>
          <w:noProof/>
          <w:szCs w:val="24"/>
          <w:lang w:eastAsia="en-GB"/>
        </w:rPr>
        <w:t>SIRENE</w:t>
      </w:r>
      <w:r w:rsidR="00DE7187">
        <w:rPr>
          <w:noProof/>
          <w:szCs w:val="24"/>
          <w:lang w:eastAsia="en-GB"/>
        </w:rPr>
        <w:t>)</w:t>
      </w:r>
      <w:r>
        <w:rPr>
          <w:noProof/>
          <w:szCs w:val="24"/>
          <w:lang w:eastAsia="en-GB"/>
        </w:rPr>
        <w:t xml:space="preserve"> Bureaux. </w:t>
      </w:r>
    </w:p>
    <w:p w14:paraId="58EFC10D" w14:textId="5926EF95" w:rsidR="00AF44C3" w:rsidRDefault="00AF44C3" w:rsidP="00AF44C3">
      <w:pPr>
        <w:pStyle w:val="Text1"/>
        <w:ind w:left="0"/>
        <w:rPr>
          <w:noProof/>
        </w:rPr>
      </w:pPr>
      <w:r w:rsidRPr="00483E4B">
        <w:rPr>
          <w:noProof/>
        </w:rPr>
        <w:t xml:space="preserve">This proposal for a </w:t>
      </w:r>
      <w:r w:rsidRPr="003C48B4">
        <w:rPr>
          <w:i/>
          <w:noProof/>
        </w:rPr>
        <w:t xml:space="preserve">Directive </w:t>
      </w:r>
      <w:r w:rsidR="00E52DCA">
        <w:rPr>
          <w:i/>
          <w:noProof/>
        </w:rPr>
        <w:t xml:space="preserve">on </w:t>
      </w:r>
      <w:r w:rsidRPr="003C48B4">
        <w:rPr>
          <w:i/>
          <w:noProof/>
        </w:rPr>
        <w:t xml:space="preserve">information exchange </w:t>
      </w:r>
      <w:r>
        <w:rPr>
          <w:i/>
          <w:noProof/>
        </w:rPr>
        <w:t xml:space="preserve">between </w:t>
      </w:r>
      <w:r w:rsidR="00E52DCA">
        <w:rPr>
          <w:i/>
          <w:noProof/>
        </w:rPr>
        <w:t xml:space="preserve">law enforcement authorities of </w:t>
      </w:r>
      <w:r>
        <w:rPr>
          <w:i/>
          <w:noProof/>
        </w:rPr>
        <w:t>Member States</w:t>
      </w:r>
      <w:r>
        <w:rPr>
          <w:noProof/>
        </w:rPr>
        <w:t xml:space="preserve"> </w:t>
      </w:r>
      <w:r w:rsidRPr="00483E4B">
        <w:rPr>
          <w:noProof/>
          <w:szCs w:val="24"/>
          <w:lang w:eastAsia="en-GB"/>
        </w:rPr>
        <w:t xml:space="preserve">forms part of a coherent package </w:t>
      </w:r>
      <w:r>
        <w:rPr>
          <w:noProof/>
          <w:szCs w:val="24"/>
          <w:lang w:eastAsia="en-GB"/>
        </w:rPr>
        <w:t>also comprising a proposal for a Council Recommendation reinforcing</w:t>
      </w:r>
      <w:r w:rsidRPr="00483E4B">
        <w:rPr>
          <w:noProof/>
          <w:szCs w:val="24"/>
          <w:lang w:eastAsia="en-GB"/>
        </w:rPr>
        <w:t xml:space="preserve"> operational cross-border police cooperation, a proposal </w:t>
      </w:r>
      <w:r>
        <w:rPr>
          <w:noProof/>
          <w:szCs w:val="24"/>
          <w:lang w:eastAsia="en-GB"/>
        </w:rPr>
        <w:t xml:space="preserve">for a Regulation </w:t>
      </w:r>
      <w:r w:rsidRPr="00483E4B">
        <w:rPr>
          <w:noProof/>
          <w:szCs w:val="24"/>
          <w:lang w:eastAsia="en-GB"/>
        </w:rPr>
        <w:t>revising the Automated Data Exchange Mec</w:t>
      </w:r>
      <w:r>
        <w:rPr>
          <w:noProof/>
          <w:szCs w:val="24"/>
          <w:lang w:eastAsia="en-GB"/>
        </w:rPr>
        <w:t>hanism for Police Cooperation ("</w:t>
      </w:r>
      <w:r w:rsidRPr="00483E4B">
        <w:rPr>
          <w:noProof/>
          <w:szCs w:val="24"/>
          <w:lang w:eastAsia="en-GB"/>
        </w:rPr>
        <w:t>Prüm II</w:t>
      </w:r>
      <w:r>
        <w:rPr>
          <w:noProof/>
          <w:szCs w:val="24"/>
          <w:lang w:eastAsia="en-GB"/>
        </w:rPr>
        <w:t>") as well as a proposal</w:t>
      </w:r>
      <w:r w:rsidRPr="00483E4B">
        <w:rPr>
          <w:noProof/>
          <w:szCs w:val="24"/>
          <w:lang w:eastAsia="en-GB"/>
        </w:rPr>
        <w:t xml:space="preserve"> ame</w:t>
      </w:r>
      <w:r>
        <w:rPr>
          <w:noProof/>
          <w:szCs w:val="24"/>
          <w:lang w:eastAsia="en-GB"/>
        </w:rPr>
        <w:t>nding the Schengen Borders Code a</w:t>
      </w:r>
      <w:r>
        <w:rPr>
          <w:noProof/>
        </w:rPr>
        <w:t>s set out in the Commission Communication of June 2021 "</w:t>
      </w:r>
      <w:r w:rsidRPr="000104CE">
        <w:rPr>
          <w:i/>
          <w:noProof/>
        </w:rPr>
        <w:t>A strategy towards a fully functioning and resilient Schengen area</w:t>
      </w:r>
      <w:r>
        <w:rPr>
          <w:noProof/>
        </w:rPr>
        <w:t>"</w:t>
      </w:r>
      <w:r>
        <w:rPr>
          <w:rStyle w:val="FootnoteReference0"/>
          <w:noProof/>
        </w:rPr>
        <w:footnoteReference w:id="14"/>
      </w:r>
      <w:r>
        <w:rPr>
          <w:noProof/>
        </w:rPr>
        <w:t>.</w:t>
      </w:r>
      <w:r w:rsidR="00BF396C">
        <w:rPr>
          <w:noProof/>
        </w:rPr>
        <w:t xml:space="preserve"> Together, these proposals seek</w:t>
      </w:r>
      <w:r w:rsidR="00BF396C" w:rsidRPr="00696678">
        <w:rPr>
          <w:noProof/>
        </w:rPr>
        <w:t xml:space="preserve"> to establish a Police Cooperation Code with the objective of streamlining, enhancing, developing, modernising and facilitating law enforcement cooperation between relevant national agencies, thus supporting Member States in their fight against serious and organised crime and terrorism.</w:t>
      </w:r>
    </w:p>
    <w:p w14:paraId="00CE00B8" w14:textId="66D7B147" w:rsidR="00AF44C3" w:rsidRDefault="00AF44C3" w:rsidP="00AF44C3">
      <w:pPr>
        <w:pStyle w:val="Text1"/>
        <w:ind w:left="0"/>
        <w:rPr>
          <w:noProof/>
          <w:szCs w:val="24"/>
          <w:lang w:eastAsia="en-GB"/>
        </w:rPr>
      </w:pPr>
      <w:r>
        <w:rPr>
          <w:noProof/>
          <w:szCs w:val="24"/>
          <w:lang w:eastAsia="en-GB"/>
        </w:rPr>
        <w:t>Taking full account of the opinion expressed by</w:t>
      </w:r>
      <w:r>
        <w:rPr>
          <w:noProof/>
        </w:rPr>
        <w:t xml:space="preserve"> the co-legislator, this </w:t>
      </w:r>
      <w:r>
        <w:rPr>
          <w:noProof/>
          <w:szCs w:val="24"/>
          <w:lang w:eastAsia="en-GB"/>
        </w:rPr>
        <w:t xml:space="preserve">proposal is based on the findings presented in </w:t>
      </w:r>
      <w:r>
        <w:rPr>
          <w:noProof/>
        </w:rPr>
        <w:t>the accompanying Impact Assessment. These findings also cover informatio</w:t>
      </w:r>
      <w:r w:rsidRPr="002F6FBF">
        <w:rPr>
          <w:noProof/>
        </w:rPr>
        <w:t>n</w:t>
      </w:r>
      <w:r>
        <w:rPr>
          <w:noProof/>
        </w:rPr>
        <w:t xml:space="preserve">, analyses and recommendations </w:t>
      </w:r>
      <w:r>
        <w:rPr>
          <w:noProof/>
          <w:szCs w:val="24"/>
          <w:lang w:eastAsia="en-GB"/>
        </w:rPr>
        <w:t>stemming from</w:t>
      </w:r>
      <w:r>
        <w:rPr>
          <w:noProof/>
        </w:rPr>
        <w:t xml:space="preserve"> the Schengen evaluations in the field of police cooperation carried out </w:t>
      </w:r>
      <w:r w:rsidRPr="0036384B">
        <w:rPr>
          <w:noProof/>
        </w:rPr>
        <w:t xml:space="preserve">in the </w:t>
      </w:r>
      <w:r w:rsidRPr="00F808DB">
        <w:rPr>
          <w:noProof/>
        </w:rPr>
        <w:t xml:space="preserve">past </w:t>
      </w:r>
      <w:r>
        <w:rPr>
          <w:noProof/>
        </w:rPr>
        <w:t>six</w:t>
      </w:r>
      <w:r w:rsidRPr="00F67CCC">
        <w:rPr>
          <w:noProof/>
        </w:rPr>
        <w:t xml:space="preserve"> years</w:t>
      </w:r>
      <w:r>
        <w:rPr>
          <w:noProof/>
        </w:rPr>
        <w:t xml:space="preserve">, </w:t>
      </w:r>
      <w:r w:rsidR="00796EB0" w:rsidRPr="006B19CA">
        <w:rPr>
          <w:noProof/>
        </w:rPr>
        <w:t>the Communiction from the Commission</w:t>
      </w:r>
      <w:r w:rsidR="00796EB0">
        <w:rPr>
          <w:noProof/>
        </w:rPr>
        <w:t xml:space="preserve"> on the way forward on aligning the former third pillar </w:t>
      </w:r>
      <w:r w:rsidR="00796EB0" w:rsidRPr="002F6FBF">
        <w:rPr>
          <w:i/>
          <w:noProof/>
        </w:rPr>
        <w:t>acquis</w:t>
      </w:r>
      <w:r w:rsidR="00796EB0">
        <w:rPr>
          <w:noProof/>
        </w:rPr>
        <w:t xml:space="preserve"> with data protection rules</w:t>
      </w:r>
      <w:r w:rsidR="00796EB0">
        <w:rPr>
          <w:rStyle w:val="FootnoteReference0"/>
          <w:noProof/>
        </w:rPr>
        <w:footnoteReference w:id="15"/>
      </w:r>
      <w:r w:rsidR="00796EB0">
        <w:rPr>
          <w:noProof/>
        </w:rPr>
        <w:t xml:space="preserve">, </w:t>
      </w:r>
      <w:r>
        <w:rPr>
          <w:noProof/>
        </w:rPr>
        <w:t>the extensive consultations with relevant stakeholders in the past two years, and the important body of Council guidance papers developed for the last 15 years. Based on this combined analysis, th</w:t>
      </w:r>
      <w:r>
        <w:rPr>
          <w:noProof/>
          <w:szCs w:val="24"/>
          <w:lang w:eastAsia="en-GB"/>
        </w:rPr>
        <w:t xml:space="preserve">ree main </w:t>
      </w:r>
      <w:r w:rsidR="006F018B">
        <w:rPr>
          <w:noProof/>
          <w:szCs w:val="24"/>
          <w:lang w:eastAsia="en-GB"/>
        </w:rPr>
        <w:t xml:space="preserve">objectives </w:t>
      </w:r>
      <w:r>
        <w:rPr>
          <w:noProof/>
          <w:szCs w:val="24"/>
          <w:lang w:eastAsia="en-GB"/>
        </w:rPr>
        <w:t>were identified</w:t>
      </w:r>
      <w:r w:rsidR="006F018B">
        <w:rPr>
          <w:noProof/>
          <w:szCs w:val="24"/>
          <w:lang w:eastAsia="en-GB"/>
        </w:rPr>
        <w:t>. T</w:t>
      </w:r>
      <w:r>
        <w:rPr>
          <w:noProof/>
          <w:szCs w:val="24"/>
          <w:lang w:eastAsia="en-GB"/>
        </w:rPr>
        <w:t>he present proposal</w:t>
      </w:r>
      <w:r w:rsidR="006A26F8">
        <w:rPr>
          <w:noProof/>
          <w:szCs w:val="24"/>
          <w:lang w:eastAsia="en-GB"/>
        </w:rPr>
        <w:t xml:space="preserve"> seeks to </w:t>
      </w:r>
      <w:r w:rsidR="006F018B">
        <w:rPr>
          <w:noProof/>
          <w:szCs w:val="24"/>
          <w:lang w:eastAsia="en-GB"/>
        </w:rPr>
        <w:t>achieve them by a</w:t>
      </w:r>
      <w:r w:rsidR="006A26F8">
        <w:rPr>
          <w:noProof/>
          <w:szCs w:val="24"/>
          <w:lang w:eastAsia="en-GB"/>
        </w:rPr>
        <w:t>ddress</w:t>
      </w:r>
      <w:r w:rsidR="006F018B">
        <w:rPr>
          <w:noProof/>
          <w:szCs w:val="24"/>
          <w:lang w:eastAsia="en-GB"/>
        </w:rPr>
        <w:t>ing three underlying problems</w:t>
      </w:r>
      <w:r>
        <w:rPr>
          <w:noProof/>
          <w:szCs w:val="24"/>
          <w:lang w:eastAsia="en-GB"/>
        </w:rPr>
        <w:t>.</w:t>
      </w:r>
    </w:p>
    <w:p w14:paraId="79FE4305" w14:textId="37F37407" w:rsidR="00AF44C3" w:rsidRPr="006A26F8" w:rsidRDefault="002E4C52" w:rsidP="002E4C52">
      <w:pPr>
        <w:pStyle w:val="Point1"/>
        <w:rPr>
          <w:noProof/>
          <w:lang w:eastAsia="en-GB"/>
        </w:rPr>
      </w:pPr>
      <w:r w:rsidRPr="002E4C52">
        <w:t>(1)</w:t>
      </w:r>
      <w:r w:rsidRPr="002E4C52">
        <w:tab/>
      </w:r>
      <w:r w:rsidR="00AF44C3" w:rsidRPr="006A26F8">
        <w:rPr>
          <w:noProof/>
          <w:lang w:eastAsia="en-GB"/>
        </w:rPr>
        <w:t>Lack of clear and robust common rules on information exchange</w:t>
      </w:r>
    </w:p>
    <w:p w14:paraId="475B3263" w14:textId="09B0E780" w:rsidR="006F018B" w:rsidRDefault="006F018B" w:rsidP="00AF44C3">
      <w:pPr>
        <w:autoSpaceDE w:val="0"/>
        <w:autoSpaceDN w:val="0"/>
        <w:adjustRightInd w:val="0"/>
        <w:rPr>
          <w:b/>
          <w:noProof/>
        </w:rPr>
      </w:pPr>
      <w:r>
        <w:rPr>
          <w:b/>
          <w:noProof/>
        </w:rPr>
        <w:t>T</w:t>
      </w:r>
      <w:r w:rsidRPr="00426A5C">
        <w:rPr>
          <w:b/>
          <w:noProof/>
        </w:rPr>
        <w:t xml:space="preserve">he </w:t>
      </w:r>
      <w:r>
        <w:rPr>
          <w:b/>
          <w:noProof/>
        </w:rPr>
        <w:t xml:space="preserve">first </w:t>
      </w:r>
      <w:r w:rsidRPr="00426A5C">
        <w:rPr>
          <w:b/>
          <w:noProof/>
        </w:rPr>
        <w:t xml:space="preserve">objective of this proposal is to </w:t>
      </w:r>
      <w:r>
        <w:rPr>
          <w:b/>
          <w:noProof/>
        </w:rPr>
        <w:t>ensure,</w:t>
      </w:r>
      <w:r w:rsidRPr="00426A5C">
        <w:rPr>
          <w:b/>
          <w:noProof/>
        </w:rPr>
        <w:t xml:space="preserve"> </w:t>
      </w:r>
      <w:r w:rsidRPr="00ED55B3">
        <w:rPr>
          <w:noProof/>
        </w:rPr>
        <w:t>under precise</w:t>
      </w:r>
      <w:r>
        <w:rPr>
          <w:noProof/>
        </w:rPr>
        <w:t>,</w:t>
      </w:r>
      <w:r w:rsidRPr="00ED55B3">
        <w:rPr>
          <w:noProof/>
        </w:rPr>
        <w:t xml:space="preserve"> consistent </w:t>
      </w:r>
      <w:r>
        <w:rPr>
          <w:noProof/>
        </w:rPr>
        <w:t>and common</w:t>
      </w:r>
      <w:r w:rsidRPr="00ED55B3">
        <w:rPr>
          <w:noProof/>
        </w:rPr>
        <w:t xml:space="preserve"> rules,</w:t>
      </w:r>
      <w:r w:rsidRPr="00426A5C">
        <w:rPr>
          <w:b/>
          <w:noProof/>
        </w:rPr>
        <w:t xml:space="preserve"> the equivalent access for any Member State</w:t>
      </w:r>
      <w:r>
        <w:rPr>
          <w:b/>
          <w:noProof/>
        </w:rPr>
        <w:t>'</w:t>
      </w:r>
      <w:r w:rsidRPr="00426A5C">
        <w:rPr>
          <w:b/>
          <w:noProof/>
        </w:rPr>
        <w:t xml:space="preserve">s law enforcement authorities to information available in other Member States </w:t>
      </w:r>
      <w:r w:rsidRPr="00ED55B3">
        <w:rPr>
          <w:noProof/>
        </w:rPr>
        <w:t xml:space="preserve">for the purpose of </w:t>
      </w:r>
      <w:r w:rsidRPr="00ED55B3">
        <w:rPr>
          <w:noProof/>
          <w:color w:val="000000"/>
          <w:szCs w:val="24"/>
        </w:rPr>
        <w:t>preventing and detecting criminal offences</w:t>
      </w:r>
      <w:r w:rsidRPr="00ED55B3">
        <w:rPr>
          <w:i/>
          <w:noProof/>
          <w:color w:val="000000"/>
          <w:szCs w:val="24"/>
        </w:rPr>
        <w:t>,</w:t>
      </w:r>
      <w:r w:rsidRPr="00ED55B3">
        <w:rPr>
          <w:rFonts w:ascii="Tahoma" w:hAnsi="Tahoma" w:cs="Tahoma"/>
          <w:noProof/>
          <w:color w:val="000000"/>
          <w:sz w:val="17"/>
          <w:szCs w:val="17"/>
        </w:rPr>
        <w:t xml:space="preserve"> </w:t>
      </w:r>
      <w:r w:rsidRPr="00ED55B3">
        <w:rPr>
          <w:noProof/>
        </w:rPr>
        <w:t>conducting criminal investigations or criminal operations,</w:t>
      </w:r>
      <w:r w:rsidRPr="00426A5C">
        <w:rPr>
          <w:b/>
          <w:noProof/>
        </w:rPr>
        <w:t xml:space="preserve"> while complying with fundamental rights</w:t>
      </w:r>
      <w:r>
        <w:rPr>
          <w:b/>
          <w:noProof/>
        </w:rPr>
        <w:t xml:space="preserve">, including </w:t>
      </w:r>
      <w:r w:rsidRPr="00426A5C">
        <w:rPr>
          <w:b/>
          <w:noProof/>
        </w:rPr>
        <w:t>data protection requirements.</w:t>
      </w:r>
    </w:p>
    <w:p w14:paraId="2A5E0F27" w14:textId="10F134B7" w:rsidR="00AF44C3" w:rsidRDefault="00C97C27" w:rsidP="00AF44C3">
      <w:pPr>
        <w:autoSpaceDE w:val="0"/>
        <w:autoSpaceDN w:val="0"/>
        <w:adjustRightInd w:val="0"/>
        <w:rPr>
          <w:noProof/>
        </w:rPr>
      </w:pPr>
      <w:r>
        <w:rPr>
          <w:bCs/>
          <w:noProof/>
        </w:rPr>
        <w:t xml:space="preserve">Member States' Law Enforcement Authorities (LEAs) </w:t>
      </w:r>
      <w:r w:rsidRPr="009807D1">
        <w:rPr>
          <w:bCs/>
          <w:noProof/>
        </w:rPr>
        <w:t xml:space="preserve">are involved in </w:t>
      </w:r>
      <w:r>
        <w:rPr>
          <w:bCs/>
          <w:noProof/>
        </w:rPr>
        <w:t xml:space="preserve">daily </w:t>
      </w:r>
      <w:r w:rsidRPr="009807D1">
        <w:rPr>
          <w:bCs/>
          <w:noProof/>
        </w:rPr>
        <w:t>cross-border information exchanges</w:t>
      </w:r>
      <w:r>
        <w:rPr>
          <w:bCs/>
          <w:noProof/>
        </w:rPr>
        <w:t xml:space="preserve"> related to operations against criminal offences. </w:t>
      </w:r>
      <w:r w:rsidRPr="009B672D">
        <w:rPr>
          <w:b/>
          <w:bCs/>
          <w:noProof/>
        </w:rPr>
        <w:t>Yet,</w:t>
      </w:r>
      <w:r>
        <w:rPr>
          <w:b/>
          <w:bCs/>
          <w:noProof/>
        </w:rPr>
        <w:t xml:space="preserve"> rules at national level impede the effective and efficient flow of information</w:t>
      </w:r>
      <w:r>
        <w:rPr>
          <w:bCs/>
          <w:noProof/>
        </w:rPr>
        <w:t xml:space="preserve">. </w:t>
      </w:r>
      <w:r w:rsidR="00AF44C3">
        <w:rPr>
          <w:noProof/>
          <w:szCs w:val="24"/>
        </w:rPr>
        <w:t>T</w:t>
      </w:r>
      <w:r w:rsidR="00AF44C3" w:rsidRPr="004C00AE">
        <w:rPr>
          <w:noProof/>
        </w:rPr>
        <w:t xml:space="preserve">he </w:t>
      </w:r>
      <w:r w:rsidR="00AF44C3">
        <w:rPr>
          <w:noProof/>
        </w:rPr>
        <w:t>general rules</w:t>
      </w:r>
      <w:r w:rsidR="00AF44C3" w:rsidRPr="004C00AE">
        <w:rPr>
          <w:noProof/>
        </w:rPr>
        <w:t xml:space="preserve"> for the exchange of </w:t>
      </w:r>
      <w:r w:rsidR="00AF44C3" w:rsidRPr="00A22685">
        <w:rPr>
          <w:noProof/>
        </w:rPr>
        <w:t xml:space="preserve">law enforcement information </w:t>
      </w:r>
      <w:r w:rsidR="00AF44C3">
        <w:rPr>
          <w:noProof/>
        </w:rPr>
        <w:t>which has</w:t>
      </w:r>
      <w:r w:rsidR="00AF44C3" w:rsidRPr="004C00AE">
        <w:rPr>
          <w:noProof/>
        </w:rPr>
        <w:t xml:space="preserve"> cross-b</w:t>
      </w:r>
      <w:r w:rsidR="00AF44C3">
        <w:rPr>
          <w:noProof/>
        </w:rPr>
        <w:t xml:space="preserve">order relevance among Member States' law enforcement authorities are laid down in Council </w:t>
      </w:r>
      <w:r w:rsidR="00AF44C3" w:rsidRPr="004C00AE">
        <w:rPr>
          <w:noProof/>
        </w:rPr>
        <w:t>Framework Decision</w:t>
      </w:r>
      <w:r w:rsidR="00AF44C3">
        <w:rPr>
          <w:noProof/>
        </w:rPr>
        <w:t xml:space="preserve"> </w:t>
      </w:r>
      <w:r w:rsidR="00AF44C3" w:rsidRPr="00941CEF">
        <w:rPr>
          <w:noProof/>
        </w:rPr>
        <w:t>2006/960/JHA</w:t>
      </w:r>
      <w:r w:rsidR="00AF44C3">
        <w:rPr>
          <w:noProof/>
        </w:rPr>
        <w:t xml:space="preserve"> simplifying the exchange of information </w:t>
      </w:r>
      <w:r w:rsidR="00AF44C3" w:rsidRPr="005114B0">
        <w:rPr>
          <w:noProof/>
          <w:szCs w:val="24"/>
          <w:shd w:val="clear" w:color="auto" w:fill="FFFFFF"/>
        </w:rPr>
        <w:t>between law enforcement authorities of the Member States of the European Unio</w:t>
      </w:r>
      <w:r w:rsidR="00AF44C3">
        <w:rPr>
          <w:noProof/>
          <w:szCs w:val="24"/>
          <w:shd w:val="clear" w:color="auto" w:fill="FFFFFF"/>
        </w:rPr>
        <w:t>n</w:t>
      </w:r>
      <w:r w:rsidR="00AF44C3">
        <w:rPr>
          <w:rFonts w:ascii="Roboto" w:hAnsi="Roboto"/>
          <w:noProof/>
          <w:color w:val="444444"/>
          <w:sz w:val="21"/>
          <w:szCs w:val="21"/>
          <w:shd w:val="clear" w:color="auto" w:fill="FFFFFF"/>
        </w:rPr>
        <w:t xml:space="preserve"> </w:t>
      </w:r>
      <w:r w:rsidR="00AF44C3">
        <w:rPr>
          <w:noProof/>
        </w:rPr>
        <w:t>(hereinafter referred to as 'Swedish Framework Decision' or 'SFD'</w:t>
      </w:r>
      <w:r w:rsidR="00AF44C3">
        <w:rPr>
          <w:rStyle w:val="FootnoteReference0"/>
          <w:noProof/>
        </w:rPr>
        <w:footnoteReference w:id="16"/>
      </w:r>
      <w:r w:rsidR="00AF44C3">
        <w:rPr>
          <w:noProof/>
        </w:rPr>
        <w:t xml:space="preserve">), adopted in 2006 before the entry into force of the Treaty of Lisbon. The </w:t>
      </w:r>
      <w:r w:rsidR="00C4529E">
        <w:rPr>
          <w:noProof/>
        </w:rPr>
        <w:t xml:space="preserve">Swedish Framework Decision </w:t>
      </w:r>
      <w:r w:rsidR="00AF44C3">
        <w:rPr>
          <w:noProof/>
        </w:rPr>
        <w:t xml:space="preserve">partially superseded the </w:t>
      </w:r>
      <w:r w:rsidR="00AF44C3">
        <w:rPr>
          <w:iCs/>
          <w:noProof/>
        </w:rPr>
        <w:t xml:space="preserve">police cooperation Chapter of the </w:t>
      </w:r>
      <w:r w:rsidR="00AF44C3">
        <w:rPr>
          <w:noProof/>
        </w:rPr>
        <w:t>1990 Convention Implementation the Schengen Agreement</w:t>
      </w:r>
      <w:r w:rsidR="00AF44C3">
        <w:rPr>
          <w:rStyle w:val="FootnoteReference0"/>
          <w:noProof/>
        </w:rPr>
        <w:footnoteReference w:id="17"/>
      </w:r>
      <w:r w:rsidR="00AF44C3">
        <w:rPr>
          <w:noProof/>
        </w:rPr>
        <w:t>.</w:t>
      </w:r>
    </w:p>
    <w:p w14:paraId="7578259A" w14:textId="1A227C3A" w:rsidR="00AF44C3" w:rsidRDefault="00AF44C3" w:rsidP="00AF44C3">
      <w:pPr>
        <w:autoSpaceDE w:val="0"/>
        <w:autoSpaceDN w:val="0"/>
        <w:adjustRightInd w:val="0"/>
        <w:rPr>
          <w:noProof/>
        </w:rPr>
      </w:pPr>
      <w:r>
        <w:rPr>
          <w:noProof/>
        </w:rPr>
        <w:t xml:space="preserve">The </w:t>
      </w:r>
      <w:r w:rsidR="00C4529E">
        <w:rPr>
          <w:noProof/>
        </w:rPr>
        <w:t xml:space="preserve">Swedish Framework Decision </w:t>
      </w:r>
      <w:r>
        <w:rPr>
          <w:noProof/>
        </w:rPr>
        <w:t xml:space="preserve">lays down the </w:t>
      </w:r>
      <w:r w:rsidRPr="00FC4C54">
        <w:rPr>
          <w:b/>
          <w:noProof/>
        </w:rPr>
        <w:t>principles</w:t>
      </w:r>
      <w:r>
        <w:rPr>
          <w:noProof/>
        </w:rPr>
        <w:t xml:space="preserve"> according to which information should be shared (principles of availability and equivalent access), the </w:t>
      </w:r>
      <w:r w:rsidRPr="00FC4C54">
        <w:rPr>
          <w:b/>
          <w:noProof/>
        </w:rPr>
        <w:t>timeframe</w:t>
      </w:r>
      <w:r>
        <w:rPr>
          <w:noProof/>
        </w:rPr>
        <w:t xml:space="preserve"> within which a request for information should be replied to, the </w:t>
      </w:r>
      <w:r w:rsidRPr="00FC4C54">
        <w:rPr>
          <w:b/>
          <w:noProof/>
        </w:rPr>
        <w:t>forms</w:t>
      </w:r>
      <w:r>
        <w:rPr>
          <w:noProof/>
        </w:rPr>
        <w:t xml:space="preserve"> that should be used to lodge and reply to such requests, as well as the </w:t>
      </w:r>
      <w:r w:rsidRPr="00FC4C54">
        <w:rPr>
          <w:noProof/>
        </w:rPr>
        <w:t>data</w:t>
      </w:r>
      <w:r w:rsidRPr="00FC4C54">
        <w:rPr>
          <w:b/>
          <w:noProof/>
        </w:rPr>
        <w:t xml:space="preserve"> </w:t>
      </w:r>
      <w:r w:rsidRPr="00FC4C54">
        <w:rPr>
          <w:noProof/>
        </w:rPr>
        <w:t>protection</w:t>
      </w:r>
      <w:r w:rsidRPr="00FC4C54">
        <w:rPr>
          <w:b/>
          <w:noProof/>
        </w:rPr>
        <w:t xml:space="preserve"> safeguards</w:t>
      </w:r>
      <w:r>
        <w:rPr>
          <w:noProof/>
        </w:rPr>
        <w:t xml:space="preserve"> to be ensured when handling these information. </w:t>
      </w:r>
    </w:p>
    <w:p w14:paraId="1D478E5E" w14:textId="489BBD36" w:rsidR="00AF44C3" w:rsidRPr="00B97382" w:rsidRDefault="00AF44C3" w:rsidP="00AF44C3">
      <w:pPr>
        <w:autoSpaceDE w:val="0"/>
        <w:autoSpaceDN w:val="0"/>
        <w:adjustRightInd w:val="0"/>
        <w:rPr>
          <w:noProof/>
          <w:szCs w:val="24"/>
          <w:lang w:eastAsia="en-GB"/>
        </w:rPr>
      </w:pPr>
      <w:r>
        <w:rPr>
          <w:noProof/>
        </w:rPr>
        <w:t xml:space="preserve">In practice, however, the </w:t>
      </w:r>
      <w:r>
        <w:rPr>
          <w:noProof/>
          <w:szCs w:val="16"/>
        </w:rPr>
        <w:t xml:space="preserve">2006 Swedish Framework Decision is unclear, thereby hampering </w:t>
      </w:r>
      <w:r w:rsidRPr="00704502">
        <w:rPr>
          <w:noProof/>
          <w:szCs w:val="24"/>
        </w:rPr>
        <w:t>the full implementation of the principle</w:t>
      </w:r>
      <w:r>
        <w:rPr>
          <w:noProof/>
          <w:szCs w:val="24"/>
        </w:rPr>
        <w:t>s</w:t>
      </w:r>
      <w:r w:rsidRPr="00704502">
        <w:rPr>
          <w:noProof/>
          <w:szCs w:val="24"/>
        </w:rPr>
        <w:t xml:space="preserve"> of availability</w:t>
      </w:r>
      <w:r>
        <w:rPr>
          <w:noProof/>
          <w:szCs w:val="24"/>
        </w:rPr>
        <w:t>/equivalent access</w:t>
      </w:r>
      <w:r w:rsidRPr="00704502">
        <w:rPr>
          <w:noProof/>
          <w:szCs w:val="24"/>
        </w:rPr>
        <w:t xml:space="preserve"> of relevant information in a cross-border context</w:t>
      </w:r>
      <w:r w:rsidRPr="00704502">
        <w:rPr>
          <w:rStyle w:val="FootnoteReference0"/>
          <w:noProof/>
          <w:szCs w:val="24"/>
        </w:rPr>
        <w:footnoteReference w:id="18"/>
      </w:r>
      <w:r w:rsidRPr="00704502">
        <w:rPr>
          <w:noProof/>
          <w:szCs w:val="24"/>
        </w:rPr>
        <w:t>.</w:t>
      </w:r>
      <w:r>
        <w:rPr>
          <w:noProof/>
          <w:szCs w:val="24"/>
        </w:rPr>
        <w:t xml:space="preserve"> As a consequence, rules at national level continue to impede the flow of information </w:t>
      </w:r>
      <w:r>
        <w:rPr>
          <w:noProof/>
        </w:rPr>
        <w:t>despite</w:t>
      </w:r>
      <w:r w:rsidRPr="00B97382">
        <w:rPr>
          <w:noProof/>
        </w:rPr>
        <w:t xml:space="preserve"> the efforts </w:t>
      </w:r>
      <w:r>
        <w:rPr>
          <w:noProof/>
        </w:rPr>
        <w:t xml:space="preserve">made </w:t>
      </w:r>
      <w:r w:rsidRPr="00B97382">
        <w:rPr>
          <w:noProof/>
        </w:rPr>
        <w:t xml:space="preserve">to </w:t>
      </w:r>
      <w:r w:rsidR="004E02E4">
        <w:rPr>
          <w:noProof/>
        </w:rPr>
        <w:t xml:space="preserve">complement </w:t>
      </w:r>
      <w:r w:rsidRPr="00B97382">
        <w:rPr>
          <w:noProof/>
        </w:rPr>
        <w:t>the</w:t>
      </w:r>
      <w:r>
        <w:rPr>
          <w:noProof/>
        </w:rPr>
        <w:t xml:space="preserve"> </w:t>
      </w:r>
      <w:r w:rsidR="00674F75">
        <w:rPr>
          <w:noProof/>
        </w:rPr>
        <w:t xml:space="preserve">Swedish Framework Decision </w:t>
      </w:r>
      <w:r w:rsidRPr="00B97382">
        <w:rPr>
          <w:noProof/>
        </w:rPr>
        <w:t>requirements b</w:t>
      </w:r>
      <w:r>
        <w:rPr>
          <w:noProof/>
        </w:rPr>
        <w:t>y means of Council non-binding guidance</w:t>
      </w:r>
      <w:r w:rsidR="00674F75">
        <w:rPr>
          <w:rStyle w:val="FootnoteReference0"/>
          <w:noProof/>
        </w:rPr>
        <w:footnoteReference w:id="19"/>
      </w:r>
      <w:r w:rsidRPr="00B97382">
        <w:rPr>
          <w:noProof/>
          <w:szCs w:val="24"/>
          <w:lang w:eastAsia="en-GB"/>
        </w:rPr>
        <w:t>.</w:t>
      </w:r>
      <w:r w:rsidR="00E1589D">
        <w:rPr>
          <w:noProof/>
          <w:szCs w:val="24"/>
          <w:lang w:eastAsia="en-GB"/>
        </w:rPr>
        <w:t xml:space="preserve"> </w:t>
      </w:r>
      <w:r w:rsidR="008128EA">
        <w:rPr>
          <w:noProof/>
          <w:szCs w:val="24"/>
          <w:lang w:eastAsia="en-GB"/>
        </w:rPr>
        <w:t xml:space="preserve"> Consequently, </w:t>
      </w:r>
      <w:r w:rsidR="00C97C27" w:rsidRPr="000A72D7">
        <w:rPr>
          <w:noProof/>
          <w:szCs w:val="24"/>
        </w:rPr>
        <w:t xml:space="preserve">the current </w:t>
      </w:r>
      <w:r w:rsidR="00C97C27" w:rsidRPr="00690016">
        <w:rPr>
          <w:noProof/>
          <w:szCs w:val="16"/>
        </w:rPr>
        <w:t>uncertainties would remain</w:t>
      </w:r>
      <w:r w:rsidR="00C97C27" w:rsidRPr="00690016">
        <w:rPr>
          <w:noProof/>
          <w:sz w:val="40"/>
          <w:szCs w:val="24"/>
        </w:rPr>
        <w:t xml:space="preserve"> </w:t>
      </w:r>
      <w:r w:rsidR="00C97C27" w:rsidRPr="000A72D7">
        <w:rPr>
          <w:noProof/>
          <w:szCs w:val="24"/>
        </w:rPr>
        <w:t xml:space="preserve">and continue to negatively affect the </w:t>
      </w:r>
      <w:r w:rsidR="00C97C27">
        <w:rPr>
          <w:noProof/>
          <w:szCs w:val="24"/>
        </w:rPr>
        <w:t xml:space="preserve">effective </w:t>
      </w:r>
      <w:r w:rsidR="00C97C27" w:rsidRPr="000A72D7">
        <w:rPr>
          <w:noProof/>
          <w:szCs w:val="24"/>
        </w:rPr>
        <w:t>and efficient sharing of information</w:t>
      </w:r>
      <w:r w:rsidR="00C97C27">
        <w:rPr>
          <w:noProof/>
          <w:szCs w:val="24"/>
        </w:rPr>
        <w:t>,</w:t>
      </w:r>
      <w:r w:rsidR="00C97C27" w:rsidRPr="00F8683D">
        <w:rPr>
          <w:noProof/>
        </w:rPr>
        <w:t xml:space="preserve"> </w:t>
      </w:r>
      <w:r w:rsidR="00C97C27" w:rsidRPr="008F620C">
        <w:rPr>
          <w:noProof/>
        </w:rPr>
        <w:t xml:space="preserve">thereby leaving the impacts in the </w:t>
      </w:r>
      <w:r w:rsidR="00C97C27" w:rsidRPr="008F620C">
        <w:rPr>
          <w:noProof/>
          <w:szCs w:val="24"/>
        </w:rPr>
        <w:t>evolution of the EU security landscape and in the increased cross-border mobility essentially unaddressed</w:t>
      </w:r>
      <w:r w:rsidR="00C97C27">
        <w:rPr>
          <w:noProof/>
          <w:szCs w:val="24"/>
        </w:rPr>
        <w:t>.</w:t>
      </w:r>
    </w:p>
    <w:p w14:paraId="317DC601" w14:textId="5E701081" w:rsidR="00AF44C3" w:rsidRDefault="00AF44C3" w:rsidP="00AF44C3">
      <w:pPr>
        <w:autoSpaceDE w:val="0"/>
        <w:autoSpaceDN w:val="0"/>
        <w:adjustRightInd w:val="0"/>
        <w:rPr>
          <w:noProof/>
        </w:rPr>
      </w:pPr>
      <w:r>
        <w:rPr>
          <w:noProof/>
        </w:rPr>
        <w:t xml:space="preserve">For this reason, </w:t>
      </w:r>
      <w:r w:rsidR="006F018B">
        <w:rPr>
          <w:noProof/>
        </w:rPr>
        <w:t>e</w:t>
      </w:r>
      <w:r>
        <w:rPr>
          <w:noProof/>
        </w:rPr>
        <w:t>stablishing a legal framework by means of a Directive for these purposes will allow a better monitoring and enforcement of rules at EU and national levels, while ensuring a convergence of national practices, thereby improving the effectiveness and efficiency of information flows between Member States.</w:t>
      </w:r>
    </w:p>
    <w:p w14:paraId="4121E210" w14:textId="719D3B28" w:rsidR="00AF44C3" w:rsidRPr="007B2C7A" w:rsidRDefault="002E4C52" w:rsidP="002E4C52">
      <w:pPr>
        <w:pStyle w:val="Point1"/>
        <w:rPr>
          <w:noProof/>
          <w:lang w:eastAsia="en-GB"/>
        </w:rPr>
      </w:pPr>
      <w:r w:rsidRPr="002E4C52">
        <w:t>(2)</w:t>
      </w:r>
      <w:r w:rsidRPr="002E4C52">
        <w:tab/>
      </w:r>
      <w:r w:rsidR="00AF44C3" w:rsidRPr="007B2C7A">
        <w:rPr>
          <w:noProof/>
          <w:lang w:eastAsia="en-GB"/>
        </w:rPr>
        <w:t>Lack of common structures and efficient management tools for exchanging information</w:t>
      </w:r>
    </w:p>
    <w:p w14:paraId="53B75F06" w14:textId="7D9299ED" w:rsidR="006F018B" w:rsidRDefault="006F018B" w:rsidP="00AF44C3">
      <w:pPr>
        <w:pStyle w:val="Text1"/>
        <w:ind w:left="0"/>
        <w:rPr>
          <w:noProof/>
          <w:szCs w:val="24"/>
          <w:lang w:eastAsia="en-GB"/>
        </w:rPr>
      </w:pPr>
      <w:r>
        <w:rPr>
          <w:b/>
          <w:noProof/>
          <w:szCs w:val="24"/>
          <w:lang w:eastAsia="en-GB"/>
        </w:rPr>
        <w:t>T</w:t>
      </w:r>
      <w:r w:rsidRPr="00426A5C">
        <w:rPr>
          <w:b/>
          <w:noProof/>
          <w:szCs w:val="24"/>
          <w:lang w:eastAsia="en-GB"/>
        </w:rPr>
        <w:t xml:space="preserve">he </w:t>
      </w:r>
      <w:r>
        <w:rPr>
          <w:b/>
          <w:noProof/>
          <w:szCs w:val="24"/>
          <w:lang w:eastAsia="en-GB"/>
        </w:rPr>
        <w:t xml:space="preserve">second </w:t>
      </w:r>
      <w:r w:rsidRPr="00426A5C">
        <w:rPr>
          <w:b/>
          <w:noProof/>
          <w:szCs w:val="24"/>
          <w:lang w:eastAsia="en-GB"/>
        </w:rPr>
        <w:t xml:space="preserve">objective of this proposal for a Directive is to </w:t>
      </w:r>
      <w:r>
        <w:rPr>
          <w:b/>
          <w:noProof/>
          <w:szCs w:val="24"/>
          <w:lang w:eastAsia="en-GB"/>
        </w:rPr>
        <w:t xml:space="preserve">approximate common </w:t>
      </w:r>
      <w:r w:rsidRPr="0009596C">
        <w:rPr>
          <w:b/>
          <w:noProof/>
          <w:szCs w:val="24"/>
        </w:rPr>
        <w:t>minimum standards with a view to ensur</w:t>
      </w:r>
      <w:r>
        <w:rPr>
          <w:b/>
          <w:noProof/>
          <w:szCs w:val="24"/>
        </w:rPr>
        <w:t>ing</w:t>
      </w:r>
      <w:r w:rsidRPr="0009596C">
        <w:rPr>
          <w:b/>
          <w:noProof/>
          <w:szCs w:val="24"/>
        </w:rPr>
        <w:t xml:space="preserve"> an efficient and effective </w:t>
      </w:r>
      <w:r>
        <w:rPr>
          <w:b/>
          <w:noProof/>
          <w:szCs w:val="24"/>
        </w:rPr>
        <w:t xml:space="preserve">functioning </w:t>
      </w:r>
      <w:r w:rsidRPr="0009596C">
        <w:rPr>
          <w:b/>
          <w:noProof/>
          <w:szCs w:val="24"/>
        </w:rPr>
        <w:t xml:space="preserve">of the Single Points of Contact. </w:t>
      </w:r>
      <w:r w:rsidRPr="001A28E6">
        <w:rPr>
          <w:noProof/>
          <w:szCs w:val="24"/>
        </w:rPr>
        <w:t xml:space="preserve">These </w:t>
      </w:r>
      <w:r w:rsidRPr="001A28E6">
        <w:rPr>
          <w:noProof/>
          <w:szCs w:val="24"/>
          <w:lang w:eastAsia="en-GB"/>
        </w:rPr>
        <w:t xml:space="preserve">common </w:t>
      </w:r>
      <w:r w:rsidRPr="001A28E6">
        <w:rPr>
          <w:noProof/>
          <w:szCs w:val="24"/>
        </w:rPr>
        <w:t xml:space="preserve">minimum requirements cover the composition, </w:t>
      </w:r>
      <w:r w:rsidRPr="001A28E6">
        <w:rPr>
          <w:noProof/>
          <w:szCs w:val="24"/>
          <w:lang w:eastAsia="en-GB"/>
        </w:rPr>
        <w:t xml:space="preserve">structures, responsibilities, </w:t>
      </w:r>
      <w:r w:rsidRPr="001A28E6">
        <w:rPr>
          <w:noProof/>
          <w:szCs w:val="24"/>
        </w:rPr>
        <w:t>staffing</w:t>
      </w:r>
      <w:r w:rsidRPr="001A28E6">
        <w:rPr>
          <w:noProof/>
          <w:szCs w:val="24"/>
          <w:lang w:eastAsia="en-GB"/>
        </w:rPr>
        <w:t xml:space="preserve"> and technical capabilities</w:t>
      </w:r>
      <w:r>
        <w:rPr>
          <w:noProof/>
          <w:szCs w:val="24"/>
          <w:lang w:eastAsia="en-GB"/>
        </w:rPr>
        <w:t>.</w:t>
      </w:r>
    </w:p>
    <w:p w14:paraId="4BEA6783" w14:textId="03304055" w:rsidR="00AF44C3" w:rsidRDefault="00AF44C3" w:rsidP="00AF44C3">
      <w:pPr>
        <w:pStyle w:val="Text1"/>
        <w:ind w:left="0"/>
        <w:rPr>
          <w:noProof/>
        </w:rPr>
      </w:pPr>
      <w:r>
        <w:rPr>
          <w:noProof/>
        </w:rPr>
        <w:t>Member States are responsible for the maintenance of law and order and the safeguarding of internal security</w:t>
      </w:r>
      <w:r>
        <w:rPr>
          <w:rStyle w:val="FootnoteReference0"/>
          <w:noProof/>
        </w:rPr>
        <w:footnoteReference w:id="20"/>
      </w:r>
      <w:r>
        <w:rPr>
          <w:noProof/>
        </w:rPr>
        <w:t>. They</w:t>
      </w:r>
      <w:r w:rsidRPr="00120A30">
        <w:rPr>
          <w:noProof/>
        </w:rPr>
        <w:t xml:space="preserve"> are</w:t>
      </w:r>
      <w:r>
        <w:rPr>
          <w:noProof/>
        </w:rPr>
        <w:t xml:space="preserve"> </w:t>
      </w:r>
      <w:r w:rsidR="004E02E4">
        <w:rPr>
          <w:noProof/>
        </w:rPr>
        <w:t xml:space="preserve">in principle </w:t>
      </w:r>
      <w:r w:rsidRPr="00120A30">
        <w:rPr>
          <w:noProof/>
        </w:rPr>
        <w:t xml:space="preserve">free to </w:t>
      </w:r>
      <w:r>
        <w:rPr>
          <w:noProof/>
        </w:rPr>
        <w:t xml:space="preserve">organise their </w:t>
      </w:r>
      <w:r w:rsidRPr="00120A30">
        <w:rPr>
          <w:noProof/>
        </w:rPr>
        <w:t xml:space="preserve">law enforcement </w:t>
      </w:r>
      <w:r>
        <w:rPr>
          <w:noProof/>
        </w:rPr>
        <w:t xml:space="preserve">authorities </w:t>
      </w:r>
      <w:r w:rsidRPr="00120A30">
        <w:rPr>
          <w:noProof/>
        </w:rPr>
        <w:t xml:space="preserve">and </w:t>
      </w:r>
      <w:r>
        <w:rPr>
          <w:noProof/>
        </w:rPr>
        <w:t>services as they see fit</w:t>
      </w:r>
      <w:r w:rsidRPr="0089224D">
        <w:rPr>
          <w:noProof/>
        </w:rPr>
        <w:t>.</w:t>
      </w:r>
      <w:r>
        <w:rPr>
          <w:noProof/>
        </w:rPr>
        <w:t xml:space="preserve"> When it comes to law enforcement cooperation structures, </w:t>
      </w:r>
      <w:r w:rsidRPr="0008065A">
        <w:rPr>
          <w:noProof/>
        </w:rPr>
        <w:t>all Member States have</w:t>
      </w:r>
      <w:r w:rsidR="00FD3766">
        <w:rPr>
          <w:noProof/>
        </w:rPr>
        <w:t xml:space="preserve"> set up or are in the process of setting up </w:t>
      </w:r>
      <w:r w:rsidR="00FD3766" w:rsidRPr="0008065A">
        <w:rPr>
          <w:noProof/>
        </w:rPr>
        <w:t xml:space="preserve">a </w:t>
      </w:r>
      <w:r w:rsidR="00FD3766">
        <w:rPr>
          <w:noProof/>
        </w:rPr>
        <w:t>Single Point of Contact</w:t>
      </w:r>
      <w:r w:rsidR="00FD3766">
        <w:rPr>
          <w:rStyle w:val="FootnoteReference0"/>
          <w:noProof/>
        </w:rPr>
        <w:footnoteReference w:id="21"/>
      </w:r>
      <w:r w:rsidR="00FD3766">
        <w:rPr>
          <w:noProof/>
        </w:rPr>
        <w:t xml:space="preserve"> competent for </w:t>
      </w:r>
      <w:r w:rsidRPr="0008065A">
        <w:rPr>
          <w:noProof/>
        </w:rPr>
        <w:t>channelling as much information exchange as possible.</w:t>
      </w:r>
      <w:r>
        <w:rPr>
          <w:noProof/>
        </w:rPr>
        <w:t xml:space="preserve"> </w:t>
      </w:r>
      <w:r w:rsidR="00FD3766">
        <w:rPr>
          <w:noProof/>
        </w:rPr>
        <w:t>Based on national law or internal rules, law enforcement authorities may also exchange information directly between themselves. A</w:t>
      </w:r>
      <w:r w:rsidRPr="00483E4B">
        <w:rPr>
          <w:noProof/>
        </w:rPr>
        <w:t>lthough different manuals and national factsheets have been produced in order to facilitate a harmonised approach to the w</w:t>
      </w:r>
      <w:r>
        <w:rPr>
          <w:noProof/>
        </w:rPr>
        <w:t xml:space="preserve">ay national </w:t>
      </w:r>
      <w:r w:rsidR="002D4EA0">
        <w:rPr>
          <w:noProof/>
        </w:rPr>
        <w:t>Single Points of Contact</w:t>
      </w:r>
      <w:r>
        <w:rPr>
          <w:noProof/>
        </w:rPr>
        <w:t xml:space="preserve"> are organised</w:t>
      </w:r>
      <w:r w:rsidRPr="00483E4B">
        <w:rPr>
          <w:noProof/>
        </w:rPr>
        <w:t xml:space="preserve">, there are still significant differences across </w:t>
      </w:r>
      <w:r w:rsidR="004E02E4">
        <w:rPr>
          <w:noProof/>
        </w:rPr>
        <w:t>Member States</w:t>
      </w:r>
      <w:r w:rsidR="00280118">
        <w:rPr>
          <w:noProof/>
        </w:rPr>
        <w:t xml:space="preserve"> </w:t>
      </w:r>
      <w:r w:rsidRPr="00483E4B">
        <w:rPr>
          <w:noProof/>
        </w:rPr>
        <w:t>as regards th</w:t>
      </w:r>
      <w:r>
        <w:rPr>
          <w:noProof/>
        </w:rPr>
        <w:t xml:space="preserve">eir structures, functions, means and capabilities. </w:t>
      </w:r>
    </w:p>
    <w:p w14:paraId="7A91F569" w14:textId="4F9A74F6" w:rsidR="00AF44C3" w:rsidRPr="0018040E" w:rsidRDefault="00AF44C3" w:rsidP="00AF44C3">
      <w:pPr>
        <w:pStyle w:val="Body"/>
        <w:rPr>
          <w:rFonts w:ascii="Times New Roman" w:hAnsi="Times New Roman"/>
          <w:b/>
          <w:noProof/>
          <w:sz w:val="24"/>
          <w:szCs w:val="24"/>
        </w:rPr>
      </w:pPr>
      <w:r w:rsidRPr="00273F2B">
        <w:rPr>
          <w:rFonts w:ascii="Times New Roman" w:hAnsi="Times New Roman"/>
          <w:noProof/>
          <w:sz w:val="24"/>
          <w:szCs w:val="24"/>
        </w:rPr>
        <w:t>As a result,</w:t>
      </w:r>
      <w:r>
        <w:rPr>
          <w:noProof/>
        </w:rPr>
        <w:t xml:space="preserve"> </w:t>
      </w:r>
      <w:r w:rsidRPr="00DE1F5B">
        <w:rPr>
          <w:rFonts w:ascii="Times New Roman" w:hAnsi="Times New Roman"/>
          <w:b/>
          <w:noProof/>
          <w:sz w:val="24"/>
        </w:rPr>
        <w:t>Member States do not always have the necessary structures in place to exchange information effectively and efficiently with other Member States</w:t>
      </w:r>
      <w:r>
        <w:rPr>
          <w:rFonts w:ascii="Times New Roman" w:hAnsi="Times New Roman"/>
          <w:noProof/>
          <w:sz w:val="24"/>
        </w:rPr>
        <w:t xml:space="preserve">. </w:t>
      </w:r>
      <w:r w:rsidR="00F421A8">
        <w:rPr>
          <w:rFonts w:ascii="Times New Roman" w:hAnsi="Times New Roman"/>
          <w:noProof/>
          <w:sz w:val="24"/>
        </w:rPr>
        <w:t xml:space="preserve">National </w:t>
      </w:r>
      <w:r w:rsidR="002D4EA0">
        <w:rPr>
          <w:rFonts w:ascii="Times New Roman" w:hAnsi="Times New Roman"/>
          <w:noProof/>
          <w:sz w:val="24"/>
        </w:rPr>
        <w:t>Single Points of Contact</w:t>
      </w:r>
      <w:r w:rsidR="00280118">
        <w:rPr>
          <w:rFonts w:ascii="Times New Roman" w:hAnsi="Times New Roman"/>
          <w:noProof/>
          <w:sz w:val="24"/>
          <w:szCs w:val="24"/>
        </w:rPr>
        <w:t xml:space="preserve"> </w:t>
      </w:r>
      <w:r w:rsidRPr="0018040E">
        <w:rPr>
          <w:rFonts w:ascii="Times New Roman" w:hAnsi="Times New Roman"/>
          <w:noProof/>
          <w:sz w:val="24"/>
        </w:rPr>
        <w:t xml:space="preserve">do not always play their coordination role and </w:t>
      </w:r>
      <w:r>
        <w:rPr>
          <w:rFonts w:ascii="Times New Roman" w:hAnsi="Times New Roman"/>
          <w:noProof/>
          <w:sz w:val="24"/>
        </w:rPr>
        <w:t xml:space="preserve">can </w:t>
      </w:r>
      <w:r w:rsidRPr="0018040E">
        <w:rPr>
          <w:rFonts w:ascii="Times New Roman" w:hAnsi="Times New Roman"/>
          <w:noProof/>
          <w:sz w:val="24"/>
        </w:rPr>
        <w:t>lack resources to face the increasing number of requests.</w:t>
      </w:r>
    </w:p>
    <w:p w14:paraId="2D6694D3" w14:textId="09DAA0A3" w:rsidR="00F83999" w:rsidRDefault="00AF44C3" w:rsidP="00AF44C3">
      <w:pPr>
        <w:pStyle w:val="Text1"/>
        <w:ind w:left="0"/>
        <w:rPr>
          <w:noProof/>
        </w:rPr>
      </w:pPr>
      <w:r>
        <w:rPr>
          <w:noProof/>
          <w:szCs w:val="24"/>
        </w:rPr>
        <w:t>Notably, t</w:t>
      </w:r>
      <w:r w:rsidRPr="0018040E">
        <w:rPr>
          <w:noProof/>
          <w:szCs w:val="24"/>
        </w:rPr>
        <w:t>hey are not always equipped with the necessary information management tools (</w:t>
      </w:r>
      <w:r w:rsidR="002D4EA0">
        <w:rPr>
          <w:noProof/>
          <w:szCs w:val="24"/>
        </w:rPr>
        <w:t>for example,</w:t>
      </w:r>
      <w:r w:rsidRPr="0018040E">
        <w:rPr>
          <w:noProof/>
          <w:szCs w:val="24"/>
        </w:rPr>
        <w:t xml:space="preserve"> a case management system with a common dashboard and automatic data upload and cross-check</w:t>
      </w:r>
      <w:r>
        <w:rPr>
          <w:noProof/>
          <w:szCs w:val="24"/>
        </w:rPr>
        <w:t xml:space="preserve">). </w:t>
      </w:r>
      <w:r w:rsidRPr="00120A30">
        <w:rPr>
          <w:noProof/>
        </w:rPr>
        <w:t>Additional</w:t>
      </w:r>
      <w:r>
        <w:rPr>
          <w:noProof/>
        </w:rPr>
        <w:t>ly,</w:t>
      </w:r>
      <w:r w:rsidRPr="00120A30">
        <w:rPr>
          <w:noProof/>
        </w:rPr>
        <w:t xml:space="preserve"> </w:t>
      </w:r>
      <w:r w:rsidRPr="00C001D4">
        <w:rPr>
          <w:bCs/>
          <w:noProof/>
        </w:rPr>
        <w:t xml:space="preserve">the </w:t>
      </w:r>
      <w:r w:rsidR="002D4EA0">
        <w:rPr>
          <w:b/>
          <w:bCs/>
          <w:noProof/>
        </w:rPr>
        <w:t>Single Points of Contact</w:t>
      </w:r>
      <w:r w:rsidRPr="00FC4C54">
        <w:rPr>
          <w:b/>
          <w:bCs/>
          <w:noProof/>
        </w:rPr>
        <w:t xml:space="preserve"> do not always have direct and user-friendly access to all relevant EU and international databases</w:t>
      </w:r>
      <w:r w:rsidRPr="00C001D4">
        <w:rPr>
          <w:bCs/>
          <w:noProof/>
        </w:rPr>
        <w:t xml:space="preserve"> and platforms</w:t>
      </w:r>
      <w:r w:rsidRPr="00C001D4">
        <w:rPr>
          <w:noProof/>
        </w:rPr>
        <w:t>.</w:t>
      </w:r>
      <w:r>
        <w:rPr>
          <w:noProof/>
        </w:rPr>
        <w:t xml:space="preserve"> Moreover,</w:t>
      </w:r>
      <w:r w:rsidRPr="00C42841">
        <w:rPr>
          <w:noProof/>
          <w:szCs w:val="24"/>
        </w:rPr>
        <w:t xml:space="preserve"> </w:t>
      </w:r>
      <w:r w:rsidRPr="00C001D4">
        <w:rPr>
          <w:noProof/>
          <w:szCs w:val="24"/>
        </w:rPr>
        <w:t xml:space="preserve">some </w:t>
      </w:r>
      <w:r w:rsidR="002D4EA0">
        <w:rPr>
          <w:noProof/>
          <w:szCs w:val="24"/>
        </w:rPr>
        <w:t>Single Points of Contact</w:t>
      </w:r>
      <w:r w:rsidRPr="00C001D4">
        <w:rPr>
          <w:noProof/>
          <w:szCs w:val="24"/>
        </w:rPr>
        <w:t xml:space="preserve"> have limited access to </w:t>
      </w:r>
      <w:r w:rsidRPr="00FC4C54">
        <w:rPr>
          <w:b/>
          <w:noProof/>
          <w:szCs w:val="24"/>
        </w:rPr>
        <w:t>relevant national databases</w:t>
      </w:r>
      <w:r w:rsidRPr="00C001D4">
        <w:rPr>
          <w:noProof/>
          <w:szCs w:val="24"/>
        </w:rPr>
        <w:t>, whic</w:t>
      </w:r>
      <w:r>
        <w:rPr>
          <w:noProof/>
          <w:szCs w:val="24"/>
        </w:rPr>
        <w:t xml:space="preserve">h further </w:t>
      </w:r>
      <w:r w:rsidRPr="00C42841">
        <w:rPr>
          <w:noProof/>
          <w:szCs w:val="24"/>
        </w:rPr>
        <w:t>dela</w:t>
      </w:r>
      <w:r>
        <w:rPr>
          <w:noProof/>
          <w:szCs w:val="24"/>
        </w:rPr>
        <w:t>ys the overall information exchange process.</w:t>
      </w:r>
      <w:r w:rsidRPr="00C42841">
        <w:rPr>
          <w:noProof/>
          <w:szCs w:val="24"/>
        </w:rPr>
        <w:t xml:space="preserve"> </w:t>
      </w:r>
      <w:r>
        <w:rPr>
          <w:noProof/>
        </w:rPr>
        <w:t xml:space="preserve">Furthermore, </w:t>
      </w:r>
      <w:r w:rsidRPr="00120A30">
        <w:rPr>
          <w:noProof/>
        </w:rPr>
        <w:t xml:space="preserve">the </w:t>
      </w:r>
      <w:r w:rsidR="002D4EA0">
        <w:rPr>
          <w:noProof/>
        </w:rPr>
        <w:t>Single Points of Contact</w:t>
      </w:r>
      <w:r w:rsidR="009A3828">
        <w:rPr>
          <w:noProof/>
        </w:rPr>
        <w:t xml:space="preserve"> </w:t>
      </w:r>
      <w:r>
        <w:rPr>
          <w:noProof/>
        </w:rPr>
        <w:t xml:space="preserve">can </w:t>
      </w:r>
      <w:r w:rsidRPr="00120A30">
        <w:rPr>
          <w:noProof/>
        </w:rPr>
        <w:t>lack resources to timely and effectively address the increasing number of requests receive</w:t>
      </w:r>
      <w:r>
        <w:rPr>
          <w:noProof/>
        </w:rPr>
        <w:t>d.</w:t>
      </w:r>
      <w:r w:rsidRPr="00120A30">
        <w:rPr>
          <w:noProof/>
        </w:rPr>
        <w:t xml:space="preserve"> </w:t>
      </w:r>
      <w:r>
        <w:rPr>
          <w:noProof/>
        </w:rPr>
        <w:t xml:space="preserve">Indeed, this rising trend </w:t>
      </w:r>
      <w:r w:rsidRPr="00120A30">
        <w:rPr>
          <w:noProof/>
        </w:rPr>
        <w:t xml:space="preserve">has not </w:t>
      </w:r>
      <w:r>
        <w:rPr>
          <w:noProof/>
        </w:rPr>
        <w:t xml:space="preserve">always </w:t>
      </w:r>
      <w:r w:rsidRPr="00120A30">
        <w:rPr>
          <w:noProof/>
        </w:rPr>
        <w:t>been accompanied by</w:t>
      </w:r>
      <w:r>
        <w:rPr>
          <w:noProof/>
        </w:rPr>
        <w:t xml:space="preserve"> a proportionate increase of human and IT</w:t>
      </w:r>
      <w:r w:rsidRPr="00120A30">
        <w:rPr>
          <w:noProof/>
        </w:rPr>
        <w:t xml:space="preserve"> resources</w:t>
      </w:r>
      <w:r>
        <w:rPr>
          <w:noProof/>
        </w:rPr>
        <w:t xml:space="preserve">. </w:t>
      </w:r>
    </w:p>
    <w:p w14:paraId="5F5B140B" w14:textId="5AB12B01" w:rsidR="00AF44C3" w:rsidRDefault="00AF44C3" w:rsidP="00AF44C3">
      <w:pPr>
        <w:pStyle w:val="Text1"/>
        <w:ind w:left="0"/>
        <w:rPr>
          <w:noProof/>
        </w:rPr>
      </w:pPr>
      <w:r w:rsidRPr="00DE1F5B">
        <w:rPr>
          <w:b/>
          <w:noProof/>
        </w:rPr>
        <w:t>A modern information management architecture</w:t>
      </w:r>
      <w:r>
        <w:rPr>
          <w:noProof/>
        </w:rPr>
        <w:t xml:space="preserve">, already in use in some 'advanced' </w:t>
      </w:r>
      <w:r w:rsidR="002D4EA0">
        <w:rPr>
          <w:noProof/>
        </w:rPr>
        <w:t>Single Points of Contact</w:t>
      </w:r>
      <w:r>
        <w:rPr>
          <w:noProof/>
        </w:rPr>
        <w:t>,</w:t>
      </w:r>
      <w:r w:rsidRPr="00C001D4">
        <w:rPr>
          <w:noProof/>
        </w:rPr>
        <w:t xml:space="preserve"> </w:t>
      </w:r>
      <w:r>
        <w:rPr>
          <w:noProof/>
        </w:rPr>
        <w:t>can alleviate tensions on limited human resources through the integration of</w:t>
      </w:r>
      <w:r w:rsidRPr="00C001D4">
        <w:rPr>
          <w:noProof/>
        </w:rPr>
        <w:t xml:space="preserve"> in</w:t>
      </w:r>
      <w:r>
        <w:rPr>
          <w:noProof/>
        </w:rPr>
        <w:t>formation held by competent authorities in their respective databases, thereby also monitoring and tracking the deadline for answers to information requests</w:t>
      </w:r>
      <w:r w:rsidR="00291D54">
        <w:rPr>
          <w:rStyle w:val="FootnoteReference0"/>
          <w:noProof/>
        </w:rPr>
        <w:footnoteReference w:id="22"/>
      </w:r>
      <w:r>
        <w:rPr>
          <w:noProof/>
        </w:rPr>
        <w:t>.</w:t>
      </w:r>
      <w:r w:rsidR="0002031B">
        <w:rPr>
          <w:noProof/>
        </w:rPr>
        <w:t xml:space="preserve"> </w:t>
      </w:r>
      <w:r>
        <w:rPr>
          <w:noProof/>
          <w:szCs w:val="24"/>
        </w:rPr>
        <w:t>D</w:t>
      </w:r>
      <w:r w:rsidRPr="00C42841">
        <w:rPr>
          <w:noProof/>
          <w:szCs w:val="24"/>
        </w:rPr>
        <w:t xml:space="preserve">atabases </w:t>
      </w:r>
      <w:r>
        <w:rPr>
          <w:noProof/>
          <w:szCs w:val="24"/>
        </w:rPr>
        <w:t xml:space="preserve">available at </w:t>
      </w:r>
      <w:r w:rsidR="002D4EA0">
        <w:rPr>
          <w:noProof/>
          <w:szCs w:val="24"/>
        </w:rPr>
        <w:t>Single Points of Contact</w:t>
      </w:r>
      <w:r>
        <w:rPr>
          <w:noProof/>
          <w:szCs w:val="24"/>
        </w:rPr>
        <w:t xml:space="preserve"> are not always used to their full </w:t>
      </w:r>
      <w:bookmarkStart w:id="4" w:name="_Hlk73114859"/>
      <w:r w:rsidRPr="00C42841">
        <w:rPr>
          <w:noProof/>
          <w:szCs w:val="24"/>
        </w:rPr>
        <w:t xml:space="preserve">potential </w:t>
      </w:r>
      <w:r>
        <w:rPr>
          <w:noProof/>
          <w:szCs w:val="24"/>
        </w:rPr>
        <w:t xml:space="preserve">either because of </w:t>
      </w:r>
      <w:bookmarkEnd w:id="4"/>
      <w:r w:rsidRPr="00C42841">
        <w:rPr>
          <w:b/>
          <w:bCs/>
          <w:noProof/>
          <w:szCs w:val="24"/>
        </w:rPr>
        <w:t xml:space="preserve">rudimentary search tools, </w:t>
      </w:r>
      <w:r w:rsidRPr="0069432B">
        <w:rPr>
          <w:bCs/>
          <w:noProof/>
          <w:szCs w:val="24"/>
        </w:rPr>
        <w:t>prevent</w:t>
      </w:r>
      <w:r>
        <w:rPr>
          <w:bCs/>
          <w:noProof/>
          <w:szCs w:val="24"/>
        </w:rPr>
        <w:t>ing</w:t>
      </w:r>
      <w:r w:rsidRPr="0069432B">
        <w:rPr>
          <w:bCs/>
          <w:noProof/>
          <w:szCs w:val="24"/>
        </w:rPr>
        <w:t xml:space="preserve"> the adoption of transliteration</w:t>
      </w:r>
      <w:r w:rsidRPr="006538F8">
        <w:rPr>
          <w:rStyle w:val="FootnoteReference0"/>
          <w:noProof/>
        </w:rPr>
        <w:footnoteReference w:id="23"/>
      </w:r>
      <w:r w:rsidRPr="0069432B">
        <w:rPr>
          <w:bCs/>
          <w:noProof/>
          <w:szCs w:val="24"/>
        </w:rPr>
        <w:t xml:space="preserve"> techniques and "fuzzy logic"</w:t>
      </w:r>
      <w:r w:rsidRPr="006538F8">
        <w:rPr>
          <w:rStyle w:val="FootnoteReference0"/>
          <w:noProof/>
        </w:rPr>
        <w:footnoteReference w:id="24"/>
      </w:r>
      <w:r w:rsidRPr="0069432B">
        <w:rPr>
          <w:bCs/>
          <w:noProof/>
          <w:szCs w:val="24"/>
        </w:rPr>
        <w:t xml:space="preserve"> search functions</w:t>
      </w:r>
      <w:r w:rsidRPr="0069432B">
        <w:rPr>
          <w:noProof/>
          <w:szCs w:val="24"/>
        </w:rPr>
        <w:t>.</w:t>
      </w:r>
      <w:r w:rsidRPr="00C42841">
        <w:rPr>
          <w:noProof/>
          <w:szCs w:val="24"/>
        </w:rPr>
        <w:t xml:space="preserve"> The lack of transliteration and fuzzy logic search options within information systems prevents officials </w:t>
      </w:r>
      <w:r>
        <w:rPr>
          <w:noProof/>
          <w:szCs w:val="24"/>
        </w:rPr>
        <w:t xml:space="preserve">from getting exhaustive results (hits) through </w:t>
      </w:r>
      <w:r w:rsidRPr="00C42841">
        <w:rPr>
          <w:noProof/>
          <w:szCs w:val="24"/>
        </w:rPr>
        <w:t>a unique query. As a result, officials have to carry out a new search for each personal detail they are investigating, resulting in an increased workload, which slows down the search process</w:t>
      </w:r>
      <w:r>
        <w:rPr>
          <w:noProof/>
          <w:szCs w:val="24"/>
        </w:rPr>
        <w:t xml:space="preserve"> (</w:t>
      </w:r>
      <w:r w:rsidR="002D4EA0">
        <w:rPr>
          <w:noProof/>
          <w:szCs w:val="24"/>
        </w:rPr>
        <w:t>for example,</w:t>
      </w:r>
      <w:r>
        <w:rPr>
          <w:noProof/>
          <w:szCs w:val="24"/>
        </w:rPr>
        <w:t xml:space="preserve"> inversion of first and last name, different spelling used for the same individual notably stemming from different languages, alphabets and diacritic accents).</w:t>
      </w:r>
    </w:p>
    <w:p w14:paraId="475C2EEA" w14:textId="54B5E0B7" w:rsidR="00AF44C3" w:rsidRDefault="00AF44C3" w:rsidP="00AF44C3">
      <w:pPr>
        <w:pStyle w:val="Text1"/>
        <w:ind w:left="0"/>
        <w:rPr>
          <w:b/>
          <w:noProof/>
          <w:szCs w:val="24"/>
        </w:rPr>
      </w:pPr>
      <w:r w:rsidRPr="00492A70">
        <w:rPr>
          <w:bCs/>
          <w:noProof/>
          <w:szCs w:val="24"/>
        </w:rPr>
        <w:t>At present, deadlines are almost always exceeded whe</w:t>
      </w:r>
      <w:r>
        <w:rPr>
          <w:bCs/>
          <w:noProof/>
          <w:szCs w:val="24"/>
        </w:rPr>
        <w:t>n</w:t>
      </w:r>
      <w:r w:rsidRPr="00492A70">
        <w:rPr>
          <w:bCs/>
          <w:noProof/>
          <w:szCs w:val="24"/>
        </w:rPr>
        <w:t xml:space="preserve"> a judicial authorisation is required.</w:t>
      </w:r>
      <w:r>
        <w:rPr>
          <w:noProof/>
        </w:rPr>
        <w:t xml:space="preserve"> The </w:t>
      </w:r>
      <w:r w:rsidRPr="006068C2">
        <w:rPr>
          <w:b/>
          <w:noProof/>
        </w:rPr>
        <w:t>functional availability of a judicial authority</w:t>
      </w:r>
      <w:r>
        <w:rPr>
          <w:noProof/>
        </w:rPr>
        <w:t xml:space="preserve">, as it is already the case in more effective and efficient </w:t>
      </w:r>
      <w:r w:rsidR="002D4EA0">
        <w:rPr>
          <w:noProof/>
        </w:rPr>
        <w:t>Single Points of Contact</w:t>
      </w:r>
      <w:r>
        <w:rPr>
          <w:noProof/>
        </w:rPr>
        <w:t xml:space="preserve">, </w:t>
      </w:r>
      <w:r w:rsidRPr="00492A70">
        <w:rPr>
          <w:bCs/>
          <w:noProof/>
          <w:szCs w:val="24"/>
        </w:rPr>
        <w:t xml:space="preserve">will </w:t>
      </w:r>
      <w:r>
        <w:rPr>
          <w:bCs/>
          <w:noProof/>
          <w:szCs w:val="24"/>
        </w:rPr>
        <w:t>contribute to alleviate undue delays. Indeed,</w:t>
      </w:r>
      <w:r w:rsidRPr="00492A70">
        <w:rPr>
          <w:bCs/>
          <w:noProof/>
          <w:szCs w:val="24"/>
        </w:rPr>
        <w:t xml:space="preserve"> cases </w:t>
      </w:r>
      <w:r>
        <w:rPr>
          <w:bCs/>
          <w:noProof/>
          <w:szCs w:val="24"/>
        </w:rPr>
        <w:t xml:space="preserve">requiring </w:t>
      </w:r>
      <w:r w:rsidRPr="00492A70">
        <w:rPr>
          <w:bCs/>
          <w:noProof/>
          <w:szCs w:val="24"/>
        </w:rPr>
        <w:t xml:space="preserve">a judicial authorisation can be handled more swiftly than what is currently the case, meaning that deadlines can be </w:t>
      </w:r>
      <w:r>
        <w:rPr>
          <w:bCs/>
          <w:noProof/>
          <w:szCs w:val="24"/>
        </w:rPr>
        <w:t>more readily met also in these cases.</w:t>
      </w:r>
    </w:p>
    <w:p w14:paraId="3680A14C" w14:textId="7AB7A0B5" w:rsidR="00AF44C3" w:rsidRPr="007B2C7A" w:rsidRDefault="002E4C52" w:rsidP="002E4C52">
      <w:pPr>
        <w:pStyle w:val="Point1"/>
        <w:rPr>
          <w:noProof/>
          <w:lang w:eastAsia="en-GB"/>
        </w:rPr>
      </w:pPr>
      <w:r w:rsidRPr="002E4C52">
        <w:t>(3)</w:t>
      </w:r>
      <w:r w:rsidRPr="002E4C52">
        <w:tab/>
      </w:r>
      <w:r w:rsidR="00AF44C3" w:rsidRPr="007B2C7A">
        <w:rPr>
          <w:noProof/>
          <w:lang w:eastAsia="en-GB"/>
        </w:rPr>
        <w:t>Lack of common practice in the use of existing communication channel(s) to exchange information within the EU</w:t>
      </w:r>
    </w:p>
    <w:p w14:paraId="44F0900C" w14:textId="60DE1890" w:rsidR="00291D54" w:rsidRDefault="00291D54" w:rsidP="00AF44C3">
      <w:pPr>
        <w:rPr>
          <w:b/>
          <w:noProof/>
          <w:szCs w:val="24"/>
          <w:lang w:val="en-US" w:eastAsia="en-GB"/>
        </w:rPr>
      </w:pPr>
      <w:r>
        <w:rPr>
          <w:b/>
          <w:noProof/>
          <w:szCs w:val="24"/>
          <w:lang w:eastAsia="en-GB"/>
        </w:rPr>
        <w:t>T</w:t>
      </w:r>
      <w:r w:rsidRPr="00426A5C">
        <w:rPr>
          <w:b/>
          <w:noProof/>
          <w:szCs w:val="24"/>
          <w:lang w:val="en-US" w:eastAsia="en-GB"/>
        </w:rPr>
        <w:t xml:space="preserve">he </w:t>
      </w:r>
      <w:r>
        <w:rPr>
          <w:b/>
          <w:noProof/>
          <w:szCs w:val="24"/>
          <w:lang w:val="en-US" w:eastAsia="en-GB"/>
        </w:rPr>
        <w:t xml:space="preserve">third </w:t>
      </w:r>
      <w:r w:rsidRPr="00426A5C">
        <w:rPr>
          <w:b/>
          <w:noProof/>
          <w:szCs w:val="24"/>
          <w:lang w:val="en-US" w:eastAsia="en-GB"/>
        </w:rPr>
        <w:t xml:space="preserve">objective </w:t>
      </w:r>
      <w:r w:rsidRPr="00122119">
        <w:rPr>
          <w:noProof/>
          <w:szCs w:val="24"/>
          <w:lang w:val="en-US" w:eastAsia="en-GB"/>
        </w:rPr>
        <w:t>of this proposal for a Directive is to</w:t>
      </w:r>
      <w:r w:rsidRPr="00426A5C">
        <w:rPr>
          <w:b/>
          <w:noProof/>
          <w:szCs w:val="24"/>
          <w:lang w:val="en-US" w:eastAsia="en-GB"/>
        </w:rPr>
        <w:t xml:space="preserve"> </w:t>
      </w:r>
      <w:r w:rsidRPr="00EF6E09">
        <w:rPr>
          <w:b/>
          <w:noProof/>
          <w:szCs w:val="24"/>
        </w:rPr>
        <w:t xml:space="preserve">remedy the proliferation of communication channels used for law enforcement information exchange between Member States while </w:t>
      </w:r>
      <w:r w:rsidR="00CE39D1" w:rsidRPr="00CF1516">
        <w:rPr>
          <w:b/>
          <w:noProof/>
          <w:szCs w:val="24"/>
        </w:rPr>
        <w:t xml:space="preserve">reinforcing </w:t>
      </w:r>
      <w:r w:rsidRPr="00CF1516">
        <w:rPr>
          <w:b/>
          <w:noProof/>
          <w:szCs w:val="24"/>
        </w:rPr>
        <w:t>Europol</w:t>
      </w:r>
      <w:r w:rsidR="00CE39D1" w:rsidRPr="00CF1516">
        <w:rPr>
          <w:b/>
          <w:noProof/>
          <w:szCs w:val="24"/>
        </w:rPr>
        <w:t>’s</w:t>
      </w:r>
      <w:r w:rsidRPr="00CF1516">
        <w:rPr>
          <w:b/>
          <w:noProof/>
          <w:szCs w:val="24"/>
        </w:rPr>
        <w:t xml:space="preserve"> </w:t>
      </w:r>
      <w:r w:rsidR="00896C7F" w:rsidRPr="00CF1516">
        <w:rPr>
          <w:b/>
          <w:noProof/>
          <w:szCs w:val="24"/>
        </w:rPr>
        <w:t xml:space="preserve">role </w:t>
      </w:r>
      <w:r w:rsidRPr="00CF1516">
        <w:rPr>
          <w:b/>
          <w:noProof/>
          <w:szCs w:val="24"/>
        </w:rPr>
        <w:t>as</w:t>
      </w:r>
      <w:r w:rsidRPr="00EF6E09">
        <w:rPr>
          <w:b/>
          <w:noProof/>
          <w:szCs w:val="24"/>
        </w:rPr>
        <w:t xml:space="preserve"> the EU criminal information hub for offences falling within its mandate</w:t>
      </w:r>
      <w:r w:rsidRPr="00476DB7">
        <w:rPr>
          <w:b/>
          <w:i/>
          <w:noProof/>
          <w:szCs w:val="24"/>
          <w:lang w:val="en-US" w:eastAsia="en-GB"/>
        </w:rPr>
        <w:t>.</w:t>
      </w:r>
    </w:p>
    <w:p w14:paraId="146EA209" w14:textId="6DE6A90F" w:rsidR="00A2753C" w:rsidRDefault="00AF44C3" w:rsidP="00AF44C3">
      <w:pPr>
        <w:rPr>
          <w:noProof/>
          <w:szCs w:val="16"/>
        </w:rPr>
      </w:pPr>
      <w:r>
        <w:rPr>
          <w:noProof/>
          <w:szCs w:val="24"/>
          <w:lang w:eastAsia="en-GB"/>
        </w:rPr>
        <w:t xml:space="preserve">Besides a </w:t>
      </w:r>
      <w:r w:rsidRPr="00023246">
        <w:rPr>
          <w:noProof/>
          <w:szCs w:val="24"/>
          <w:lang w:eastAsia="en-GB"/>
        </w:rPr>
        <w:t xml:space="preserve">number </w:t>
      </w:r>
      <w:r>
        <w:rPr>
          <w:noProof/>
          <w:szCs w:val="24"/>
          <w:lang w:eastAsia="en-GB"/>
        </w:rPr>
        <w:t xml:space="preserve">of </w:t>
      </w:r>
      <w:r w:rsidRPr="00023246">
        <w:rPr>
          <w:noProof/>
          <w:szCs w:val="24"/>
          <w:lang w:eastAsia="en-GB"/>
        </w:rPr>
        <w:t>system-specific cases regulated by EU law</w:t>
      </w:r>
      <w:r>
        <w:rPr>
          <w:b/>
          <w:noProof/>
          <w:szCs w:val="24"/>
          <w:lang w:eastAsia="en-GB"/>
        </w:rPr>
        <w:t xml:space="preserve"> </w:t>
      </w:r>
      <w:r w:rsidRPr="00300C2F">
        <w:rPr>
          <w:noProof/>
          <w:szCs w:val="24"/>
          <w:lang w:eastAsia="en-GB"/>
        </w:rPr>
        <w:t>(</w:t>
      </w:r>
      <w:r>
        <w:rPr>
          <w:noProof/>
          <w:szCs w:val="24"/>
          <w:lang w:eastAsia="en-GB"/>
        </w:rPr>
        <w:t xml:space="preserve">i.e. </w:t>
      </w:r>
      <w:r w:rsidRPr="00AC0345">
        <w:rPr>
          <w:noProof/>
          <w:szCs w:val="24"/>
        </w:rPr>
        <w:t xml:space="preserve">requests for supplementary information </w:t>
      </w:r>
      <w:r w:rsidRPr="005F1A8D">
        <w:rPr>
          <w:noProof/>
          <w:szCs w:val="24"/>
        </w:rPr>
        <w:t xml:space="preserve">related to </w:t>
      </w:r>
      <w:r>
        <w:rPr>
          <w:noProof/>
          <w:szCs w:val="24"/>
        </w:rPr>
        <w:t xml:space="preserve">SIS </w:t>
      </w:r>
      <w:r w:rsidRPr="005F1A8D">
        <w:rPr>
          <w:noProof/>
          <w:szCs w:val="24"/>
        </w:rPr>
        <w:t xml:space="preserve">alerts </w:t>
      </w:r>
      <w:r w:rsidRPr="00AC0345">
        <w:rPr>
          <w:noProof/>
          <w:szCs w:val="24"/>
        </w:rPr>
        <w:t xml:space="preserve">must be </w:t>
      </w:r>
      <w:r>
        <w:rPr>
          <w:noProof/>
          <w:szCs w:val="24"/>
        </w:rPr>
        <w:t>made via SIRENE Bureaux</w:t>
      </w:r>
      <w:r>
        <w:rPr>
          <w:rStyle w:val="FootnoteReference0"/>
          <w:noProof/>
        </w:rPr>
        <w:footnoteReference w:id="25"/>
      </w:r>
      <w:r>
        <w:rPr>
          <w:noProof/>
          <w:szCs w:val="24"/>
        </w:rPr>
        <w:t xml:space="preserve">, </w:t>
      </w:r>
      <w:r w:rsidRPr="00AC0345">
        <w:rPr>
          <w:noProof/>
          <w:szCs w:val="24"/>
        </w:rPr>
        <w:t xml:space="preserve">and information exchange with Europol </w:t>
      </w:r>
      <w:r>
        <w:rPr>
          <w:noProof/>
          <w:szCs w:val="24"/>
        </w:rPr>
        <w:t xml:space="preserve">usually </w:t>
      </w:r>
      <w:r w:rsidRPr="00AC0345">
        <w:rPr>
          <w:noProof/>
          <w:szCs w:val="24"/>
        </w:rPr>
        <w:t>via ENUs</w:t>
      </w:r>
      <w:r w:rsidRPr="00785F0A">
        <w:rPr>
          <w:rStyle w:val="FootnoteReference0"/>
          <w:noProof/>
        </w:rPr>
        <w:footnoteReference w:id="26"/>
      </w:r>
      <w:r>
        <w:rPr>
          <w:noProof/>
          <w:szCs w:val="24"/>
        </w:rPr>
        <w:t xml:space="preserve">), </w:t>
      </w:r>
      <w:r w:rsidRPr="005F75DB">
        <w:rPr>
          <w:noProof/>
          <w:szCs w:val="24"/>
          <w:lang w:eastAsia="en-GB"/>
        </w:rPr>
        <w:t xml:space="preserve">Member States </w:t>
      </w:r>
      <w:r w:rsidRPr="00773C86">
        <w:rPr>
          <w:noProof/>
          <w:szCs w:val="16"/>
        </w:rPr>
        <w:t>have not agreed on a single channel of information exchange between their law enforcement authorities for cases with an EU dimension, leading to duplication of requests, undue delays and occasional information loss</w:t>
      </w:r>
      <w:r>
        <w:rPr>
          <w:noProof/>
          <w:szCs w:val="16"/>
        </w:rPr>
        <w:t xml:space="preserve">. </w:t>
      </w:r>
    </w:p>
    <w:p w14:paraId="7FB8B5B9" w14:textId="0BD20DF8" w:rsidR="00AF44C3" w:rsidRDefault="00AF44C3" w:rsidP="00AF44C3">
      <w:pPr>
        <w:rPr>
          <w:noProof/>
          <w:szCs w:val="24"/>
          <w:lang w:eastAsia="en-GB"/>
        </w:rPr>
      </w:pPr>
      <w:r>
        <w:rPr>
          <w:b/>
          <w:noProof/>
          <w:szCs w:val="24"/>
          <w:lang w:eastAsia="en-GB"/>
        </w:rPr>
        <w:t xml:space="preserve">As a result, </w:t>
      </w:r>
      <w:r w:rsidRPr="00107493">
        <w:rPr>
          <w:b/>
          <w:noProof/>
          <w:szCs w:val="24"/>
          <w:lang w:eastAsia="en-GB"/>
        </w:rPr>
        <w:t>Member States use different channels to different extents</w:t>
      </w:r>
      <w:r w:rsidRPr="00107493">
        <w:rPr>
          <w:b/>
          <w:noProof/>
          <w:szCs w:val="24"/>
        </w:rPr>
        <w:t xml:space="preserve"> to request, send and receive information,</w:t>
      </w:r>
      <w:r w:rsidRPr="0002350A">
        <w:rPr>
          <w:noProof/>
          <w:szCs w:val="24"/>
        </w:rPr>
        <w:t xml:space="preserve"> </w:t>
      </w:r>
      <w:r>
        <w:rPr>
          <w:noProof/>
          <w:szCs w:val="24"/>
        </w:rPr>
        <w:t xml:space="preserve">often without any clear, pre-defined </w:t>
      </w:r>
      <w:r w:rsidRPr="007441FF">
        <w:rPr>
          <w:noProof/>
          <w:szCs w:val="24"/>
        </w:rPr>
        <w:t>rationale</w:t>
      </w:r>
      <w:r>
        <w:rPr>
          <w:rStyle w:val="FootnoteReference0"/>
          <w:noProof/>
          <w:szCs w:val="24"/>
        </w:rPr>
        <w:footnoteReference w:id="27"/>
      </w:r>
      <w:r>
        <w:rPr>
          <w:noProof/>
          <w:szCs w:val="24"/>
        </w:rPr>
        <w:t xml:space="preserve">, </w:t>
      </w:r>
      <w:r w:rsidRPr="0002350A">
        <w:rPr>
          <w:noProof/>
          <w:szCs w:val="24"/>
        </w:rPr>
        <w:t>which hampers effective and ef</w:t>
      </w:r>
      <w:r>
        <w:rPr>
          <w:noProof/>
          <w:szCs w:val="24"/>
        </w:rPr>
        <w:t xml:space="preserve">ficient exchange of information. </w:t>
      </w:r>
      <w:r>
        <w:rPr>
          <w:noProof/>
          <w:szCs w:val="16"/>
        </w:rPr>
        <w:t xml:space="preserve">This also </w:t>
      </w:r>
      <w:r w:rsidRPr="00773C86">
        <w:rPr>
          <w:noProof/>
          <w:szCs w:val="16"/>
        </w:rPr>
        <w:t>depriv</w:t>
      </w:r>
      <w:r>
        <w:rPr>
          <w:noProof/>
          <w:szCs w:val="16"/>
        </w:rPr>
        <w:t>es</w:t>
      </w:r>
      <w:r w:rsidRPr="00773C86">
        <w:rPr>
          <w:noProof/>
          <w:szCs w:val="16"/>
        </w:rPr>
        <w:t xml:space="preserve"> </w:t>
      </w:r>
      <w:r>
        <w:rPr>
          <w:noProof/>
          <w:szCs w:val="16"/>
        </w:rPr>
        <w:t xml:space="preserve">national </w:t>
      </w:r>
      <w:r w:rsidRPr="00773C86">
        <w:rPr>
          <w:noProof/>
          <w:szCs w:val="16"/>
        </w:rPr>
        <w:t xml:space="preserve">authorities from Europol's support even though </w:t>
      </w:r>
      <w:r>
        <w:rPr>
          <w:noProof/>
          <w:szCs w:val="16"/>
        </w:rPr>
        <w:t xml:space="preserve">Member States </w:t>
      </w:r>
      <w:r w:rsidRPr="00773C86">
        <w:rPr>
          <w:noProof/>
          <w:szCs w:val="16"/>
        </w:rPr>
        <w:t xml:space="preserve">call on the Agency to be </w:t>
      </w:r>
      <w:r>
        <w:rPr>
          <w:noProof/>
          <w:szCs w:val="16"/>
        </w:rPr>
        <w:t xml:space="preserve">an </w:t>
      </w:r>
      <w:r w:rsidRPr="00773C86">
        <w:rPr>
          <w:noProof/>
          <w:szCs w:val="16"/>
        </w:rPr>
        <w:t xml:space="preserve">EU criminal information hub </w:t>
      </w:r>
      <w:r>
        <w:rPr>
          <w:noProof/>
          <w:szCs w:val="16"/>
        </w:rPr>
        <w:t>able to d</w:t>
      </w:r>
      <w:r w:rsidRPr="00773C86">
        <w:rPr>
          <w:noProof/>
          <w:szCs w:val="16"/>
        </w:rPr>
        <w:t xml:space="preserve">eliver </w:t>
      </w:r>
      <w:r>
        <w:rPr>
          <w:noProof/>
          <w:szCs w:val="16"/>
        </w:rPr>
        <w:t xml:space="preserve">qualitative </w:t>
      </w:r>
      <w:r w:rsidR="00674F75" w:rsidRPr="00773C86">
        <w:rPr>
          <w:noProof/>
          <w:szCs w:val="16"/>
        </w:rPr>
        <w:t>in</w:t>
      </w:r>
      <w:r w:rsidR="00674F75">
        <w:rPr>
          <w:noProof/>
          <w:szCs w:val="16"/>
        </w:rPr>
        <w:t>formation</w:t>
      </w:r>
      <w:r w:rsidRPr="00773C86">
        <w:rPr>
          <w:noProof/>
          <w:szCs w:val="16"/>
        </w:rPr>
        <w:t>-led products</w:t>
      </w:r>
      <w:r>
        <w:rPr>
          <w:noProof/>
          <w:szCs w:val="24"/>
          <w:lang w:eastAsia="en-GB"/>
        </w:rPr>
        <w:t>.</w:t>
      </w:r>
    </w:p>
    <w:p w14:paraId="55BD1519" w14:textId="49DC5BBB" w:rsidR="00AF44C3" w:rsidRPr="00426A5C" w:rsidRDefault="002D4EA0" w:rsidP="002240AF">
      <w:pPr>
        <w:rPr>
          <w:b/>
          <w:noProof/>
          <w:lang w:val="en-US" w:eastAsia="en-GB"/>
        </w:rPr>
      </w:pPr>
      <w:r>
        <w:rPr>
          <w:noProof/>
          <w:szCs w:val="24"/>
        </w:rPr>
        <w:t>Single Points of Contact</w:t>
      </w:r>
      <w:r w:rsidR="00AF44C3">
        <w:rPr>
          <w:noProof/>
          <w:szCs w:val="24"/>
        </w:rPr>
        <w:t xml:space="preserve"> do not always ensure the monitoring of existing channels </w:t>
      </w:r>
      <w:r w:rsidR="00AF44C3" w:rsidRPr="007441FF">
        <w:rPr>
          <w:noProof/>
          <w:szCs w:val="24"/>
        </w:rPr>
        <w:t>24/7 resulting in possible negative impact</w:t>
      </w:r>
      <w:r w:rsidR="00AF44C3">
        <w:rPr>
          <w:noProof/>
          <w:szCs w:val="24"/>
        </w:rPr>
        <w:t>s on cross-border cases</w:t>
      </w:r>
      <w:r w:rsidR="00AF44C3" w:rsidRPr="007441FF">
        <w:rPr>
          <w:noProof/>
          <w:szCs w:val="24"/>
        </w:rPr>
        <w:t xml:space="preserve"> </w:t>
      </w:r>
      <w:r w:rsidR="00AF44C3">
        <w:rPr>
          <w:noProof/>
          <w:szCs w:val="24"/>
        </w:rPr>
        <w:t>requiring urgent</w:t>
      </w:r>
      <w:r w:rsidR="00AF44C3" w:rsidRPr="007441FF">
        <w:rPr>
          <w:noProof/>
          <w:szCs w:val="24"/>
        </w:rPr>
        <w:t xml:space="preserve"> information sharing</w:t>
      </w:r>
      <w:r w:rsidR="00AF44C3">
        <w:rPr>
          <w:noProof/>
          <w:szCs w:val="24"/>
        </w:rPr>
        <w:t>.</w:t>
      </w:r>
      <w:r w:rsidR="00ED3FA7">
        <w:rPr>
          <w:noProof/>
          <w:szCs w:val="24"/>
        </w:rPr>
        <w:t xml:space="preserve"> </w:t>
      </w:r>
      <w:r w:rsidR="00AF44C3">
        <w:rPr>
          <w:noProof/>
          <w:szCs w:val="24"/>
        </w:rPr>
        <w:t>At the same time, Europol'</w:t>
      </w:r>
      <w:r w:rsidR="00AF44C3" w:rsidRPr="005F75DB">
        <w:rPr>
          <w:noProof/>
          <w:szCs w:val="24"/>
        </w:rPr>
        <w:t xml:space="preserve">s </w:t>
      </w:r>
      <w:r w:rsidR="00AF44C3" w:rsidRPr="005F75DB">
        <w:rPr>
          <w:noProof/>
        </w:rPr>
        <w:t>Secure Information Exchange Network Application</w:t>
      </w:r>
      <w:r w:rsidR="00AF44C3" w:rsidRPr="005F75DB">
        <w:rPr>
          <w:noProof/>
          <w:sz w:val="32"/>
          <w:szCs w:val="24"/>
        </w:rPr>
        <w:t xml:space="preserve"> </w:t>
      </w:r>
      <w:r w:rsidR="00AF44C3" w:rsidRPr="005F75DB">
        <w:rPr>
          <w:noProof/>
          <w:szCs w:val="24"/>
        </w:rPr>
        <w:t>(</w:t>
      </w:r>
      <w:r w:rsidR="00AF44C3">
        <w:rPr>
          <w:noProof/>
          <w:szCs w:val="24"/>
        </w:rPr>
        <w:t>hereinafter '</w:t>
      </w:r>
      <w:r w:rsidR="00AF44C3" w:rsidRPr="005F75DB">
        <w:rPr>
          <w:noProof/>
          <w:szCs w:val="24"/>
        </w:rPr>
        <w:t>SIENA</w:t>
      </w:r>
      <w:r w:rsidR="00AF44C3">
        <w:rPr>
          <w:noProof/>
          <w:szCs w:val="24"/>
        </w:rPr>
        <w:t>'</w:t>
      </w:r>
      <w:r w:rsidR="00AF44C3" w:rsidRPr="005F75DB">
        <w:rPr>
          <w:noProof/>
          <w:szCs w:val="24"/>
        </w:rPr>
        <w:t xml:space="preserve">) </w:t>
      </w:r>
      <w:r w:rsidR="00AF44C3" w:rsidRPr="005F75DB">
        <w:rPr>
          <w:noProof/>
        </w:rPr>
        <w:t xml:space="preserve">is </w:t>
      </w:r>
      <w:r w:rsidR="00AF44C3">
        <w:rPr>
          <w:noProof/>
        </w:rPr>
        <w:t>b</w:t>
      </w:r>
      <w:r w:rsidR="00AF44C3" w:rsidRPr="005F75DB">
        <w:rPr>
          <w:noProof/>
        </w:rPr>
        <w:t>eing underused in spite of its tailored features and strong data security infrastructure.</w:t>
      </w:r>
      <w:r w:rsidR="00ED3FA7">
        <w:rPr>
          <w:noProof/>
        </w:rPr>
        <w:t xml:space="preserve"> </w:t>
      </w:r>
      <w:r w:rsidR="00AF44C3">
        <w:rPr>
          <w:noProof/>
        </w:rPr>
        <w:t xml:space="preserve">Even when Member States do use SIENA, </w:t>
      </w:r>
      <w:r w:rsidR="00AF44C3" w:rsidRPr="001D34A5">
        <w:rPr>
          <w:noProof/>
        </w:rPr>
        <w:t xml:space="preserve">they </w:t>
      </w:r>
      <w:r w:rsidR="00AF44C3" w:rsidRPr="001D34A5">
        <w:rPr>
          <w:b/>
          <w:noProof/>
        </w:rPr>
        <w:t>do not always involve (by copying</w:t>
      </w:r>
      <w:r w:rsidR="0065193F">
        <w:rPr>
          <w:b/>
          <w:noProof/>
        </w:rPr>
        <w:t xml:space="preserve"> </w:t>
      </w:r>
      <w:r w:rsidR="0065193F" w:rsidRPr="00747D4D">
        <w:rPr>
          <w:b/>
          <w:noProof/>
        </w:rPr>
        <w:t>in</w:t>
      </w:r>
      <w:r w:rsidR="00AF44C3" w:rsidRPr="001D34A5">
        <w:rPr>
          <w:b/>
          <w:noProof/>
        </w:rPr>
        <w:t>) Europol</w:t>
      </w:r>
      <w:r w:rsidR="00AF44C3">
        <w:rPr>
          <w:b/>
          <w:noProof/>
        </w:rPr>
        <w:t>,</w:t>
      </w:r>
      <w:r w:rsidR="00AF44C3" w:rsidRPr="001D34A5">
        <w:rPr>
          <w:b/>
          <w:noProof/>
        </w:rPr>
        <w:t xml:space="preserve"> </w:t>
      </w:r>
      <w:r w:rsidR="00AF44C3" w:rsidRPr="00704502">
        <w:rPr>
          <w:noProof/>
        </w:rPr>
        <w:t xml:space="preserve">even though </w:t>
      </w:r>
      <w:r w:rsidR="00AF44C3">
        <w:rPr>
          <w:noProof/>
        </w:rPr>
        <w:t>the information exchanged falls within its mandate</w:t>
      </w:r>
      <w:r w:rsidR="00AF44C3" w:rsidRPr="00171FEA">
        <w:rPr>
          <w:noProof/>
          <w:szCs w:val="24"/>
        </w:rPr>
        <w:t xml:space="preserve">. </w:t>
      </w:r>
      <w:r w:rsidR="00AF44C3" w:rsidRPr="00704502">
        <w:rPr>
          <w:noProof/>
          <w:szCs w:val="24"/>
        </w:rPr>
        <w:t xml:space="preserve">This </w:t>
      </w:r>
      <w:r w:rsidR="00AF44C3">
        <w:rPr>
          <w:noProof/>
          <w:szCs w:val="24"/>
        </w:rPr>
        <w:t xml:space="preserve">can create significant </w:t>
      </w:r>
      <w:r w:rsidR="00AF44C3" w:rsidRPr="00704502">
        <w:rPr>
          <w:noProof/>
          <w:szCs w:val="24"/>
        </w:rPr>
        <w:t>information gap</w:t>
      </w:r>
      <w:r w:rsidR="00AF44C3">
        <w:rPr>
          <w:noProof/>
          <w:szCs w:val="24"/>
        </w:rPr>
        <w:t>s at EU level</w:t>
      </w:r>
      <w:r w:rsidR="00AF44C3" w:rsidRPr="00122119">
        <w:rPr>
          <w:noProof/>
        </w:rPr>
        <w:t>.</w:t>
      </w:r>
    </w:p>
    <w:p w14:paraId="51DF4875" w14:textId="77777777" w:rsidR="00AF44C3" w:rsidRPr="002D5EE2" w:rsidRDefault="00AF44C3" w:rsidP="00AF44C3">
      <w:pPr>
        <w:pStyle w:val="ManualHeading2"/>
        <w:ind w:left="0" w:firstLine="0"/>
        <w:rPr>
          <w:rFonts w:eastAsia="Arial Unicode MS"/>
          <w:noProof/>
          <w:color w:val="000000"/>
          <w:u w:color="000000"/>
          <w:bdr w:val="nil"/>
          <w:lang w:val="en-US" w:eastAsia="en-GB"/>
        </w:rPr>
      </w:pPr>
      <w:bookmarkStart w:id="5" w:name="_Toc85807189"/>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1D34A5">
        <w:rPr>
          <w:rFonts w:eastAsia="Arial Unicode MS"/>
          <w:noProof/>
        </w:rPr>
        <w:t>Consistency with existing policy provisions in the policy area</w:t>
      </w:r>
      <w:bookmarkEnd w:id="5"/>
    </w:p>
    <w:p w14:paraId="222284A0" w14:textId="7FF6802C" w:rsidR="00AF44C3" w:rsidRDefault="00AF44C3" w:rsidP="00F66FE5">
      <w:pPr>
        <w:pBdr>
          <w:top w:val="nil"/>
          <w:left w:val="nil"/>
          <w:bottom w:val="nil"/>
          <w:right w:val="nil"/>
          <w:between w:val="nil"/>
          <w:bar w:val="nil"/>
        </w:pBdr>
        <w:spacing w:before="0"/>
        <w:rPr>
          <w:noProof/>
        </w:rPr>
      </w:pPr>
      <w:r>
        <w:rPr>
          <w:noProof/>
        </w:rPr>
        <w:t xml:space="preserve">The </w:t>
      </w:r>
      <w:r w:rsidRPr="009807D1">
        <w:rPr>
          <w:noProof/>
          <w:szCs w:val="24"/>
        </w:rPr>
        <w:t>present</w:t>
      </w:r>
      <w:r>
        <w:rPr>
          <w:noProof/>
        </w:rPr>
        <w:t xml:space="preserve"> proposal is </w:t>
      </w:r>
      <w:r w:rsidRPr="004549DF">
        <w:rPr>
          <w:noProof/>
        </w:rPr>
        <w:t>consistent</w:t>
      </w:r>
      <w:r>
        <w:rPr>
          <w:noProof/>
        </w:rPr>
        <w:t xml:space="preserve"> with existing and upcoming policy provisions in the domain of law enforcement cooperation.</w:t>
      </w:r>
      <w:r w:rsidR="00710D14">
        <w:rPr>
          <w:noProof/>
        </w:rPr>
        <w:t xml:space="preserve"> </w:t>
      </w:r>
      <w:r>
        <w:rPr>
          <w:noProof/>
        </w:rPr>
        <w:t xml:space="preserve">Law enforcement cooperation is an area of shared competence between the EU and the Member States. In recent years, progress was made to improve the exchange of information cooperation between Member States and to close down the space in which terrorists and serious criminals operate. </w:t>
      </w:r>
      <w:r w:rsidRPr="00BF2A8C">
        <w:rPr>
          <w:noProof/>
          <w:szCs w:val="24"/>
        </w:rPr>
        <w:t>The legislative framework on counterterrorism and information exchange was strengthened in the aftermath of t</w:t>
      </w:r>
      <w:r>
        <w:rPr>
          <w:noProof/>
          <w:szCs w:val="24"/>
        </w:rPr>
        <w:t>he terrorist attacks in Europe. Following the migration crisis of 2015, th</w:t>
      </w:r>
      <w:r w:rsidRPr="00BF2A8C">
        <w:rPr>
          <w:noProof/>
          <w:szCs w:val="24"/>
        </w:rPr>
        <w:t xml:space="preserve">e general architecture of Justice </w:t>
      </w:r>
      <w:r>
        <w:rPr>
          <w:noProof/>
          <w:szCs w:val="24"/>
        </w:rPr>
        <w:t>and</w:t>
      </w:r>
      <w:r w:rsidRPr="00BF2A8C">
        <w:rPr>
          <w:noProof/>
          <w:szCs w:val="24"/>
        </w:rPr>
        <w:t xml:space="preserve"> Home Affairs (JHA) information systems and databases was overhauled with a focus on interoperability</w:t>
      </w:r>
      <w:r w:rsidR="00B97E5C">
        <w:rPr>
          <w:rStyle w:val="FootnoteReference0"/>
          <w:noProof/>
          <w:szCs w:val="24"/>
        </w:rPr>
        <w:footnoteReference w:id="28"/>
      </w:r>
      <w:r w:rsidRPr="00BF2A8C">
        <w:rPr>
          <w:noProof/>
          <w:szCs w:val="24"/>
        </w:rPr>
        <w:t xml:space="preserve"> and dynamic convergence between security, borders and migration management.</w:t>
      </w:r>
      <w:r w:rsidR="00A71BD5">
        <w:rPr>
          <w:noProof/>
          <w:szCs w:val="24"/>
        </w:rPr>
        <w:t xml:space="preserve"> </w:t>
      </w:r>
      <w:r>
        <w:rPr>
          <w:noProof/>
        </w:rPr>
        <w:t>Moreover, greater cooperation between law enforcement bodies was promoted at EU level through the publication of (non-binding) Council recommendations and guidelines seeking to facilitate the convergence of national practices.</w:t>
      </w:r>
    </w:p>
    <w:p w14:paraId="2DBB023B" w14:textId="6BE76ED7" w:rsidR="00AF44C3" w:rsidRDefault="00AF44C3" w:rsidP="00AF44C3">
      <w:pPr>
        <w:spacing w:before="0"/>
        <w:rPr>
          <w:noProof/>
          <w:szCs w:val="24"/>
        </w:rPr>
      </w:pPr>
      <w:r>
        <w:rPr>
          <w:noProof/>
          <w:szCs w:val="24"/>
        </w:rPr>
        <w:t xml:space="preserve">As the two legs of law </w:t>
      </w:r>
      <w:r w:rsidRPr="004549DF">
        <w:rPr>
          <w:noProof/>
        </w:rPr>
        <w:t>enforcement</w:t>
      </w:r>
      <w:r>
        <w:rPr>
          <w:noProof/>
          <w:szCs w:val="24"/>
        </w:rPr>
        <w:t xml:space="preserve"> cooperation essentially relate to (i) information exchange (which is the focus of the present proposal), and (ii) operational cross-border cooperation, the present proposal </w:t>
      </w:r>
      <w:r w:rsidRPr="00541F99">
        <w:rPr>
          <w:noProof/>
          <w:szCs w:val="24"/>
        </w:rPr>
        <w:t>w</w:t>
      </w:r>
      <w:r>
        <w:rPr>
          <w:noProof/>
          <w:szCs w:val="24"/>
        </w:rPr>
        <w:t xml:space="preserve">ill </w:t>
      </w:r>
      <w:r w:rsidRPr="00541F99">
        <w:rPr>
          <w:noProof/>
          <w:szCs w:val="24"/>
        </w:rPr>
        <w:t xml:space="preserve">form part of a coherent package with </w:t>
      </w:r>
      <w:r>
        <w:rPr>
          <w:noProof/>
          <w:szCs w:val="24"/>
        </w:rPr>
        <w:t xml:space="preserve">the </w:t>
      </w:r>
      <w:r w:rsidR="006A26F8">
        <w:rPr>
          <w:noProof/>
          <w:szCs w:val="24"/>
        </w:rPr>
        <w:t>accompanying</w:t>
      </w:r>
      <w:r w:rsidRPr="00541F99">
        <w:rPr>
          <w:noProof/>
          <w:szCs w:val="24"/>
        </w:rPr>
        <w:t xml:space="preserve"> </w:t>
      </w:r>
      <w:r>
        <w:rPr>
          <w:noProof/>
          <w:szCs w:val="24"/>
        </w:rPr>
        <w:t xml:space="preserve">proposal for a Council Recommendation on aspects of cross-border operational police cooperation. This package is complemented </w:t>
      </w:r>
      <w:r>
        <w:rPr>
          <w:noProof/>
          <w:szCs w:val="24"/>
          <w:lang w:eastAsia="en-GB"/>
        </w:rPr>
        <w:t xml:space="preserve">with the </w:t>
      </w:r>
      <w:r w:rsidR="00EA7539">
        <w:rPr>
          <w:noProof/>
          <w:szCs w:val="24"/>
          <w:lang w:eastAsia="en-GB"/>
        </w:rPr>
        <w:t>paral</w:t>
      </w:r>
      <w:r w:rsidR="001C294A">
        <w:rPr>
          <w:noProof/>
          <w:szCs w:val="24"/>
          <w:lang w:eastAsia="en-GB"/>
        </w:rPr>
        <w:t>l</w:t>
      </w:r>
      <w:r w:rsidR="00EA7539">
        <w:rPr>
          <w:noProof/>
          <w:szCs w:val="24"/>
          <w:lang w:eastAsia="en-GB"/>
        </w:rPr>
        <w:t xml:space="preserve">el </w:t>
      </w:r>
      <w:r w:rsidRPr="002B21E7">
        <w:rPr>
          <w:noProof/>
          <w:szCs w:val="24"/>
          <w:lang w:eastAsia="en-GB"/>
        </w:rPr>
        <w:t xml:space="preserve">proposal </w:t>
      </w:r>
      <w:r>
        <w:rPr>
          <w:noProof/>
          <w:szCs w:val="24"/>
          <w:lang w:eastAsia="en-GB"/>
        </w:rPr>
        <w:t xml:space="preserve">for a Regulation </w:t>
      </w:r>
      <w:r w:rsidRPr="002B21E7">
        <w:rPr>
          <w:noProof/>
          <w:szCs w:val="24"/>
          <w:lang w:eastAsia="en-GB"/>
        </w:rPr>
        <w:t xml:space="preserve">revising the Automated Data Exchange Mechanism for </w:t>
      </w:r>
      <w:r>
        <w:rPr>
          <w:noProof/>
          <w:szCs w:val="24"/>
          <w:lang w:eastAsia="en-GB"/>
        </w:rPr>
        <w:t>Police Cooperation ("Prüm II")</w:t>
      </w:r>
      <w:r w:rsidRPr="00541F99">
        <w:rPr>
          <w:noProof/>
          <w:szCs w:val="24"/>
        </w:rPr>
        <w:t>.</w:t>
      </w:r>
      <w:r w:rsidR="007D7B46">
        <w:rPr>
          <w:noProof/>
          <w:szCs w:val="24"/>
          <w:lang w:eastAsia="en-GB"/>
        </w:rPr>
        <w:t xml:space="preserve"> </w:t>
      </w:r>
      <w:r w:rsidR="00EA7539">
        <w:rPr>
          <w:noProof/>
          <w:szCs w:val="24"/>
          <w:lang w:eastAsia="en-GB"/>
        </w:rPr>
        <w:t xml:space="preserve">The "Prüm II" proposal will aim at strengthening the technical architecture of the Prüm exchange, broadening its scope of data categories and streamlining and accelarating its post-hit data exchange. </w:t>
      </w:r>
      <w:r w:rsidR="00EA7539">
        <w:rPr>
          <w:noProof/>
          <w:szCs w:val="24"/>
        </w:rPr>
        <w:t xml:space="preserve">The reinforced </w:t>
      </w:r>
      <w:r w:rsidR="00EA7539">
        <w:rPr>
          <w:noProof/>
          <w:szCs w:val="24"/>
          <w:lang w:eastAsia="en-GB"/>
        </w:rPr>
        <w:t>"Prüm II" proposal w</w:t>
      </w:r>
      <w:r w:rsidR="00EA7539">
        <w:rPr>
          <w:noProof/>
          <w:szCs w:val="24"/>
        </w:rPr>
        <w:t xml:space="preserve">ould provide specific rules and possibilities for the </w:t>
      </w:r>
      <w:r w:rsidR="00EA7539" w:rsidRPr="00787C11">
        <w:rPr>
          <w:b/>
          <w:noProof/>
          <w:szCs w:val="24"/>
        </w:rPr>
        <w:t>automated</w:t>
      </w:r>
      <w:r w:rsidR="00EA7539">
        <w:rPr>
          <w:noProof/>
          <w:szCs w:val="24"/>
        </w:rPr>
        <w:t xml:space="preserve"> exchange of specific – and particularly important – data categories </w:t>
      </w:r>
      <w:r w:rsidR="00EA7539" w:rsidRPr="00F44A63">
        <w:rPr>
          <w:noProof/>
          <w:szCs w:val="24"/>
        </w:rPr>
        <w:t>(</w:t>
      </w:r>
      <w:r w:rsidR="002D4EA0">
        <w:rPr>
          <w:noProof/>
          <w:szCs w:val="24"/>
        </w:rPr>
        <w:t>for example,</w:t>
      </w:r>
      <w:r w:rsidR="00EA7539" w:rsidRPr="00F44A63">
        <w:rPr>
          <w:noProof/>
          <w:szCs w:val="24"/>
        </w:rPr>
        <w:t xml:space="preserve"> fingerprints, DNA, facial images)</w:t>
      </w:r>
      <w:r w:rsidR="00EA7539">
        <w:rPr>
          <w:noProof/>
          <w:szCs w:val="24"/>
        </w:rPr>
        <w:t xml:space="preserve"> within the overall framework and general rules for general information exchange that this Directive will provide.</w:t>
      </w:r>
    </w:p>
    <w:p w14:paraId="4DCC168E" w14:textId="0B384BC0" w:rsidR="00EA7539" w:rsidRDefault="00AF44C3" w:rsidP="00AF44C3">
      <w:pPr>
        <w:spacing w:before="0"/>
        <w:rPr>
          <w:noProof/>
        </w:rPr>
      </w:pPr>
      <w:r w:rsidRPr="00541F99">
        <w:rPr>
          <w:noProof/>
          <w:szCs w:val="24"/>
        </w:rPr>
        <w:t xml:space="preserve">As an important measure to </w:t>
      </w:r>
      <w:r w:rsidRPr="004549DF">
        <w:rPr>
          <w:noProof/>
        </w:rPr>
        <w:t>enhance</w:t>
      </w:r>
      <w:r w:rsidRPr="00541F99">
        <w:rPr>
          <w:noProof/>
          <w:szCs w:val="24"/>
        </w:rPr>
        <w:t xml:space="preserve"> security within the EU, </w:t>
      </w:r>
      <w:r>
        <w:rPr>
          <w:noProof/>
          <w:szCs w:val="24"/>
        </w:rPr>
        <w:t xml:space="preserve">the present </w:t>
      </w:r>
      <w:r w:rsidRPr="00541F99">
        <w:rPr>
          <w:noProof/>
          <w:szCs w:val="24"/>
        </w:rPr>
        <w:t>proposal w</w:t>
      </w:r>
      <w:r>
        <w:rPr>
          <w:noProof/>
          <w:szCs w:val="24"/>
        </w:rPr>
        <w:t>ill</w:t>
      </w:r>
      <w:r w:rsidRPr="00541F99">
        <w:rPr>
          <w:noProof/>
          <w:szCs w:val="24"/>
        </w:rPr>
        <w:t xml:space="preserve"> also </w:t>
      </w:r>
      <w:r w:rsidRPr="00F439CA">
        <w:rPr>
          <w:noProof/>
        </w:rPr>
        <w:t>contribute</w:t>
      </w:r>
      <w:r w:rsidRPr="00541F99">
        <w:rPr>
          <w:noProof/>
          <w:szCs w:val="24"/>
        </w:rPr>
        <w:t xml:space="preserve"> to a fully functioning and resilient Schengen area as set out in the Schengen Strategy</w:t>
      </w:r>
      <w:r>
        <w:rPr>
          <w:noProof/>
          <w:szCs w:val="24"/>
        </w:rPr>
        <w:t xml:space="preserve">. </w:t>
      </w:r>
      <w:r>
        <w:rPr>
          <w:noProof/>
        </w:rPr>
        <w:t xml:space="preserve">This proposal is also in full coherence </w:t>
      </w:r>
      <w:r w:rsidRPr="002B21E7">
        <w:rPr>
          <w:noProof/>
          <w:szCs w:val="24"/>
          <w:lang w:eastAsia="en-GB"/>
        </w:rPr>
        <w:t>with the 2020 proposal revising the Europol mandate</w:t>
      </w:r>
      <w:r w:rsidR="002D5DA8">
        <w:rPr>
          <w:rStyle w:val="FootnoteReference0"/>
          <w:noProof/>
          <w:szCs w:val="24"/>
          <w:lang w:eastAsia="en-GB"/>
        </w:rPr>
        <w:footnoteReference w:id="29"/>
      </w:r>
      <w:r>
        <w:rPr>
          <w:noProof/>
          <w:szCs w:val="24"/>
          <w:lang w:eastAsia="en-GB"/>
        </w:rPr>
        <w:t xml:space="preserve"> with a view to strenghen</w:t>
      </w:r>
      <w:r w:rsidR="00625C71">
        <w:rPr>
          <w:noProof/>
          <w:szCs w:val="24"/>
          <w:lang w:eastAsia="en-GB"/>
        </w:rPr>
        <w:t>ing</w:t>
      </w:r>
      <w:r>
        <w:rPr>
          <w:noProof/>
          <w:szCs w:val="24"/>
          <w:lang w:eastAsia="en-GB"/>
        </w:rPr>
        <w:t xml:space="preserve"> the agency'</w:t>
      </w:r>
      <w:r w:rsidRPr="002B21E7">
        <w:rPr>
          <w:noProof/>
          <w:szCs w:val="24"/>
          <w:lang w:eastAsia="en-GB"/>
        </w:rPr>
        <w:t>s mandate on processin</w:t>
      </w:r>
      <w:r>
        <w:rPr>
          <w:noProof/>
          <w:szCs w:val="24"/>
          <w:lang w:eastAsia="en-GB"/>
        </w:rPr>
        <w:t>g large and complex datasets</w:t>
      </w:r>
      <w:r w:rsidR="002D5DA8">
        <w:rPr>
          <w:noProof/>
          <w:szCs w:val="24"/>
          <w:lang w:eastAsia="en-GB"/>
        </w:rPr>
        <w:t xml:space="preserve"> as well as with the </w:t>
      </w:r>
      <w:r w:rsidR="002D5DA8" w:rsidRPr="00F66FE5">
        <w:rPr>
          <w:noProof/>
          <w:szCs w:val="24"/>
          <w:shd w:val="clear" w:color="auto" w:fill="FFFFFF"/>
        </w:rPr>
        <w:t>European Production and Preservation Orders for electronic evidence in criminal matters</w:t>
      </w:r>
      <w:r w:rsidR="002D5DA8" w:rsidRPr="00F66FE5">
        <w:rPr>
          <w:rStyle w:val="FootnoteReference0"/>
          <w:noProof/>
          <w:szCs w:val="24"/>
        </w:rPr>
        <w:footnoteReference w:id="30"/>
      </w:r>
      <w:r>
        <w:rPr>
          <w:noProof/>
          <w:szCs w:val="24"/>
          <w:lang w:eastAsia="en-GB"/>
        </w:rPr>
        <w:t>.</w:t>
      </w:r>
      <w:r w:rsidR="00162545">
        <w:rPr>
          <w:noProof/>
          <w:szCs w:val="24"/>
          <w:lang w:eastAsia="en-GB"/>
        </w:rPr>
        <w:t xml:space="preserve"> </w:t>
      </w:r>
      <w:r w:rsidRPr="005530E1">
        <w:rPr>
          <w:noProof/>
          <w:szCs w:val="24"/>
          <w:lang w:eastAsia="en-GB"/>
        </w:rPr>
        <w:t>The proposal complements the legal framework</w:t>
      </w:r>
      <w:r w:rsidRPr="005530E1">
        <w:rPr>
          <w:rStyle w:val="FootnoteReference0"/>
          <w:noProof/>
          <w:szCs w:val="24"/>
          <w:lang w:eastAsia="en-GB"/>
        </w:rPr>
        <w:footnoteReference w:id="31"/>
      </w:r>
      <w:r w:rsidRPr="005530E1">
        <w:rPr>
          <w:noProof/>
          <w:szCs w:val="24"/>
          <w:lang w:eastAsia="en-GB"/>
        </w:rPr>
        <w:t xml:space="preserve"> on the exchange of information on alerts in the SIS through the SIRENE Bureaux. </w:t>
      </w:r>
      <w:r w:rsidR="00EA7539">
        <w:rPr>
          <w:noProof/>
          <w:szCs w:val="24"/>
        </w:rPr>
        <w:t xml:space="preserve">This proposal is without prejudice </w:t>
      </w:r>
      <w:r w:rsidR="004E02E4">
        <w:rPr>
          <w:noProof/>
          <w:szCs w:val="24"/>
        </w:rPr>
        <w:t xml:space="preserve">to all those other acts of Union law, as well as other ones such as </w:t>
      </w:r>
      <w:r w:rsidR="00EA7539" w:rsidRPr="00410899">
        <w:rPr>
          <w:noProof/>
        </w:rPr>
        <w:t>Directive 2019/1153 of 20 June 2019 laying down rules facilitating the use of financial and other information for the prevention, detection, investigation or prosecution of certain criminal offences, and repealing Council Decision 2000/642/JHA for the purpose of facilitating access to and the use of financial information and bank account information by competent authorities for the prevention, detection, investigation or prosecution of serious criminal offences</w:t>
      </w:r>
      <w:r w:rsidR="00EA7539" w:rsidRPr="004549DF">
        <w:rPr>
          <w:rStyle w:val="FootnoteReference0"/>
          <w:noProof/>
          <w:szCs w:val="24"/>
        </w:rPr>
        <w:footnoteReference w:id="32"/>
      </w:r>
      <w:r w:rsidR="00EA7539">
        <w:rPr>
          <w:noProof/>
        </w:rPr>
        <w:t>.</w:t>
      </w:r>
      <w:r w:rsidR="002D5DA8">
        <w:rPr>
          <w:noProof/>
        </w:rPr>
        <w:t xml:space="preserve"> </w:t>
      </w:r>
    </w:p>
    <w:p w14:paraId="3A25B99B" w14:textId="77777777" w:rsidR="00AF44C3" w:rsidRPr="002D5EE2" w:rsidRDefault="00AF44C3" w:rsidP="00AF44C3">
      <w:pPr>
        <w:pStyle w:val="ManualHeading2"/>
        <w:rPr>
          <w:rFonts w:eastAsia="Arial Unicode MS"/>
          <w:noProof/>
        </w:rPr>
      </w:pPr>
      <w:bookmarkStart w:id="6" w:name="_Toc85807190"/>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1D34A5">
        <w:rPr>
          <w:rFonts w:eastAsia="Arial Unicode MS"/>
          <w:noProof/>
        </w:rPr>
        <w:t>Consistency with other Union policies</w:t>
      </w:r>
      <w:bookmarkEnd w:id="6"/>
    </w:p>
    <w:p w14:paraId="544E512A" w14:textId="77777777" w:rsidR="00AF44C3" w:rsidRPr="000E7FA8" w:rsidRDefault="00AF44C3" w:rsidP="00AF44C3">
      <w:pPr>
        <w:pStyle w:val="Text1"/>
        <w:ind w:left="0"/>
        <w:rPr>
          <w:noProof/>
        </w:rPr>
      </w:pPr>
      <w:r>
        <w:rPr>
          <w:noProof/>
        </w:rPr>
        <w:t xml:space="preserve">The present proposal aims to </w:t>
      </w:r>
      <w:r w:rsidRPr="004549DF">
        <w:rPr>
          <w:noProof/>
        </w:rPr>
        <w:t>contribute</w:t>
      </w:r>
      <w:r>
        <w:rPr>
          <w:noProof/>
        </w:rPr>
        <w:t xml:space="preserve"> positively to </w:t>
      </w:r>
      <w:r w:rsidRPr="00541F99">
        <w:rPr>
          <w:noProof/>
          <w:szCs w:val="24"/>
        </w:rPr>
        <w:t>a fully functioning and resilient Schengen area</w:t>
      </w:r>
      <w:r>
        <w:rPr>
          <w:noProof/>
          <w:szCs w:val="24"/>
        </w:rPr>
        <w:t xml:space="preserve">, allowing </w:t>
      </w:r>
      <w:r>
        <w:rPr>
          <w:noProof/>
        </w:rPr>
        <w:t>more people to move freely, and goods and services to flow unhindered, which in turn contributes to the efficient functioning of the Single Market, and thus to the growth of the Union's economy. The present proposal is therefore fully consistent with other Union policies in the field of employment, transport, and ultimately economic growth in intra-EU border regions, but also across the entire EU.</w:t>
      </w:r>
    </w:p>
    <w:p w14:paraId="5B8C9AA3" w14:textId="77777777" w:rsidR="00AF44C3" w:rsidRPr="002D5EE2" w:rsidRDefault="00AF44C3" w:rsidP="00F66FE5">
      <w:pPr>
        <w:pStyle w:val="ManualHeading1"/>
        <w:spacing w:before="240"/>
        <w:ind w:left="851" w:hanging="851"/>
        <w:rPr>
          <w:noProof/>
        </w:rPr>
      </w:pPr>
      <w:bookmarkStart w:id="7" w:name="_Toc85807191"/>
      <w:r w:rsidRPr="002D5EE2">
        <w:rPr>
          <w:noProof/>
        </w:rPr>
        <w:t>2.</w:t>
      </w:r>
      <w:r w:rsidRPr="002D5EE2">
        <w:rPr>
          <w:noProof/>
        </w:rPr>
        <w:tab/>
        <w:t>LEGAL BASIS, SUBSIDIARITY AND PROPORTIONALITY</w:t>
      </w:r>
      <w:bookmarkEnd w:id="7"/>
    </w:p>
    <w:p w14:paraId="3C154C03" w14:textId="77777777" w:rsidR="00AF44C3" w:rsidRDefault="00AF44C3" w:rsidP="00AF44C3">
      <w:pPr>
        <w:pStyle w:val="ManualHeading2"/>
        <w:rPr>
          <w:rFonts w:eastAsia="Arial Unicode MS"/>
          <w:noProof/>
          <w:u w:color="000000"/>
          <w:bdr w:val="nil"/>
          <w:lang w:val="en-US" w:eastAsia="en-GB"/>
        </w:rPr>
      </w:pPr>
      <w:bookmarkStart w:id="8" w:name="_Toc85807192"/>
      <w:r w:rsidRPr="002D5EE2">
        <w:rPr>
          <w:rFonts w:eastAsia="Arial Unicode MS"/>
          <w:noProof/>
          <w:u w:color="000000"/>
          <w:bdr w:val="nil"/>
          <w:lang w:val="en-US" w:eastAsia="en-GB"/>
        </w:rPr>
        <w:t>•</w:t>
      </w:r>
      <w:r w:rsidRPr="002D5EE2">
        <w:rPr>
          <w:rFonts w:eastAsia="Arial Unicode MS"/>
          <w:noProof/>
          <w:u w:color="000000"/>
          <w:bdr w:val="nil"/>
          <w:lang w:val="en-US" w:eastAsia="en-GB"/>
        </w:rPr>
        <w:tab/>
      </w:r>
      <w:r w:rsidRPr="001D34A5">
        <w:rPr>
          <w:rFonts w:eastAsia="Arial Unicode MS"/>
          <w:noProof/>
          <w:u w:color="000000"/>
          <w:bdr w:val="nil"/>
          <w:lang w:val="en-US" w:eastAsia="en-GB"/>
        </w:rPr>
        <w:t>Legal basis</w:t>
      </w:r>
      <w:bookmarkEnd w:id="8"/>
    </w:p>
    <w:p w14:paraId="081F8C2D" w14:textId="1A503B9B" w:rsidR="00AF44C3" w:rsidRPr="004549DF" w:rsidRDefault="00AF44C3" w:rsidP="00F66FE5">
      <w:pPr>
        <w:spacing w:before="0"/>
        <w:rPr>
          <w:noProof/>
        </w:rPr>
      </w:pPr>
      <w:r w:rsidRPr="00D97208">
        <w:rPr>
          <w:noProof/>
          <w:szCs w:val="24"/>
        </w:rPr>
        <w:t xml:space="preserve">The legal basis for EU action in </w:t>
      </w:r>
      <w:r w:rsidRPr="004549DF">
        <w:rPr>
          <w:noProof/>
        </w:rPr>
        <w:t>the</w:t>
      </w:r>
      <w:r w:rsidRPr="00D97208">
        <w:rPr>
          <w:noProof/>
          <w:szCs w:val="24"/>
        </w:rPr>
        <w:t xml:space="preserve"> field of intra-EU law enforcement cooperation is Title V, Chapter 5 of the Treaty on the Functioning of the European Union (TFEU). Pursuant to Article 87 </w:t>
      </w:r>
      <w:r w:rsidRPr="004549DF">
        <w:rPr>
          <w:noProof/>
        </w:rPr>
        <w:t>TFEU:</w:t>
      </w:r>
      <w:r>
        <w:rPr>
          <w:noProof/>
          <w:szCs w:val="24"/>
        </w:rPr>
        <w:t xml:space="preserve"> "</w:t>
      </w:r>
      <w:r w:rsidRPr="00262BA9">
        <w:rPr>
          <w:i/>
          <w:noProof/>
          <w:szCs w:val="24"/>
        </w:rPr>
        <w:t>the Union shall establish police cooperation involving all the Member States' competent authorities, including police, customs and other specialised law enforcement services in relation to the prevention, detection and investigation of criminal offences</w:t>
      </w:r>
      <w:r>
        <w:rPr>
          <w:noProof/>
          <w:szCs w:val="24"/>
        </w:rPr>
        <w:t>"</w:t>
      </w:r>
      <w:r w:rsidRPr="00D97208">
        <w:rPr>
          <w:noProof/>
          <w:szCs w:val="24"/>
        </w:rPr>
        <w:t>.</w:t>
      </w:r>
      <w:r w:rsidR="00ED3FA7">
        <w:rPr>
          <w:noProof/>
          <w:lang w:eastAsia="en-GB"/>
        </w:rPr>
        <w:t xml:space="preserve"> </w:t>
      </w:r>
      <w:r>
        <w:rPr>
          <w:noProof/>
          <w:lang w:val="en-US" w:eastAsia="en-GB"/>
        </w:rPr>
        <w:t xml:space="preserve">More specifically, </w:t>
      </w:r>
      <w:r w:rsidRPr="004549DF">
        <w:rPr>
          <w:noProof/>
        </w:rPr>
        <w:t>Article</w:t>
      </w:r>
      <w:r>
        <w:rPr>
          <w:noProof/>
          <w:szCs w:val="24"/>
        </w:rPr>
        <w:t xml:space="preserve"> 87(2</w:t>
      </w:r>
      <w:r w:rsidRPr="00262BA9">
        <w:rPr>
          <w:noProof/>
          <w:szCs w:val="24"/>
        </w:rPr>
        <w:t>)</w:t>
      </w:r>
      <w:r>
        <w:rPr>
          <w:noProof/>
          <w:szCs w:val="24"/>
        </w:rPr>
        <w:t>(a)</w:t>
      </w:r>
      <w:r w:rsidRPr="00262BA9">
        <w:rPr>
          <w:noProof/>
          <w:szCs w:val="24"/>
        </w:rPr>
        <w:t xml:space="preserve"> </w:t>
      </w:r>
      <w:r>
        <w:rPr>
          <w:noProof/>
          <w:szCs w:val="24"/>
        </w:rPr>
        <w:t xml:space="preserve">TFEU relates to </w:t>
      </w:r>
      <w:r>
        <w:rPr>
          <w:noProof/>
          <w:lang w:val="en-US" w:eastAsia="en-GB"/>
        </w:rPr>
        <w:t>measures concerning the collection, storage, processing, analysis and exchange of information relevant for the prevention, detection and investigation of criminal offences. The present legal proposal is to be adopted according to the ordinary legislative procedure.</w:t>
      </w:r>
    </w:p>
    <w:p w14:paraId="3D515D7C" w14:textId="77777777" w:rsidR="00AF44C3" w:rsidRPr="002D5EE2" w:rsidRDefault="00AF44C3" w:rsidP="00AF44C3">
      <w:pPr>
        <w:pStyle w:val="ManualHeading2"/>
        <w:rPr>
          <w:rFonts w:eastAsia="Arial Unicode MS"/>
          <w:noProof/>
          <w:u w:color="000000"/>
          <w:bdr w:val="nil"/>
          <w:lang w:val="en-US" w:eastAsia="en-GB"/>
        </w:rPr>
      </w:pPr>
      <w:bookmarkStart w:id="9" w:name="_Toc85807193"/>
      <w:r w:rsidRPr="002D5EE2">
        <w:rPr>
          <w:rFonts w:eastAsia="Arial Unicode MS"/>
          <w:noProof/>
          <w:u w:color="000000"/>
          <w:bdr w:val="nil"/>
          <w:lang w:val="en-US" w:eastAsia="en-GB"/>
        </w:rPr>
        <w:t>•</w:t>
      </w:r>
      <w:r w:rsidRPr="002D5EE2">
        <w:rPr>
          <w:rFonts w:eastAsia="Arial Unicode MS"/>
          <w:noProof/>
          <w:u w:color="000000"/>
          <w:bdr w:val="nil"/>
          <w:lang w:val="en-US" w:eastAsia="en-GB"/>
        </w:rPr>
        <w:tab/>
      </w:r>
      <w:r w:rsidRPr="001D34A5">
        <w:rPr>
          <w:rFonts w:eastAsia="Arial Unicode MS"/>
          <w:noProof/>
          <w:u w:color="000000"/>
          <w:bdr w:val="nil"/>
          <w:lang w:val="en-US" w:eastAsia="en-GB"/>
        </w:rPr>
        <w:t>Subsidiarity (for non-exclusive competence)</w:t>
      </w:r>
      <w:bookmarkEnd w:id="9"/>
      <w:r w:rsidRPr="002D5EE2">
        <w:rPr>
          <w:rFonts w:eastAsia="Arial Unicode MS"/>
          <w:noProof/>
          <w:u w:color="000000"/>
          <w:bdr w:val="nil"/>
          <w:lang w:val="en-US" w:eastAsia="en-GB"/>
        </w:rPr>
        <w:t xml:space="preserve"> </w:t>
      </w:r>
    </w:p>
    <w:p w14:paraId="39C21DE1" w14:textId="64A26B63" w:rsidR="00AF44C3" w:rsidRDefault="00AF44C3" w:rsidP="00D13009">
      <w:pPr>
        <w:rPr>
          <w:noProof/>
          <w:szCs w:val="24"/>
        </w:rPr>
      </w:pPr>
      <w:r w:rsidRPr="002D72CD">
        <w:rPr>
          <w:noProof/>
          <w:szCs w:val="24"/>
        </w:rPr>
        <w:t xml:space="preserve">EU action is needed to properly </w:t>
      </w:r>
      <w:r w:rsidRPr="004549DF">
        <w:rPr>
          <w:noProof/>
        </w:rPr>
        <w:t>address</w:t>
      </w:r>
      <w:r w:rsidRPr="002D72CD">
        <w:rPr>
          <w:noProof/>
          <w:szCs w:val="24"/>
        </w:rPr>
        <w:t xml:space="preserve"> the problems </w:t>
      </w:r>
      <w:r>
        <w:rPr>
          <w:noProof/>
          <w:szCs w:val="24"/>
        </w:rPr>
        <w:t xml:space="preserve">identified </w:t>
      </w:r>
      <w:r w:rsidRPr="002D72CD">
        <w:rPr>
          <w:noProof/>
          <w:szCs w:val="24"/>
        </w:rPr>
        <w:t>in the first section of th</w:t>
      </w:r>
      <w:r w:rsidR="00280118">
        <w:rPr>
          <w:noProof/>
          <w:szCs w:val="24"/>
        </w:rPr>
        <w:t>is</w:t>
      </w:r>
      <w:r w:rsidR="004E02E4">
        <w:rPr>
          <w:noProof/>
          <w:szCs w:val="24"/>
        </w:rPr>
        <w:t xml:space="preserve"> explanatory memorandum</w:t>
      </w:r>
      <w:r>
        <w:rPr>
          <w:noProof/>
          <w:szCs w:val="24"/>
        </w:rPr>
        <w:t xml:space="preserve">. </w:t>
      </w:r>
      <w:r w:rsidRPr="00C67F82">
        <w:rPr>
          <w:noProof/>
          <w:szCs w:val="24"/>
        </w:rPr>
        <w:t>The objective of improving information flows between relevant law enforceme</w:t>
      </w:r>
      <w:r>
        <w:rPr>
          <w:noProof/>
          <w:szCs w:val="24"/>
        </w:rPr>
        <w:t>nt authorities and with Europol</w:t>
      </w:r>
      <w:r w:rsidRPr="00C67F82">
        <w:rPr>
          <w:noProof/>
          <w:szCs w:val="24"/>
        </w:rPr>
        <w:t xml:space="preserve"> cannot be sufficiently achieved by the Member States acting alone. Owing to the cross-border nature of crime</w:t>
      </w:r>
      <w:r w:rsidR="00EC78C4">
        <w:rPr>
          <w:noProof/>
          <w:szCs w:val="24"/>
        </w:rPr>
        <w:t xml:space="preserve"> and terrorism</w:t>
      </w:r>
      <w:r w:rsidRPr="00C67F82">
        <w:rPr>
          <w:noProof/>
          <w:szCs w:val="24"/>
        </w:rPr>
        <w:t>, the Member States are o</w:t>
      </w:r>
      <w:r>
        <w:rPr>
          <w:noProof/>
          <w:szCs w:val="24"/>
        </w:rPr>
        <w:t>bliged to rely on one another. Hence, the establishment of common rules for the exchange of information can be better achieved at the</w:t>
      </w:r>
      <w:r w:rsidRPr="00C67F82">
        <w:rPr>
          <w:noProof/>
          <w:szCs w:val="24"/>
        </w:rPr>
        <w:t xml:space="preserve"> Union </w:t>
      </w:r>
      <w:r>
        <w:rPr>
          <w:noProof/>
          <w:szCs w:val="24"/>
        </w:rPr>
        <w:t>level</w:t>
      </w:r>
      <w:r w:rsidRPr="00C67F82">
        <w:rPr>
          <w:noProof/>
          <w:szCs w:val="24"/>
        </w:rPr>
        <w:t>.</w:t>
      </w:r>
      <w:r w:rsidR="0019051C">
        <w:rPr>
          <w:noProof/>
          <w:szCs w:val="24"/>
        </w:rPr>
        <w:t xml:space="preserve"> </w:t>
      </w:r>
      <w:r w:rsidRPr="00734763">
        <w:rPr>
          <w:noProof/>
          <w:szCs w:val="24"/>
        </w:rPr>
        <w:t>Despite</w:t>
      </w:r>
      <w:r w:rsidRPr="00734763">
        <w:rPr>
          <w:b/>
          <w:bCs/>
          <w:noProof/>
          <w:szCs w:val="24"/>
        </w:rPr>
        <w:t xml:space="preserve"> </w:t>
      </w:r>
      <w:r w:rsidRPr="00734763">
        <w:rPr>
          <w:noProof/>
          <w:szCs w:val="24"/>
        </w:rPr>
        <w:t xml:space="preserve">the existence of a number of </w:t>
      </w:r>
      <w:r>
        <w:rPr>
          <w:noProof/>
          <w:szCs w:val="24"/>
        </w:rPr>
        <w:t xml:space="preserve">national </w:t>
      </w:r>
      <w:r w:rsidRPr="00734763">
        <w:rPr>
          <w:noProof/>
          <w:szCs w:val="24"/>
        </w:rPr>
        <w:t xml:space="preserve">and regional measures in place, </w:t>
      </w:r>
      <w:r w:rsidRPr="000A72D7">
        <w:rPr>
          <w:noProof/>
          <w:szCs w:val="24"/>
        </w:rPr>
        <w:t xml:space="preserve">Member States alone would not be able to </w:t>
      </w:r>
      <w:r>
        <w:rPr>
          <w:noProof/>
          <w:szCs w:val="24"/>
        </w:rPr>
        <w:t xml:space="preserve">ensure the full implementation of the principles of availability and of equivalent access to information. </w:t>
      </w:r>
      <w:r w:rsidR="00FD0300">
        <w:rPr>
          <w:noProof/>
          <w:szCs w:val="24"/>
        </w:rPr>
        <w:t xml:space="preserve">If acting alone and on the basis of national schemes, </w:t>
      </w:r>
      <w:r>
        <w:rPr>
          <w:noProof/>
          <w:szCs w:val="24"/>
        </w:rPr>
        <w:t xml:space="preserve">Member States would not </w:t>
      </w:r>
      <w:r w:rsidRPr="000A72D7">
        <w:rPr>
          <w:noProof/>
          <w:szCs w:val="24"/>
        </w:rPr>
        <w:t xml:space="preserve">overcome current differences among </w:t>
      </w:r>
      <w:r w:rsidR="002D4EA0">
        <w:rPr>
          <w:noProof/>
          <w:szCs w:val="24"/>
        </w:rPr>
        <w:t xml:space="preserve">Single Points of </w:t>
      </w:r>
      <w:r w:rsidR="002D4EA0" w:rsidRPr="00476DB7">
        <w:rPr>
          <w:noProof/>
          <w:szCs w:val="24"/>
        </w:rPr>
        <w:t>Contact</w:t>
      </w:r>
      <w:r w:rsidR="009A3828">
        <w:rPr>
          <w:noProof/>
          <w:szCs w:val="24"/>
        </w:rPr>
        <w:t>,</w:t>
      </w:r>
      <w:r w:rsidR="009A3828" w:rsidRPr="000A72D7">
        <w:rPr>
          <w:noProof/>
          <w:szCs w:val="24"/>
        </w:rPr>
        <w:t xml:space="preserve"> </w:t>
      </w:r>
      <w:r w:rsidRPr="000A72D7">
        <w:rPr>
          <w:noProof/>
          <w:szCs w:val="24"/>
        </w:rPr>
        <w:t xml:space="preserve">which hinder the </w:t>
      </w:r>
      <w:r>
        <w:rPr>
          <w:noProof/>
          <w:szCs w:val="24"/>
        </w:rPr>
        <w:t xml:space="preserve">efficient and effective </w:t>
      </w:r>
      <w:r w:rsidRPr="000A72D7">
        <w:rPr>
          <w:noProof/>
          <w:szCs w:val="24"/>
        </w:rPr>
        <w:t xml:space="preserve">exchange of relevant information across </w:t>
      </w:r>
      <w:r w:rsidR="004E02E4">
        <w:rPr>
          <w:noProof/>
          <w:szCs w:val="24"/>
        </w:rPr>
        <w:t>borders</w:t>
      </w:r>
      <w:r>
        <w:rPr>
          <w:noProof/>
          <w:szCs w:val="24"/>
        </w:rPr>
        <w:t xml:space="preserve">. They would not </w:t>
      </w:r>
      <w:r w:rsidRPr="000A72D7">
        <w:rPr>
          <w:noProof/>
          <w:szCs w:val="24"/>
        </w:rPr>
        <w:t xml:space="preserve">ensure </w:t>
      </w:r>
      <w:r>
        <w:rPr>
          <w:noProof/>
          <w:szCs w:val="24"/>
        </w:rPr>
        <w:t xml:space="preserve">an </w:t>
      </w:r>
      <w:r w:rsidRPr="000A72D7">
        <w:rPr>
          <w:noProof/>
          <w:szCs w:val="24"/>
        </w:rPr>
        <w:t>appropriate and uniform level of knowledge of</w:t>
      </w:r>
      <w:r>
        <w:rPr>
          <w:noProof/>
          <w:szCs w:val="24"/>
        </w:rPr>
        <w:t>,</w:t>
      </w:r>
      <w:r w:rsidRPr="000A72D7">
        <w:rPr>
          <w:noProof/>
          <w:szCs w:val="24"/>
        </w:rPr>
        <w:t xml:space="preserve"> and capacity </w:t>
      </w:r>
      <w:r>
        <w:rPr>
          <w:noProof/>
          <w:szCs w:val="24"/>
        </w:rPr>
        <w:t xml:space="preserve">in, the </w:t>
      </w:r>
      <w:r w:rsidRPr="000A72D7">
        <w:rPr>
          <w:noProof/>
          <w:szCs w:val="24"/>
        </w:rPr>
        <w:t xml:space="preserve">use </w:t>
      </w:r>
      <w:r>
        <w:rPr>
          <w:noProof/>
          <w:szCs w:val="24"/>
        </w:rPr>
        <w:t xml:space="preserve">of </w:t>
      </w:r>
      <w:r w:rsidRPr="000A72D7">
        <w:rPr>
          <w:noProof/>
          <w:szCs w:val="24"/>
        </w:rPr>
        <w:t>relevant databases</w:t>
      </w:r>
      <w:r>
        <w:rPr>
          <w:noProof/>
          <w:szCs w:val="24"/>
        </w:rPr>
        <w:t xml:space="preserve"> and communication channels.</w:t>
      </w:r>
    </w:p>
    <w:p w14:paraId="6074E157" w14:textId="70AA7843" w:rsidR="00CD707D" w:rsidRPr="00D13009" w:rsidRDefault="00AF44C3" w:rsidP="00AF44C3">
      <w:pPr>
        <w:pStyle w:val="Body"/>
        <w:rPr>
          <w:rFonts w:ascii="Times New Roman" w:hAnsi="Times New Roman"/>
          <w:noProof/>
          <w:sz w:val="32"/>
          <w:szCs w:val="24"/>
        </w:rPr>
      </w:pPr>
      <w:r>
        <w:rPr>
          <w:rFonts w:ascii="Times New Roman" w:hAnsi="Times New Roman"/>
          <w:noProof/>
          <w:sz w:val="24"/>
          <w:szCs w:val="24"/>
        </w:rPr>
        <w:t>T</w:t>
      </w:r>
      <w:r w:rsidRPr="0025324E">
        <w:rPr>
          <w:rFonts w:ascii="Times New Roman" w:hAnsi="Times New Roman"/>
          <w:noProof/>
          <w:sz w:val="24"/>
          <w:szCs w:val="24"/>
        </w:rPr>
        <w:t xml:space="preserve">he EU is better equipped than individual Member States </w:t>
      </w:r>
      <w:r>
        <w:rPr>
          <w:rFonts w:ascii="Times New Roman" w:hAnsi="Times New Roman"/>
          <w:noProof/>
          <w:sz w:val="24"/>
          <w:szCs w:val="24"/>
        </w:rPr>
        <w:t>t</w:t>
      </w:r>
      <w:r w:rsidRPr="0025324E">
        <w:rPr>
          <w:rFonts w:ascii="Times New Roman" w:hAnsi="Times New Roman"/>
          <w:noProof/>
          <w:sz w:val="24"/>
          <w:szCs w:val="24"/>
        </w:rPr>
        <w:t xml:space="preserve">o ensure the coherence of actions taken at national level, address the </w:t>
      </w:r>
      <w:r>
        <w:rPr>
          <w:rFonts w:ascii="Times New Roman" w:hAnsi="Times New Roman"/>
          <w:noProof/>
          <w:sz w:val="24"/>
          <w:szCs w:val="24"/>
        </w:rPr>
        <w:t xml:space="preserve">divergence of </w:t>
      </w:r>
      <w:r w:rsidR="00FD0300">
        <w:rPr>
          <w:rFonts w:ascii="Times New Roman" w:hAnsi="Times New Roman"/>
          <w:noProof/>
          <w:sz w:val="24"/>
          <w:szCs w:val="24"/>
        </w:rPr>
        <w:t xml:space="preserve">national </w:t>
      </w:r>
      <w:r>
        <w:rPr>
          <w:rFonts w:ascii="Times New Roman" w:hAnsi="Times New Roman"/>
          <w:noProof/>
          <w:sz w:val="24"/>
          <w:szCs w:val="24"/>
        </w:rPr>
        <w:t>practices</w:t>
      </w:r>
      <w:r w:rsidRPr="0025324E">
        <w:rPr>
          <w:rFonts w:ascii="Times New Roman" w:hAnsi="Times New Roman"/>
          <w:noProof/>
          <w:sz w:val="24"/>
          <w:szCs w:val="24"/>
        </w:rPr>
        <w:t>, prevent duplications</w:t>
      </w:r>
      <w:r w:rsidR="00FD0300">
        <w:rPr>
          <w:rFonts w:ascii="Times New Roman" w:hAnsi="Times New Roman"/>
          <w:noProof/>
          <w:sz w:val="24"/>
          <w:szCs w:val="24"/>
        </w:rPr>
        <w:t>, overlaps</w:t>
      </w:r>
      <w:r w:rsidRPr="0025324E">
        <w:rPr>
          <w:rFonts w:ascii="Times New Roman" w:hAnsi="Times New Roman"/>
          <w:noProof/>
          <w:sz w:val="24"/>
          <w:szCs w:val="24"/>
        </w:rPr>
        <w:t xml:space="preserve"> and uncertainties and eventually </w:t>
      </w:r>
      <w:r w:rsidR="00FD0300">
        <w:rPr>
          <w:rFonts w:ascii="Times New Roman" w:hAnsi="Times New Roman"/>
          <w:noProof/>
          <w:sz w:val="24"/>
          <w:szCs w:val="24"/>
        </w:rPr>
        <w:t xml:space="preserve">facilitate </w:t>
      </w:r>
      <w:r w:rsidRPr="0025324E">
        <w:rPr>
          <w:rFonts w:ascii="Times New Roman" w:hAnsi="Times New Roman"/>
          <w:noProof/>
          <w:sz w:val="24"/>
          <w:szCs w:val="24"/>
        </w:rPr>
        <w:t xml:space="preserve">an efficient counter-action to cross-border </w:t>
      </w:r>
      <w:r w:rsidRPr="00EC78C4">
        <w:rPr>
          <w:rFonts w:ascii="Times New Roman" w:hAnsi="Times New Roman"/>
          <w:noProof/>
          <w:sz w:val="24"/>
          <w:szCs w:val="24"/>
        </w:rPr>
        <w:t>crime</w:t>
      </w:r>
      <w:r w:rsidR="00EC78C4" w:rsidRPr="00EC78C4">
        <w:rPr>
          <w:rFonts w:ascii="Times New Roman" w:hAnsi="Times New Roman"/>
          <w:noProof/>
          <w:sz w:val="24"/>
          <w:szCs w:val="24"/>
        </w:rPr>
        <w:t xml:space="preserve"> </w:t>
      </w:r>
      <w:r w:rsidR="00EC78C4" w:rsidRPr="00F66FE5">
        <w:rPr>
          <w:rFonts w:ascii="Times New Roman" w:hAnsi="Times New Roman"/>
          <w:noProof/>
          <w:sz w:val="24"/>
          <w:szCs w:val="24"/>
        </w:rPr>
        <w:t>and terrorism</w:t>
      </w:r>
      <w:r>
        <w:rPr>
          <w:rFonts w:ascii="Times New Roman" w:hAnsi="Times New Roman"/>
          <w:noProof/>
          <w:sz w:val="24"/>
          <w:szCs w:val="24"/>
        </w:rPr>
        <w:t xml:space="preserve">. </w:t>
      </w:r>
      <w:r w:rsidRPr="004A0F2A">
        <w:rPr>
          <w:rFonts w:ascii="Times New Roman" w:hAnsi="Times New Roman"/>
          <w:noProof/>
          <w:sz w:val="24"/>
          <w:szCs w:val="24"/>
        </w:rPr>
        <w:t>EU action</w:t>
      </w:r>
      <w:r>
        <w:rPr>
          <w:rFonts w:ascii="Times New Roman" w:hAnsi="Times New Roman"/>
          <w:noProof/>
          <w:sz w:val="24"/>
          <w:szCs w:val="24"/>
        </w:rPr>
        <w:t>,</w:t>
      </w:r>
      <w:r w:rsidRPr="004A0F2A">
        <w:rPr>
          <w:rFonts w:ascii="Times New Roman" w:hAnsi="Times New Roman"/>
          <w:noProof/>
          <w:sz w:val="24"/>
          <w:szCs w:val="24"/>
        </w:rPr>
        <w:t xml:space="preserve"> in response to the identified problems</w:t>
      </w:r>
      <w:r>
        <w:rPr>
          <w:rFonts w:ascii="Times New Roman" w:hAnsi="Times New Roman"/>
          <w:noProof/>
          <w:sz w:val="24"/>
          <w:szCs w:val="24"/>
        </w:rPr>
        <w:t>,</w:t>
      </w:r>
      <w:r w:rsidRPr="004A0F2A">
        <w:rPr>
          <w:rFonts w:ascii="Times New Roman" w:hAnsi="Times New Roman"/>
          <w:noProof/>
          <w:sz w:val="24"/>
          <w:szCs w:val="24"/>
        </w:rPr>
        <w:t xml:space="preserve"> is expected to bring added value for the entire EU, and therefore to its citizens</w:t>
      </w:r>
      <w:r>
        <w:rPr>
          <w:rFonts w:ascii="Times New Roman" w:hAnsi="Times New Roman"/>
          <w:noProof/>
          <w:sz w:val="24"/>
          <w:szCs w:val="24"/>
        </w:rPr>
        <w:t>,</w:t>
      </w:r>
      <w:r w:rsidRPr="004A0F2A">
        <w:rPr>
          <w:rFonts w:ascii="Times New Roman" w:hAnsi="Times New Roman"/>
          <w:noProof/>
          <w:sz w:val="24"/>
          <w:szCs w:val="24"/>
        </w:rPr>
        <w:t xml:space="preserve"> </w:t>
      </w:r>
      <w:r w:rsidR="00FD0300">
        <w:rPr>
          <w:rFonts w:ascii="Times New Roman" w:hAnsi="Times New Roman"/>
          <w:noProof/>
          <w:sz w:val="24"/>
          <w:szCs w:val="24"/>
        </w:rPr>
        <w:t xml:space="preserve">as it will render more resilient and robust the Schengen area, </w:t>
      </w:r>
      <w:r w:rsidRPr="004A0F2A">
        <w:rPr>
          <w:rFonts w:ascii="Times New Roman" w:hAnsi="Times New Roman"/>
          <w:noProof/>
          <w:sz w:val="24"/>
          <w:szCs w:val="24"/>
        </w:rPr>
        <w:t>with a ripple effect on Schengen Associated Countries</w:t>
      </w:r>
      <w:r w:rsidR="00FD0300">
        <w:rPr>
          <w:rStyle w:val="FootnoteReference0"/>
          <w:rFonts w:ascii="Times New Roman" w:hAnsi="Times New Roman"/>
          <w:noProof/>
          <w:sz w:val="24"/>
          <w:szCs w:val="24"/>
        </w:rPr>
        <w:footnoteReference w:id="33"/>
      </w:r>
      <w:r w:rsidRPr="004A0F2A">
        <w:rPr>
          <w:rFonts w:ascii="Times New Roman" w:hAnsi="Times New Roman"/>
          <w:noProof/>
          <w:sz w:val="24"/>
          <w:szCs w:val="24"/>
        </w:rPr>
        <w:t>. Common EU level rules, standards and requirements facilitating information exchange on cross-border crime between law enforcement authorities will generate significant economies of scale while ensuring high-level data security and data protection standards.</w:t>
      </w:r>
      <w:r w:rsidRPr="00C2286A">
        <w:rPr>
          <w:rFonts w:eastAsia="Arial Unicode MS"/>
          <w:noProof/>
        </w:rPr>
        <w:t xml:space="preserve"> </w:t>
      </w:r>
    </w:p>
    <w:p w14:paraId="0252B3D1" w14:textId="322271A6" w:rsidR="00AF44C3" w:rsidRPr="006D1D9D" w:rsidRDefault="00AF44C3" w:rsidP="00CB7D21">
      <w:pPr>
        <w:pStyle w:val="Body"/>
        <w:rPr>
          <w:rFonts w:eastAsia="Arial Unicode MS"/>
          <w:noProof/>
        </w:rPr>
      </w:pPr>
      <w:r w:rsidRPr="00CB7D21">
        <w:rPr>
          <w:rFonts w:ascii="Times New Roman" w:eastAsia="Arial Unicode MS" w:hAnsi="Times New Roman"/>
          <w:noProof/>
          <w:sz w:val="24"/>
        </w:rPr>
        <w:t>Law enforcement cooperation at EU level does not replace national policies on internal security. It does not substitute the work of national law enforcement authorities. Instead, EU level action supports and reinforces national security poli</w:t>
      </w:r>
      <w:r w:rsidRPr="002576BD">
        <w:rPr>
          <w:rFonts w:ascii="Times New Roman" w:eastAsia="Arial Unicode MS" w:hAnsi="Times New Roman"/>
          <w:noProof/>
          <w:sz w:val="24"/>
        </w:rPr>
        <w:t xml:space="preserve">cies and the work of national law enforcement authorities against cross-border crime and terrorism. </w:t>
      </w:r>
    </w:p>
    <w:p w14:paraId="39C91C5D" w14:textId="77777777" w:rsidR="00AF44C3" w:rsidRPr="0080088C" w:rsidRDefault="00AF44C3" w:rsidP="00AF44C3">
      <w:pPr>
        <w:pStyle w:val="ManualHeading2"/>
        <w:rPr>
          <w:rFonts w:eastAsia="Arial Unicode MS"/>
          <w:noProof/>
          <w:u w:color="000000"/>
          <w:bdr w:val="nil"/>
          <w:lang w:val="en-US" w:eastAsia="en-GB"/>
        </w:rPr>
      </w:pPr>
      <w:bookmarkStart w:id="10" w:name="_Toc85807194"/>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1D34A5">
        <w:rPr>
          <w:rFonts w:eastAsia="Arial Unicode MS"/>
          <w:noProof/>
          <w:u w:color="000000"/>
          <w:bdr w:val="nil"/>
          <w:lang w:val="en-US" w:eastAsia="en-GB"/>
        </w:rPr>
        <w:t>Proportionality</w:t>
      </w:r>
      <w:bookmarkEnd w:id="10"/>
    </w:p>
    <w:p w14:paraId="27468676" w14:textId="66E92F27" w:rsidR="00AF44C3" w:rsidRDefault="00AF44C3" w:rsidP="00D72765">
      <w:pPr>
        <w:pBdr>
          <w:top w:val="nil"/>
          <w:left w:val="nil"/>
          <w:bottom w:val="nil"/>
          <w:right w:val="nil"/>
          <w:between w:val="nil"/>
          <w:bar w:val="nil"/>
        </w:pBdr>
        <w:spacing w:before="0"/>
        <w:rPr>
          <w:rFonts w:eastAsia="Arial Unicode MS"/>
          <w:noProof/>
        </w:rPr>
      </w:pPr>
      <w:r w:rsidRPr="004549DF">
        <w:rPr>
          <w:noProof/>
        </w:rPr>
        <w:t xml:space="preserve">The present proposal </w:t>
      </w:r>
      <w:r w:rsidRPr="00412186">
        <w:rPr>
          <w:rFonts w:eastAsia="Arial Unicode MS"/>
          <w:noProof/>
        </w:rPr>
        <w:t xml:space="preserve">aims </w:t>
      </w:r>
      <w:r>
        <w:rPr>
          <w:rFonts w:eastAsia="Arial Unicode MS"/>
          <w:noProof/>
        </w:rPr>
        <w:t xml:space="preserve">to consolidate the EU legal framework in a single legal instrument </w:t>
      </w:r>
      <w:r w:rsidRPr="00412186">
        <w:rPr>
          <w:rFonts w:eastAsia="Arial Unicode MS"/>
          <w:noProof/>
        </w:rPr>
        <w:t xml:space="preserve">on information exchange </w:t>
      </w:r>
      <w:r>
        <w:rPr>
          <w:rFonts w:eastAsia="Arial Unicode MS"/>
          <w:noProof/>
        </w:rPr>
        <w:t xml:space="preserve">through the </w:t>
      </w:r>
      <w:r w:rsidR="0047326A">
        <w:rPr>
          <w:rFonts w:eastAsia="Arial Unicode MS"/>
          <w:noProof/>
        </w:rPr>
        <w:t>'</w:t>
      </w:r>
      <w:r>
        <w:rPr>
          <w:rFonts w:eastAsia="Arial Unicode MS"/>
          <w:noProof/>
        </w:rPr>
        <w:t>lisbonisation</w:t>
      </w:r>
      <w:r w:rsidR="0047326A">
        <w:rPr>
          <w:rFonts w:eastAsia="Arial Unicode MS"/>
          <w:noProof/>
        </w:rPr>
        <w:t>'</w:t>
      </w:r>
      <w:r>
        <w:rPr>
          <w:rFonts w:eastAsia="Arial Unicode MS"/>
          <w:noProof/>
        </w:rPr>
        <w:t xml:space="preserve"> of the </w:t>
      </w:r>
      <w:r w:rsidR="00EC78C4">
        <w:rPr>
          <w:noProof/>
        </w:rPr>
        <w:t>Swedish Framework Decision</w:t>
      </w:r>
      <w:r>
        <w:rPr>
          <w:rFonts w:eastAsia="Arial Unicode MS"/>
          <w:noProof/>
        </w:rPr>
        <w:t xml:space="preserve">. It also </w:t>
      </w:r>
      <w:r w:rsidRPr="004549DF">
        <w:rPr>
          <w:noProof/>
        </w:rPr>
        <w:t xml:space="preserve">contains provisions </w:t>
      </w:r>
      <w:r w:rsidRPr="00412186">
        <w:rPr>
          <w:rFonts w:eastAsia="Arial Unicode MS"/>
          <w:noProof/>
        </w:rPr>
        <w:t>stem</w:t>
      </w:r>
      <w:r>
        <w:rPr>
          <w:rFonts w:eastAsia="Arial Unicode MS"/>
          <w:noProof/>
        </w:rPr>
        <w:t>ming</w:t>
      </w:r>
      <w:r w:rsidRPr="00412186">
        <w:rPr>
          <w:rFonts w:eastAsia="Arial Unicode MS"/>
          <w:noProof/>
        </w:rPr>
        <w:t xml:space="preserve"> from a set of </w:t>
      </w:r>
      <w:r>
        <w:rPr>
          <w:rFonts w:eastAsia="Arial Unicode MS"/>
          <w:noProof/>
        </w:rPr>
        <w:t xml:space="preserve">Council </w:t>
      </w:r>
      <w:r w:rsidRPr="00412186">
        <w:rPr>
          <w:rFonts w:eastAsia="Arial Unicode MS"/>
          <w:noProof/>
        </w:rPr>
        <w:t xml:space="preserve">non-binding </w:t>
      </w:r>
      <w:r>
        <w:rPr>
          <w:rFonts w:eastAsia="Arial Unicode MS"/>
          <w:noProof/>
        </w:rPr>
        <w:t xml:space="preserve">guidelines adopted </w:t>
      </w:r>
      <w:r w:rsidRPr="00412186">
        <w:rPr>
          <w:rFonts w:eastAsia="Arial Unicode MS"/>
          <w:noProof/>
        </w:rPr>
        <w:t>over the past 15 years.</w:t>
      </w:r>
      <w:r w:rsidR="00B542A3">
        <w:rPr>
          <w:rFonts w:eastAsia="Arial Unicode MS"/>
          <w:noProof/>
        </w:rPr>
        <w:t xml:space="preserve"> </w:t>
      </w:r>
      <w:r>
        <w:rPr>
          <w:rFonts w:eastAsia="Arial Unicode MS"/>
          <w:noProof/>
        </w:rPr>
        <w:t>Considering the call of the co-legislator and the willingness expressed</w:t>
      </w:r>
      <w:r w:rsidRPr="004549DF">
        <w:rPr>
          <w:noProof/>
        </w:rPr>
        <w:t xml:space="preserve"> by Member States in the consultation phase</w:t>
      </w:r>
      <w:r>
        <w:rPr>
          <w:rFonts w:eastAsia="Arial Unicode MS"/>
          <w:noProof/>
        </w:rPr>
        <w:t>, this proposal for a Directive</w:t>
      </w:r>
      <w:r w:rsidRPr="006F20A4">
        <w:rPr>
          <w:rFonts w:eastAsia="Arial Unicode MS"/>
          <w:noProof/>
        </w:rPr>
        <w:t xml:space="preserve"> </w:t>
      </w:r>
      <w:r>
        <w:rPr>
          <w:rFonts w:eastAsia="Arial Unicode MS"/>
          <w:noProof/>
        </w:rPr>
        <w:t>addresses</w:t>
      </w:r>
      <w:r w:rsidRPr="00385DFD">
        <w:rPr>
          <w:rFonts w:eastAsia="Arial Unicode MS"/>
          <w:noProof/>
        </w:rPr>
        <w:t xml:space="preserve"> the identified problem</w:t>
      </w:r>
      <w:r>
        <w:rPr>
          <w:rFonts w:eastAsia="Arial Unicode MS"/>
          <w:noProof/>
        </w:rPr>
        <w:t xml:space="preserve">s without going </w:t>
      </w:r>
      <w:r w:rsidRPr="00385DFD">
        <w:rPr>
          <w:rFonts w:eastAsia="Arial Unicode MS"/>
          <w:noProof/>
        </w:rPr>
        <w:t xml:space="preserve">beyond what is </w:t>
      </w:r>
      <w:r>
        <w:rPr>
          <w:rFonts w:eastAsia="Arial Unicode MS"/>
          <w:noProof/>
        </w:rPr>
        <w:t xml:space="preserve">strictly </w:t>
      </w:r>
      <w:r w:rsidRPr="00385DFD">
        <w:rPr>
          <w:rFonts w:eastAsia="Arial Unicode MS"/>
          <w:noProof/>
        </w:rPr>
        <w:t xml:space="preserve">necessary to achieve </w:t>
      </w:r>
      <w:r>
        <w:rPr>
          <w:rFonts w:eastAsia="Arial Unicode MS"/>
          <w:noProof/>
        </w:rPr>
        <w:t xml:space="preserve">the </w:t>
      </w:r>
      <w:r w:rsidRPr="00385DFD">
        <w:rPr>
          <w:rFonts w:eastAsia="Arial Unicode MS"/>
          <w:noProof/>
        </w:rPr>
        <w:t>objective</w:t>
      </w:r>
      <w:r>
        <w:rPr>
          <w:rFonts w:eastAsia="Arial Unicode MS"/>
          <w:noProof/>
        </w:rPr>
        <w:t xml:space="preserve"> of ensuring effective and efficient information flows between Member States.</w:t>
      </w:r>
    </w:p>
    <w:p w14:paraId="57A1252C" w14:textId="77777777" w:rsidR="00AF44C3" w:rsidRDefault="00AF44C3" w:rsidP="00AF44C3">
      <w:pPr>
        <w:pStyle w:val="ManualHeading2"/>
        <w:rPr>
          <w:rFonts w:eastAsia="Arial Unicode MS"/>
          <w:noProof/>
          <w:u w:color="000000"/>
          <w:bdr w:val="nil"/>
          <w:lang w:val="en-US" w:eastAsia="en-GB"/>
        </w:rPr>
      </w:pPr>
      <w:bookmarkStart w:id="11" w:name="_Toc85807195"/>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412186">
        <w:rPr>
          <w:rFonts w:eastAsia="Arial Unicode MS"/>
          <w:noProof/>
          <w:u w:color="000000"/>
          <w:bdr w:val="nil"/>
          <w:lang w:val="en-US" w:eastAsia="en-GB"/>
        </w:rPr>
        <w:t>Choice of the instrument</w:t>
      </w:r>
      <w:bookmarkEnd w:id="11"/>
    </w:p>
    <w:p w14:paraId="367A5793" w14:textId="2CA42108" w:rsidR="00AF44C3" w:rsidRDefault="00AF44C3" w:rsidP="00F66FE5">
      <w:pPr>
        <w:pBdr>
          <w:top w:val="nil"/>
          <w:left w:val="nil"/>
          <w:bottom w:val="nil"/>
          <w:right w:val="nil"/>
          <w:between w:val="nil"/>
          <w:bar w:val="nil"/>
        </w:pBdr>
        <w:spacing w:before="0"/>
        <w:rPr>
          <w:rFonts w:eastAsia="Arial Unicode MS"/>
          <w:noProof/>
        </w:rPr>
      </w:pPr>
      <w:r>
        <w:rPr>
          <w:noProof/>
          <w:szCs w:val="24"/>
        </w:rPr>
        <w:t xml:space="preserve">Building on previous relevant </w:t>
      </w:r>
      <w:r w:rsidRPr="004549DF">
        <w:rPr>
          <w:noProof/>
        </w:rPr>
        <w:t>Council</w:t>
      </w:r>
      <w:r>
        <w:rPr>
          <w:noProof/>
          <w:szCs w:val="24"/>
        </w:rPr>
        <w:t xml:space="preserve"> Conclusions</w:t>
      </w:r>
      <w:r>
        <w:rPr>
          <w:rStyle w:val="FootnoteReference0"/>
          <w:noProof/>
          <w:szCs w:val="24"/>
        </w:rPr>
        <w:footnoteReference w:id="34"/>
      </w:r>
      <w:r>
        <w:rPr>
          <w:noProof/>
          <w:szCs w:val="24"/>
        </w:rPr>
        <w:t>, t</w:t>
      </w:r>
      <w:r>
        <w:rPr>
          <w:noProof/>
        </w:rPr>
        <w:t xml:space="preserve">he present Commission proposal for a Directive aims to achieve effective and efficient information flows between law enforcement authorities of the Member States, by means of a substantial approximation of Member States' legislation concerning information exchange and communication. </w:t>
      </w:r>
      <w:r>
        <w:rPr>
          <w:rFonts w:eastAsia="Arial Unicode MS"/>
          <w:noProof/>
        </w:rPr>
        <w:t>Its</w:t>
      </w:r>
      <w:r w:rsidRPr="00385DFD">
        <w:rPr>
          <w:rFonts w:eastAsia="Arial Unicode MS"/>
          <w:noProof/>
        </w:rPr>
        <w:t xml:space="preserve"> provisions ensure the respect of the conferral of p</w:t>
      </w:r>
      <w:r>
        <w:rPr>
          <w:rFonts w:eastAsia="Arial Unicode MS"/>
          <w:noProof/>
        </w:rPr>
        <w:t>owers as well as the differences in the legal systems</w:t>
      </w:r>
      <w:r w:rsidRPr="004A0F2A">
        <w:rPr>
          <w:rFonts w:eastAsia="Arial Unicode MS"/>
          <w:noProof/>
        </w:rPr>
        <w:t xml:space="preserve"> </w:t>
      </w:r>
      <w:r>
        <w:rPr>
          <w:rFonts w:eastAsia="Arial Unicode MS"/>
          <w:noProof/>
        </w:rPr>
        <w:t xml:space="preserve">and </w:t>
      </w:r>
      <w:r w:rsidRPr="00C2286A">
        <w:rPr>
          <w:rFonts w:eastAsia="Arial Unicode MS"/>
          <w:noProof/>
        </w:rPr>
        <w:t xml:space="preserve">traditions of the Member States, as acknowledged </w:t>
      </w:r>
      <w:r>
        <w:rPr>
          <w:rFonts w:eastAsia="Arial Unicode MS"/>
          <w:noProof/>
        </w:rPr>
        <w:t>by the</w:t>
      </w:r>
      <w:r w:rsidRPr="00C2286A">
        <w:rPr>
          <w:rFonts w:eastAsia="Arial Unicode MS"/>
          <w:noProof/>
        </w:rPr>
        <w:t xml:space="preserve"> Treaties</w:t>
      </w:r>
      <w:r>
        <w:rPr>
          <w:rFonts w:eastAsia="Arial Unicode MS"/>
          <w:noProof/>
        </w:rPr>
        <w:t>.</w:t>
      </w:r>
      <w:r w:rsidR="00ED3FA7">
        <w:rPr>
          <w:rFonts w:eastAsia="Arial Unicode MS"/>
          <w:noProof/>
        </w:rPr>
        <w:t xml:space="preserve"> </w:t>
      </w:r>
      <w:r>
        <w:rPr>
          <w:rFonts w:eastAsia="Arial Unicode MS"/>
          <w:noProof/>
        </w:rPr>
        <w:t xml:space="preserve">In light of the above, the proposed legal proposal takes the form of a Directive. </w:t>
      </w:r>
    </w:p>
    <w:p w14:paraId="0E7E65B1" w14:textId="77777777" w:rsidR="00AF44C3" w:rsidRPr="00550536" w:rsidRDefault="00AF44C3" w:rsidP="00F66FE5">
      <w:pPr>
        <w:pStyle w:val="ManualHeading1"/>
        <w:spacing w:before="240"/>
        <w:ind w:left="851" w:hanging="851"/>
        <w:rPr>
          <w:noProof/>
        </w:rPr>
      </w:pPr>
      <w:bookmarkStart w:id="12" w:name="_Toc85807196"/>
      <w:r w:rsidRPr="00550536">
        <w:rPr>
          <w:noProof/>
        </w:rPr>
        <w:t>3.</w:t>
      </w:r>
      <w:r w:rsidRPr="00550536">
        <w:rPr>
          <w:noProof/>
        </w:rPr>
        <w:tab/>
        <w:t>RESULTS OF EX-POST EVALUATIONS, STAKEHOLDER CONSULTATIONS AND IMPACT ASSESSMENTS</w:t>
      </w:r>
      <w:bookmarkEnd w:id="12"/>
    </w:p>
    <w:p w14:paraId="220FEF20" w14:textId="77777777" w:rsidR="00AF44C3" w:rsidRDefault="00AF44C3" w:rsidP="00AF44C3">
      <w:pPr>
        <w:pStyle w:val="ManualHeading2"/>
        <w:rPr>
          <w:rFonts w:eastAsia="Arial Unicode MS"/>
          <w:noProof/>
          <w:u w:color="000000"/>
          <w:bdr w:val="nil"/>
          <w:lang w:val="en-US" w:eastAsia="en-GB"/>
        </w:rPr>
      </w:pPr>
      <w:bookmarkStart w:id="13" w:name="_Toc85807197"/>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412186">
        <w:rPr>
          <w:rFonts w:eastAsia="Arial Unicode MS"/>
          <w:noProof/>
          <w:u w:color="000000"/>
          <w:bdr w:val="nil"/>
          <w:lang w:val="en-US" w:eastAsia="en-GB"/>
        </w:rPr>
        <w:t>Stakeholder consultations</w:t>
      </w:r>
      <w:bookmarkEnd w:id="13"/>
    </w:p>
    <w:p w14:paraId="58555E76" w14:textId="71CA6E73" w:rsidR="00AF44C3" w:rsidRPr="00765B27" w:rsidRDefault="00AF44C3" w:rsidP="00AF44C3">
      <w:pPr>
        <w:rPr>
          <w:noProof/>
        </w:rPr>
      </w:pPr>
      <w:r w:rsidRPr="00765B27">
        <w:rPr>
          <w:noProof/>
        </w:rPr>
        <w:t xml:space="preserve">The consultation involved </w:t>
      </w:r>
      <w:r w:rsidRPr="00197095">
        <w:rPr>
          <w:b/>
          <w:noProof/>
        </w:rPr>
        <w:t>relevant stakeholders</w:t>
      </w:r>
      <w:r w:rsidRPr="00765B27">
        <w:rPr>
          <w:noProof/>
        </w:rPr>
        <w:t xml:space="preserve"> from </w:t>
      </w:r>
      <w:r>
        <w:rPr>
          <w:noProof/>
        </w:rPr>
        <w:t>a wide range of subject matters</w:t>
      </w:r>
      <w:r w:rsidRPr="00765B27">
        <w:rPr>
          <w:noProof/>
        </w:rPr>
        <w:t xml:space="preserve">, national </w:t>
      </w:r>
      <w:r>
        <w:rPr>
          <w:noProof/>
        </w:rPr>
        <w:t xml:space="preserve">police, customs, judicial and data protection </w:t>
      </w:r>
      <w:r w:rsidRPr="00765B27">
        <w:rPr>
          <w:noProof/>
        </w:rPr>
        <w:t xml:space="preserve">authorities, civil society organisations, </w:t>
      </w:r>
      <w:r>
        <w:rPr>
          <w:noProof/>
        </w:rPr>
        <w:t xml:space="preserve">academia, </w:t>
      </w:r>
      <w:r w:rsidRPr="00765B27">
        <w:rPr>
          <w:noProof/>
        </w:rPr>
        <w:t>and from members of the public on their expectations and concerns relating to strengthening law enforcement cooperation in the EU</w:t>
      </w:r>
      <w:r w:rsidR="00B1477D">
        <w:rPr>
          <w:rStyle w:val="FootnoteReference0"/>
          <w:noProof/>
        </w:rPr>
        <w:footnoteReference w:id="35"/>
      </w:r>
      <w:r w:rsidRPr="00765B27">
        <w:rPr>
          <w:noProof/>
        </w:rPr>
        <w:t>.</w:t>
      </w:r>
    </w:p>
    <w:p w14:paraId="5E15CBC7" w14:textId="33354F6E" w:rsidR="00AF44C3" w:rsidRDefault="00AF44C3" w:rsidP="00AF44C3">
      <w:pPr>
        <w:rPr>
          <w:noProof/>
          <w:szCs w:val="24"/>
        </w:rPr>
      </w:pPr>
      <w:r w:rsidRPr="00765B27">
        <w:rPr>
          <w:noProof/>
        </w:rPr>
        <w:t xml:space="preserve">The Commission used different </w:t>
      </w:r>
      <w:r w:rsidRPr="00197095">
        <w:rPr>
          <w:b/>
          <w:noProof/>
        </w:rPr>
        <w:t>means of engagement</w:t>
      </w:r>
      <w:r w:rsidRPr="00765B27">
        <w:rPr>
          <w:noProof/>
        </w:rPr>
        <w:t xml:space="preserve"> such as </w:t>
      </w:r>
      <w:r w:rsidRPr="00765B27">
        <w:rPr>
          <w:noProof/>
          <w:szCs w:val="24"/>
        </w:rPr>
        <w:t>targeted questionnaires, experts</w:t>
      </w:r>
      <w:r>
        <w:rPr>
          <w:noProof/>
          <w:szCs w:val="24"/>
        </w:rPr>
        <w:t>'</w:t>
      </w:r>
      <w:r w:rsidRPr="00765B27">
        <w:rPr>
          <w:noProof/>
          <w:szCs w:val="24"/>
        </w:rPr>
        <w:t xml:space="preserve"> interviews</w:t>
      </w:r>
      <w:r>
        <w:rPr>
          <w:noProof/>
          <w:szCs w:val="24"/>
        </w:rPr>
        <w:t>, focus groups, case-studies,</w:t>
      </w:r>
      <w:r w:rsidRPr="00765B27">
        <w:rPr>
          <w:noProof/>
        </w:rPr>
        <w:t xml:space="preserve"> and organised thematic workshops with Member States and Schengen </w:t>
      </w:r>
      <w:r w:rsidRPr="00765B27">
        <w:rPr>
          <w:noProof/>
          <w:szCs w:val="24"/>
        </w:rPr>
        <w:t xml:space="preserve">Associated Countries' representatives. The subject matters and the policy options presented in the Impact Assessment </w:t>
      </w:r>
      <w:r>
        <w:rPr>
          <w:noProof/>
          <w:szCs w:val="24"/>
        </w:rPr>
        <w:t xml:space="preserve">accompanying </w:t>
      </w:r>
      <w:r w:rsidRPr="00765B27">
        <w:rPr>
          <w:noProof/>
          <w:szCs w:val="24"/>
        </w:rPr>
        <w:t>th</w:t>
      </w:r>
      <w:r>
        <w:rPr>
          <w:noProof/>
          <w:szCs w:val="24"/>
        </w:rPr>
        <w:t xml:space="preserve">e present </w:t>
      </w:r>
      <w:r w:rsidRPr="00765B27">
        <w:rPr>
          <w:noProof/>
          <w:szCs w:val="24"/>
        </w:rPr>
        <w:t>proposal were also discuss</w:t>
      </w:r>
      <w:r>
        <w:rPr>
          <w:noProof/>
          <w:szCs w:val="24"/>
        </w:rPr>
        <w:t>ed within the relevant Council'</w:t>
      </w:r>
      <w:r w:rsidRPr="00765B27">
        <w:rPr>
          <w:noProof/>
          <w:szCs w:val="24"/>
        </w:rPr>
        <w:t>s Working Parties (</w:t>
      </w:r>
      <w:r w:rsidR="002D4EA0">
        <w:rPr>
          <w:noProof/>
          <w:szCs w:val="24"/>
        </w:rPr>
        <w:t>for example,</w:t>
      </w:r>
      <w:r w:rsidRPr="00765B27">
        <w:rPr>
          <w:noProof/>
          <w:szCs w:val="24"/>
        </w:rPr>
        <w:t xml:space="preserve"> Law Enforcement Working Party</w:t>
      </w:r>
      <w:r>
        <w:rPr>
          <w:noProof/>
          <w:szCs w:val="24"/>
        </w:rPr>
        <w:t>/</w:t>
      </w:r>
      <w:r w:rsidRPr="00765B27">
        <w:rPr>
          <w:noProof/>
          <w:szCs w:val="24"/>
        </w:rPr>
        <w:t xml:space="preserve">Police, Law Enforcement Working Party/Customs, </w:t>
      </w:r>
      <w:r>
        <w:rPr>
          <w:noProof/>
          <w:szCs w:val="24"/>
        </w:rPr>
        <w:t>Standing Committee on Operational Cooperation on Internal Security).</w:t>
      </w:r>
    </w:p>
    <w:p w14:paraId="3B99D791" w14:textId="7838B5FA" w:rsidR="00AF44C3" w:rsidRPr="00657085" w:rsidRDefault="00AF44C3" w:rsidP="00AF44C3">
      <w:pPr>
        <w:rPr>
          <w:noProof/>
          <w:szCs w:val="24"/>
        </w:rPr>
      </w:pPr>
      <w:r>
        <w:rPr>
          <w:noProof/>
          <w:szCs w:val="24"/>
        </w:rPr>
        <w:t xml:space="preserve">In addition, </w:t>
      </w:r>
      <w:r w:rsidRPr="00657085">
        <w:rPr>
          <w:noProof/>
          <w:szCs w:val="24"/>
        </w:rPr>
        <w:t xml:space="preserve">in line with </w:t>
      </w:r>
      <w:r>
        <w:rPr>
          <w:noProof/>
          <w:szCs w:val="24"/>
        </w:rPr>
        <w:t>the</w:t>
      </w:r>
      <w:r w:rsidRPr="00765B27">
        <w:rPr>
          <w:noProof/>
          <w:szCs w:val="24"/>
        </w:rPr>
        <w:t xml:space="preserve"> Better Regulation Guidelines</w:t>
      </w:r>
      <w:r>
        <w:rPr>
          <w:rStyle w:val="FootnoteReference0"/>
          <w:rFonts w:eastAsia="Arial Unicode MS"/>
          <w:noProof/>
        </w:rPr>
        <w:footnoteReference w:id="36"/>
      </w:r>
      <w:r w:rsidRPr="00765B27">
        <w:rPr>
          <w:noProof/>
          <w:szCs w:val="24"/>
        </w:rPr>
        <w:t xml:space="preserve">, the Commission launched a </w:t>
      </w:r>
      <w:r w:rsidRPr="00197095">
        <w:rPr>
          <w:b/>
          <w:noProof/>
          <w:szCs w:val="24"/>
        </w:rPr>
        <w:t>Public Consultation</w:t>
      </w:r>
      <w:r w:rsidRPr="00765B27">
        <w:rPr>
          <w:noProof/>
          <w:szCs w:val="24"/>
        </w:rPr>
        <w:t>.</w:t>
      </w:r>
      <w:r>
        <w:rPr>
          <w:noProof/>
          <w:szCs w:val="24"/>
        </w:rPr>
        <w:t xml:space="preserve"> </w:t>
      </w:r>
      <w:r w:rsidRPr="00765B27">
        <w:rPr>
          <w:noProof/>
          <w:szCs w:val="24"/>
        </w:rPr>
        <w:t xml:space="preserve">The </w:t>
      </w:r>
      <w:r w:rsidRPr="00197095">
        <w:rPr>
          <w:b/>
          <w:noProof/>
          <w:szCs w:val="24"/>
        </w:rPr>
        <w:t>results of the consultation activities</w:t>
      </w:r>
      <w:r w:rsidRPr="00765B27">
        <w:rPr>
          <w:noProof/>
          <w:szCs w:val="24"/>
        </w:rPr>
        <w:t xml:space="preserve"> </w:t>
      </w:r>
      <w:r w:rsidR="00C90E92">
        <w:rPr>
          <w:noProof/>
          <w:szCs w:val="24"/>
        </w:rPr>
        <w:t xml:space="preserve">(20 answers) </w:t>
      </w:r>
      <w:r w:rsidRPr="00765B27">
        <w:rPr>
          <w:noProof/>
          <w:szCs w:val="24"/>
        </w:rPr>
        <w:t>have been</w:t>
      </w:r>
      <w:r>
        <w:rPr>
          <w:noProof/>
          <w:szCs w:val="24"/>
        </w:rPr>
        <w:t xml:space="preserve"> </w:t>
      </w:r>
      <w:r w:rsidRPr="004549DF">
        <w:rPr>
          <w:noProof/>
        </w:rPr>
        <w:t>duly</w:t>
      </w:r>
      <w:r>
        <w:rPr>
          <w:noProof/>
          <w:szCs w:val="24"/>
        </w:rPr>
        <w:t xml:space="preserve"> taken into account in the preparation of the present proposal</w:t>
      </w:r>
      <w:r w:rsidR="00B1477D">
        <w:rPr>
          <w:rStyle w:val="FootnoteReference0"/>
          <w:noProof/>
          <w:szCs w:val="24"/>
        </w:rPr>
        <w:footnoteReference w:id="37"/>
      </w:r>
      <w:r>
        <w:rPr>
          <w:noProof/>
          <w:szCs w:val="24"/>
        </w:rPr>
        <w:t>.</w:t>
      </w:r>
      <w:r w:rsidRPr="00657085">
        <w:rPr>
          <w:noProof/>
          <w:szCs w:val="24"/>
        </w:rPr>
        <w:t xml:space="preserve"> </w:t>
      </w:r>
    </w:p>
    <w:p w14:paraId="17EF9BD0" w14:textId="77777777" w:rsidR="00AF44C3" w:rsidRPr="003F70AC" w:rsidRDefault="00AF44C3" w:rsidP="00AF44C3">
      <w:pPr>
        <w:pStyle w:val="ManualHeading2"/>
        <w:rPr>
          <w:rFonts w:eastAsia="Arial Unicode MS"/>
          <w:noProof/>
          <w:u w:color="000000"/>
          <w:bdr w:val="nil"/>
          <w:lang w:val="en-US" w:eastAsia="en-GB"/>
        </w:rPr>
      </w:pPr>
      <w:bookmarkStart w:id="14" w:name="_Toc85807198"/>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D235EF">
        <w:rPr>
          <w:rFonts w:eastAsia="Arial Unicode MS"/>
          <w:noProof/>
          <w:u w:color="000000"/>
          <w:bdr w:val="nil"/>
          <w:lang w:val="en-US" w:eastAsia="en-GB"/>
        </w:rPr>
        <w:t>Collection and use of expertise</w:t>
      </w:r>
      <w:bookmarkEnd w:id="14"/>
    </w:p>
    <w:p w14:paraId="5E392EA3" w14:textId="77777777" w:rsidR="00AF44C3" w:rsidRDefault="00AF44C3" w:rsidP="00AF44C3">
      <w:pPr>
        <w:rPr>
          <w:noProof/>
          <w:szCs w:val="24"/>
        </w:rPr>
      </w:pPr>
      <w:r>
        <w:rPr>
          <w:noProof/>
          <w:szCs w:val="24"/>
        </w:rPr>
        <w:t xml:space="preserve">Numerous consultation activities – such as </w:t>
      </w:r>
      <w:r w:rsidRPr="00F324BF">
        <w:rPr>
          <w:noProof/>
          <w:szCs w:val="24"/>
        </w:rPr>
        <w:t>scoping interviews, questionnaire</w:t>
      </w:r>
      <w:r>
        <w:rPr>
          <w:noProof/>
          <w:szCs w:val="24"/>
        </w:rPr>
        <w:t>s</w:t>
      </w:r>
      <w:r w:rsidRPr="00F324BF">
        <w:rPr>
          <w:noProof/>
          <w:szCs w:val="24"/>
        </w:rPr>
        <w:t xml:space="preserve"> and online survey</w:t>
      </w:r>
      <w:r>
        <w:rPr>
          <w:noProof/>
          <w:szCs w:val="24"/>
        </w:rPr>
        <w:t>s</w:t>
      </w:r>
      <w:r w:rsidRPr="00F324BF">
        <w:rPr>
          <w:noProof/>
          <w:szCs w:val="24"/>
        </w:rPr>
        <w:t>, semi-structured interviews, case-s</w:t>
      </w:r>
      <w:r>
        <w:rPr>
          <w:noProof/>
          <w:szCs w:val="24"/>
        </w:rPr>
        <w:t xml:space="preserve">tudies and focus groups – were also </w:t>
      </w:r>
      <w:r w:rsidRPr="00765B27">
        <w:rPr>
          <w:noProof/>
          <w:szCs w:val="24"/>
        </w:rPr>
        <w:t xml:space="preserve">conducted by the contractor during the preparation of a </w:t>
      </w:r>
      <w:r>
        <w:rPr>
          <w:noProof/>
        </w:rPr>
        <w:t>'</w:t>
      </w:r>
      <w:r w:rsidRPr="00765B27">
        <w:rPr>
          <w:i/>
          <w:noProof/>
        </w:rPr>
        <w:t>Study to support the preparation of an impact assessment on EU policy initiatives facilitating cross-border law enforcement cooperation</w:t>
      </w:r>
      <w:r>
        <w:rPr>
          <w:i/>
          <w:noProof/>
        </w:rPr>
        <w:t>'</w:t>
      </w:r>
      <w:r w:rsidRPr="00B97D31">
        <w:rPr>
          <w:noProof/>
          <w:szCs w:val="24"/>
        </w:rPr>
        <w:t xml:space="preserve">. </w:t>
      </w:r>
    </w:p>
    <w:p w14:paraId="52BF0645" w14:textId="77777777" w:rsidR="00AF44C3" w:rsidRDefault="00AF44C3" w:rsidP="00AF44C3">
      <w:pPr>
        <w:pStyle w:val="ManualHeading2"/>
        <w:rPr>
          <w:rFonts w:eastAsia="Arial Unicode MS"/>
          <w:noProof/>
          <w:u w:color="000000"/>
          <w:bdr w:val="nil"/>
          <w:lang w:val="en-US" w:eastAsia="en-GB"/>
        </w:rPr>
      </w:pPr>
      <w:bookmarkStart w:id="15" w:name="_Toc85807199"/>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D235EF">
        <w:rPr>
          <w:rFonts w:eastAsia="Arial Unicode MS"/>
          <w:noProof/>
          <w:u w:color="000000"/>
          <w:bdr w:val="nil"/>
          <w:lang w:val="en-US" w:eastAsia="en-GB"/>
        </w:rPr>
        <w:t>Impact assessment</w:t>
      </w:r>
      <w:bookmarkEnd w:id="15"/>
    </w:p>
    <w:p w14:paraId="056063DB" w14:textId="21D7D8F1" w:rsidR="00AF44C3" w:rsidRPr="008E4C26" w:rsidRDefault="00AF44C3" w:rsidP="00AF44C3">
      <w:pPr>
        <w:spacing w:before="0"/>
        <w:rPr>
          <w:rFonts w:eastAsia="Arial Unicode MS"/>
          <w:b/>
          <w:noProof/>
        </w:rPr>
      </w:pPr>
      <w:r w:rsidRPr="004549DF">
        <w:rPr>
          <w:noProof/>
        </w:rPr>
        <w:t xml:space="preserve">In line with the Better Regulation guidelines, an Impact Assessment was carried out for the preparation of the present legislative proposal. Based on its findings, </w:t>
      </w:r>
      <w:r>
        <w:rPr>
          <w:rFonts w:eastAsia="Arial Unicode MS"/>
          <w:noProof/>
        </w:rPr>
        <w:t>the Commission identified three main problems which corresponds to three main specific objectives of the present proposal</w:t>
      </w:r>
      <w:r w:rsidR="00FD0300">
        <w:rPr>
          <w:rFonts w:eastAsia="Arial Unicode MS"/>
          <w:noProof/>
        </w:rPr>
        <w:t xml:space="preserve"> (as mentioned above)</w:t>
      </w:r>
      <w:r>
        <w:rPr>
          <w:rFonts w:eastAsia="Arial Unicode MS"/>
          <w:noProof/>
        </w:rPr>
        <w:t>. Correspondingly, three policy options with different degrees of intervention were considered for potentially achieving each of the specific objectives</w:t>
      </w:r>
      <w:r w:rsidR="00FD0300">
        <w:rPr>
          <w:rStyle w:val="FootnoteReference0"/>
          <w:rFonts w:eastAsia="Arial Unicode MS"/>
          <w:noProof/>
        </w:rPr>
        <w:footnoteReference w:id="38"/>
      </w:r>
      <w:r>
        <w:rPr>
          <w:rFonts w:eastAsia="Arial Unicode MS"/>
          <w:noProof/>
        </w:rPr>
        <w:t>.</w:t>
      </w:r>
    </w:p>
    <w:p w14:paraId="5DE3736B" w14:textId="0171BAA2" w:rsidR="00AF44C3" w:rsidRDefault="00AF44C3" w:rsidP="00AF44C3">
      <w:pPr>
        <w:pBdr>
          <w:top w:val="nil"/>
          <w:left w:val="nil"/>
          <w:bottom w:val="nil"/>
          <w:right w:val="nil"/>
          <w:between w:val="nil"/>
          <w:bar w:val="nil"/>
        </w:pBdr>
        <w:spacing w:before="0"/>
        <w:rPr>
          <w:i/>
          <w:noProof/>
        </w:rPr>
      </w:pPr>
      <w:r>
        <w:rPr>
          <w:rFonts w:eastAsia="Arial Unicode MS"/>
          <w:noProof/>
          <w:u w:val="single"/>
        </w:rPr>
        <w:t>Specific o</w:t>
      </w:r>
      <w:r w:rsidRPr="00710D2B">
        <w:rPr>
          <w:rFonts w:eastAsia="Arial Unicode MS"/>
          <w:noProof/>
          <w:u w:val="single"/>
        </w:rPr>
        <w:t>bjective 1:</w:t>
      </w:r>
      <w:r>
        <w:rPr>
          <w:rFonts w:eastAsia="Arial Unicode MS"/>
          <w:noProof/>
        </w:rPr>
        <w:t xml:space="preserve"> </w:t>
      </w:r>
      <w:r w:rsidRPr="00710D2B">
        <w:rPr>
          <w:i/>
          <w:noProof/>
        </w:rPr>
        <w:t>Facilitate equivalent access for law enforcement authorities to information held in another Member State, while complying with fundamental rights</w:t>
      </w:r>
      <w:r w:rsidR="00F93111">
        <w:rPr>
          <w:i/>
          <w:noProof/>
        </w:rPr>
        <w:t xml:space="preserve">, </w:t>
      </w:r>
      <w:r w:rsidR="00F93111" w:rsidRPr="00747D4D">
        <w:rPr>
          <w:i/>
          <w:noProof/>
        </w:rPr>
        <w:t>including</w:t>
      </w:r>
      <w:r w:rsidRPr="00710D2B">
        <w:rPr>
          <w:i/>
          <w:noProof/>
        </w:rPr>
        <w:t xml:space="preserve"> data protection requirements</w:t>
      </w:r>
      <w:r w:rsidR="008E7581">
        <w:rPr>
          <w:i/>
          <w:noProof/>
        </w:rPr>
        <w:t>.</w:t>
      </w:r>
    </w:p>
    <w:p w14:paraId="63B1193F" w14:textId="01447D82" w:rsidR="00FD0300" w:rsidRDefault="00AF44C3" w:rsidP="00AF44C3">
      <w:pPr>
        <w:rPr>
          <w:noProof/>
        </w:rPr>
      </w:pPr>
      <w:r w:rsidRPr="00CD51FA">
        <w:rPr>
          <w:noProof/>
        </w:rPr>
        <w:t>T</w:t>
      </w:r>
      <w:r w:rsidR="00FD0300">
        <w:rPr>
          <w:noProof/>
        </w:rPr>
        <w:t xml:space="preserve">hrough: </w:t>
      </w:r>
    </w:p>
    <w:p w14:paraId="224E40D0" w14:textId="7B294E8E" w:rsidR="00FD0300" w:rsidRDefault="002E4C52" w:rsidP="002E4C52">
      <w:pPr>
        <w:pStyle w:val="Point0"/>
        <w:rPr>
          <w:noProof/>
        </w:rPr>
      </w:pPr>
      <w:r w:rsidRPr="002E4C52">
        <w:t>(1)</w:t>
      </w:r>
      <w:r w:rsidRPr="002E4C52">
        <w:tab/>
      </w:r>
      <w:r w:rsidR="00AF44C3">
        <w:rPr>
          <w:noProof/>
        </w:rPr>
        <w:t>ensur</w:t>
      </w:r>
      <w:r w:rsidR="00FD0300">
        <w:rPr>
          <w:noProof/>
        </w:rPr>
        <w:t>ing</w:t>
      </w:r>
      <w:r w:rsidR="00AF44C3">
        <w:rPr>
          <w:noProof/>
        </w:rPr>
        <w:t xml:space="preserve"> </w:t>
      </w:r>
      <w:r w:rsidR="00AF44C3" w:rsidRPr="00710D2B">
        <w:rPr>
          <w:noProof/>
        </w:rPr>
        <w:t xml:space="preserve">alignment </w:t>
      </w:r>
      <w:r w:rsidR="00AF44C3">
        <w:rPr>
          <w:noProof/>
        </w:rPr>
        <w:t xml:space="preserve">of the </w:t>
      </w:r>
      <w:r w:rsidR="003F6A71" w:rsidRPr="00CF1516">
        <w:rPr>
          <w:noProof/>
        </w:rPr>
        <w:t>provisions currently contained in the</w:t>
      </w:r>
      <w:r w:rsidR="003F6A71">
        <w:rPr>
          <w:noProof/>
        </w:rPr>
        <w:t xml:space="preserve"> </w:t>
      </w:r>
      <w:r w:rsidR="00AF44C3">
        <w:rPr>
          <w:noProof/>
        </w:rPr>
        <w:t xml:space="preserve">2006 SFD </w:t>
      </w:r>
      <w:r w:rsidR="00AF44C3" w:rsidRPr="00710D2B">
        <w:rPr>
          <w:noProof/>
        </w:rPr>
        <w:t xml:space="preserve">with the </w:t>
      </w:r>
      <w:r w:rsidR="00AF44C3">
        <w:rPr>
          <w:noProof/>
        </w:rPr>
        <w:t xml:space="preserve">2016 </w:t>
      </w:r>
      <w:r w:rsidR="00F2156F">
        <w:rPr>
          <w:noProof/>
        </w:rPr>
        <w:t xml:space="preserve">Data Protection </w:t>
      </w:r>
      <w:r w:rsidR="00AF44C3" w:rsidRPr="00710D2B">
        <w:rPr>
          <w:noProof/>
        </w:rPr>
        <w:t>Law Enforc</w:t>
      </w:r>
      <w:r w:rsidR="00AF44C3">
        <w:rPr>
          <w:noProof/>
        </w:rPr>
        <w:t>ement Directive</w:t>
      </w:r>
      <w:r w:rsidR="00FD0300">
        <w:rPr>
          <w:noProof/>
        </w:rPr>
        <w:t>;</w:t>
      </w:r>
    </w:p>
    <w:p w14:paraId="640FAC95" w14:textId="1DF5D641" w:rsidR="00FD0300" w:rsidRDefault="002E4C52" w:rsidP="002E4C52">
      <w:pPr>
        <w:pStyle w:val="Point0"/>
        <w:rPr>
          <w:noProof/>
        </w:rPr>
      </w:pPr>
      <w:r w:rsidRPr="002E4C52">
        <w:t>(2)</w:t>
      </w:r>
      <w:r w:rsidRPr="002E4C52">
        <w:tab/>
      </w:r>
      <w:r w:rsidR="00AF44C3">
        <w:rPr>
          <w:noProof/>
        </w:rPr>
        <w:t>develop</w:t>
      </w:r>
      <w:r w:rsidR="00FD0300">
        <w:rPr>
          <w:noProof/>
        </w:rPr>
        <w:t>ing</w:t>
      </w:r>
      <w:r w:rsidR="00AF44C3">
        <w:rPr>
          <w:noProof/>
        </w:rPr>
        <w:t xml:space="preserve"> a set of new flanking </w:t>
      </w:r>
      <w:r w:rsidR="00D052A8">
        <w:rPr>
          <w:noProof/>
        </w:rPr>
        <w:t>‘</w:t>
      </w:r>
      <w:r w:rsidR="00AF44C3">
        <w:rPr>
          <w:noProof/>
        </w:rPr>
        <w:t>soft</w:t>
      </w:r>
      <w:r w:rsidR="00D052A8">
        <w:rPr>
          <w:noProof/>
        </w:rPr>
        <w:t>’</w:t>
      </w:r>
      <w:r w:rsidR="00AF44C3">
        <w:rPr>
          <w:noProof/>
        </w:rPr>
        <w:t xml:space="preserve"> measures, such as training and </w:t>
      </w:r>
      <w:r w:rsidR="00AF44C3" w:rsidRPr="00CF1516">
        <w:rPr>
          <w:noProof/>
        </w:rPr>
        <w:t>Commission guidance</w:t>
      </w:r>
      <w:r w:rsidR="00AF44C3">
        <w:rPr>
          <w:noProof/>
        </w:rPr>
        <w:t xml:space="preserve"> on specific aspects law enforcement information exchange</w:t>
      </w:r>
      <w:r w:rsidR="00D052A8" w:rsidRPr="00CF1516">
        <w:rPr>
          <w:noProof/>
        </w:rPr>
        <w:t>, as appropriate</w:t>
      </w:r>
      <w:r w:rsidR="00FD0300" w:rsidRPr="00CF1516">
        <w:rPr>
          <w:noProof/>
        </w:rPr>
        <w:t>;</w:t>
      </w:r>
    </w:p>
    <w:p w14:paraId="46060715" w14:textId="77D41350" w:rsidR="00FD0300" w:rsidRPr="002240AF" w:rsidRDefault="002E4C52" w:rsidP="002E4C52">
      <w:pPr>
        <w:pStyle w:val="Point0"/>
        <w:rPr>
          <w:noProof/>
        </w:rPr>
      </w:pPr>
      <w:r w:rsidRPr="002E4C52">
        <w:t>(3)</w:t>
      </w:r>
      <w:r w:rsidRPr="002E4C52">
        <w:tab/>
      </w:r>
      <w:r w:rsidR="00AF44C3" w:rsidRPr="00EA0598">
        <w:rPr>
          <w:noProof/>
        </w:rPr>
        <w:t>improv</w:t>
      </w:r>
      <w:r w:rsidR="00FD0300">
        <w:rPr>
          <w:noProof/>
        </w:rPr>
        <w:t>ing</w:t>
      </w:r>
      <w:r w:rsidR="00AF44C3" w:rsidRPr="00EA0598">
        <w:rPr>
          <w:noProof/>
        </w:rPr>
        <w:t xml:space="preserve"> the cl</w:t>
      </w:r>
      <w:r w:rsidR="00AF44C3" w:rsidRPr="00FD0300">
        <w:rPr>
          <w:noProof/>
        </w:rPr>
        <w:t xml:space="preserve">arity of the SFD provisions. This is done through a clarification on the SFD scope and a simplification of its use. </w:t>
      </w:r>
      <w:r w:rsidR="00AF44C3" w:rsidRPr="00CF1516">
        <w:rPr>
          <w:noProof/>
        </w:rPr>
        <w:t xml:space="preserve">Commission guidance on the national datasets available in each Member States for possible exchange </w:t>
      </w:r>
      <w:r w:rsidR="00D052A8" w:rsidRPr="00CF1516">
        <w:rPr>
          <w:noProof/>
        </w:rPr>
        <w:t xml:space="preserve">may </w:t>
      </w:r>
      <w:r w:rsidR="00AF44C3" w:rsidRPr="00CF1516">
        <w:rPr>
          <w:noProof/>
        </w:rPr>
        <w:t>also be developed to further improve implementation</w:t>
      </w:r>
      <w:r w:rsidR="00D052A8" w:rsidRPr="00CF1516">
        <w:rPr>
          <w:noProof/>
        </w:rPr>
        <w:t>, as appropriate</w:t>
      </w:r>
      <w:r w:rsidR="00FD0300" w:rsidRPr="00CF1516">
        <w:rPr>
          <w:noProof/>
        </w:rPr>
        <w:t>;</w:t>
      </w:r>
    </w:p>
    <w:p w14:paraId="79CFA5D0" w14:textId="22BAEAF2" w:rsidR="00AF44C3" w:rsidRDefault="002E4C52" w:rsidP="002E4C52">
      <w:pPr>
        <w:pStyle w:val="Point0"/>
        <w:rPr>
          <w:noProof/>
        </w:rPr>
      </w:pPr>
      <w:r w:rsidRPr="002E4C52">
        <w:t>(4)</w:t>
      </w:r>
      <w:r w:rsidRPr="002E4C52">
        <w:tab/>
      </w:r>
      <w:r w:rsidR="00AF44C3">
        <w:rPr>
          <w:noProof/>
        </w:rPr>
        <w:t xml:space="preserve">facilitating compliance with deadlines requirements by which </w:t>
      </w:r>
      <w:r w:rsidR="00F93111" w:rsidRPr="00747D4D">
        <w:rPr>
          <w:noProof/>
        </w:rPr>
        <w:t>information</w:t>
      </w:r>
      <w:r w:rsidR="00AF44C3">
        <w:rPr>
          <w:noProof/>
        </w:rPr>
        <w:t xml:space="preserve"> is to be made available to another Member State, including when a judicial authorisation is required. </w:t>
      </w:r>
    </w:p>
    <w:p w14:paraId="10A8A89C" w14:textId="0D1D44C8" w:rsidR="00AF44C3" w:rsidRDefault="00AF44C3" w:rsidP="00AF44C3">
      <w:pPr>
        <w:rPr>
          <w:i/>
          <w:noProof/>
          <w:szCs w:val="24"/>
        </w:rPr>
      </w:pPr>
      <w:r w:rsidRPr="00664480">
        <w:rPr>
          <w:noProof/>
          <w:szCs w:val="24"/>
          <w:u w:val="single"/>
        </w:rPr>
        <w:t>Specific objective 2:</w:t>
      </w:r>
      <w:r w:rsidRPr="00664480">
        <w:rPr>
          <w:noProof/>
          <w:szCs w:val="24"/>
        </w:rPr>
        <w:t xml:space="preserve"> </w:t>
      </w:r>
      <w:r w:rsidRPr="00664480">
        <w:rPr>
          <w:i/>
          <w:noProof/>
          <w:szCs w:val="24"/>
        </w:rPr>
        <w:t>Ensure that all Member States have an effective functioning Single Point of Contact, including when a judicial authoris</w:t>
      </w:r>
      <w:r>
        <w:rPr>
          <w:i/>
          <w:noProof/>
          <w:szCs w:val="24"/>
        </w:rPr>
        <w:t>ation is required to provide</w:t>
      </w:r>
      <w:r w:rsidRPr="00664480">
        <w:rPr>
          <w:i/>
          <w:noProof/>
          <w:szCs w:val="24"/>
        </w:rPr>
        <w:t xml:space="preserve"> </w:t>
      </w:r>
      <w:r w:rsidR="00F93111" w:rsidRPr="00747D4D">
        <w:rPr>
          <w:i/>
          <w:noProof/>
          <w:szCs w:val="24"/>
        </w:rPr>
        <w:t>information</w:t>
      </w:r>
      <w:r w:rsidR="00F93111" w:rsidRPr="00664480">
        <w:rPr>
          <w:i/>
          <w:noProof/>
          <w:szCs w:val="24"/>
        </w:rPr>
        <w:t xml:space="preserve"> </w:t>
      </w:r>
      <w:r w:rsidRPr="00664480">
        <w:rPr>
          <w:i/>
          <w:noProof/>
          <w:szCs w:val="24"/>
        </w:rPr>
        <w:t>upon request of another Member State</w:t>
      </w:r>
      <w:r w:rsidR="00FE2FF7">
        <w:rPr>
          <w:i/>
          <w:noProof/>
          <w:szCs w:val="24"/>
        </w:rPr>
        <w:t>.</w:t>
      </w:r>
    </w:p>
    <w:p w14:paraId="410D12A7" w14:textId="77777777" w:rsidR="00A1500F" w:rsidRDefault="00A1500F" w:rsidP="00AF44C3">
      <w:pPr>
        <w:rPr>
          <w:noProof/>
        </w:rPr>
      </w:pPr>
      <w:r>
        <w:rPr>
          <w:noProof/>
        </w:rPr>
        <w:t>Through:</w:t>
      </w:r>
    </w:p>
    <w:p w14:paraId="02C5FB41" w14:textId="13BF08A2" w:rsidR="00A1500F" w:rsidRDefault="002E4C52" w:rsidP="002E4C52">
      <w:pPr>
        <w:pStyle w:val="Point0"/>
        <w:rPr>
          <w:noProof/>
        </w:rPr>
      </w:pPr>
      <w:r w:rsidRPr="002E4C52">
        <w:t>(1)</w:t>
      </w:r>
      <w:r w:rsidRPr="002E4C52">
        <w:tab/>
      </w:r>
      <w:r w:rsidR="00AF44C3" w:rsidRPr="00A1500F">
        <w:rPr>
          <w:noProof/>
        </w:rPr>
        <w:t>develop</w:t>
      </w:r>
      <w:r w:rsidR="00A1500F">
        <w:rPr>
          <w:noProof/>
        </w:rPr>
        <w:t>ing</w:t>
      </w:r>
      <w:r w:rsidR="00AF44C3" w:rsidRPr="00A1500F">
        <w:rPr>
          <w:noProof/>
        </w:rPr>
        <w:t xml:space="preserve"> a new set of flanking </w:t>
      </w:r>
      <w:r w:rsidR="00D052A8">
        <w:rPr>
          <w:noProof/>
        </w:rPr>
        <w:t>‘</w:t>
      </w:r>
      <w:r w:rsidR="00AF44C3" w:rsidRPr="00A1500F">
        <w:rPr>
          <w:noProof/>
        </w:rPr>
        <w:t>soft</w:t>
      </w:r>
      <w:r w:rsidR="00D052A8">
        <w:rPr>
          <w:noProof/>
        </w:rPr>
        <w:t>’</w:t>
      </w:r>
      <w:r w:rsidR="00AF44C3" w:rsidRPr="00A1500F">
        <w:rPr>
          <w:noProof/>
        </w:rPr>
        <w:t xml:space="preserve"> measures, such as training, financial support and </w:t>
      </w:r>
      <w:r w:rsidR="00AF44C3" w:rsidRPr="00CF1516">
        <w:rPr>
          <w:noProof/>
        </w:rPr>
        <w:t>Commission guidance</w:t>
      </w:r>
      <w:r w:rsidR="00AF44C3" w:rsidRPr="00A1500F">
        <w:rPr>
          <w:noProof/>
        </w:rPr>
        <w:t xml:space="preserve"> </w:t>
      </w:r>
      <w:r w:rsidR="00AF44C3" w:rsidRPr="00DA11EA">
        <w:rPr>
          <w:noProof/>
        </w:rPr>
        <w:t>of relevance</w:t>
      </w:r>
      <w:r w:rsidR="00D052A8" w:rsidRPr="00CF1516">
        <w:rPr>
          <w:noProof/>
        </w:rPr>
        <w:t>, as appropriate</w:t>
      </w:r>
      <w:r w:rsidR="00A1500F" w:rsidRPr="00CF1516">
        <w:rPr>
          <w:noProof/>
        </w:rPr>
        <w:t>;</w:t>
      </w:r>
    </w:p>
    <w:p w14:paraId="3159315B" w14:textId="3727FA6D" w:rsidR="00AF44C3" w:rsidRPr="006C3CE1" w:rsidRDefault="002E4C52" w:rsidP="002E4C52">
      <w:pPr>
        <w:pStyle w:val="Point0"/>
        <w:rPr>
          <w:noProof/>
        </w:rPr>
      </w:pPr>
      <w:r w:rsidRPr="002E4C52">
        <w:t>(2)</w:t>
      </w:r>
      <w:r w:rsidRPr="002E4C52">
        <w:tab/>
      </w:r>
      <w:r w:rsidR="00A1500F">
        <w:rPr>
          <w:noProof/>
        </w:rPr>
        <w:t xml:space="preserve">establishing minimum common requirements </w:t>
      </w:r>
      <w:r w:rsidR="00AF44C3" w:rsidRPr="00796EB0">
        <w:rPr>
          <w:noProof/>
        </w:rPr>
        <w:t>on the composition of the Single Points of Contact (including when a judicial authorisation is requir</w:t>
      </w:r>
      <w:r w:rsidR="00AF44C3" w:rsidRPr="00F2156F">
        <w:rPr>
          <w:noProof/>
        </w:rPr>
        <w:t>ed), their functions, staffing, capabilities</w:t>
      </w:r>
      <w:r w:rsidR="00AF44C3" w:rsidRPr="006C3CE1">
        <w:rPr>
          <w:noProof/>
        </w:rPr>
        <w:t>.</w:t>
      </w:r>
    </w:p>
    <w:p w14:paraId="04C4C3C5" w14:textId="37DEAF2F" w:rsidR="00AF44C3" w:rsidRPr="002026E5" w:rsidRDefault="00AF44C3" w:rsidP="00AF44C3">
      <w:pPr>
        <w:pBdr>
          <w:top w:val="nil"/>
          <w:left w:val="nil"/>
          <w:bottom w:val="nil"/>
          <w:right w:val="nil"/>
          <w:between w:val="nil"/>
          <w:bar w:val="nil"/>
        </w:pBdr>
        <w:spacing w:before="0"/>
        <w:rPr>
          <w:noProof/>
          <w:szCs w:val="24"/>
        </w:rPr>
      </w:pPr>
      <w:r>
        <w:rPr>
          <w:noProof/>
          <w:szCs w:val="24"/>
          <w:u w:val="single"/>
        </w:rPr>
        <w:t>Specific objective 3:</w:t>
      </w:r>
      <w:r>
        <w:rPr>
          <w:noProof/>
          <w:szCs w:val="24"/>
        </w:rPr>
        <w:t xml:space="preserve"> </w:t>
      </w:r>
      <w:r>
        <w:rPr>
          <w:i/>
          <w:noProof/>
          <w:szCs w:val="24"/>
        </w:rPr>
        <w:t>Remedy</w:t>
      </w:r>
      <w:r w:rsidRPr="008E4C26">
        <w:rPr>
          <w:i/>
          <w:noProof/>
          <w:szCs w:val="24"/>
        </w:rPr>
        <w:t xml:space="preserve"> the proliferation</w:t>
      </w:r>
      <w:r>
        <w:rPr>
          <w:i/>
          <w:noProof/>
          <w:szCs w:val="24"/>
        </w:rPr>
        <w:t xml:space="preserve"> of communication channels used</w:t>
      </w:r>
      <w:r w:rsidRPr="002026E5">
        <w:rPr>
          <w:i/>
          <w:noProof/>
          <w:szCs w:val="24"/>
        </w:rPr>
        <w:t xml:space="preserve"> for law enforcement information exchange between Member States</w:t>
      </w:r>
      <w:r w:rsidR="00280118">
        <w:rPr>
          <w:i/>
          <w:noProof/>
          <w:szCs w:val="24"/>
        </w:rPr>
        <w:t>,</w:t>
      </w:r>
      <w:r w:rsidRPr="002026E5">
        <w:rPr>
          <w:i/>
          <w:noProof/>
          <w:szCs w:val="24"/>
        </w:rPr>
        <w:t xml:space="preserve"> while </w:t>
      </w:r>
      <w:r w:rsidR="00280118">
        <w:rPr>
          <w:i/>
          <w:noProof/>
          <w:szCs w:val="24"/>
        </w:rPr>
        <w:t xml:space="preserve">reinforcing </w:t>
      </w:r>
      <w:r w:rsidRPr="002026E5">
        <w:rPr>
          <w:i/>
          <w:noProof/>
          <w:szCs w:val="24"/>
        </w:rPr>
        <w:t>Europol</w:t>
      </w:r>
      <w:r w:rsidR="00280118">
        <w:rPr>
          <w:i/>
          <w:noProof/>
          <w:szCs w:val="24"/>
        </w:rPr>
        <w:t>’s role</w:t>
      </w:r>
      <w:r w:rsidRPr="002026E5">
        <w:rPr>
          <w:i/>
          <w:noProof/>
          <w:szCs w:val="24"/>
        </w:rPr>
        <w:t xml:space="preserve"> </w:t>
      </w:r>
      <w:r>
        <w:rPr>
          <w:i/>
          <w:noProof/>
          <w:szCs w:val="24"/>
        </w:rPr>
        <w:t>as the EU criminal information hub for</w:t>
      </w:r>
      <w:r w:rsidRPr="002026E5">
        <w:rPr>
          <w:i/>
          <w:noProof/>
          <w:szCs w:val="24"/>
        </w:rPr>
        <w:t xml:space="preserve"> offences falling within its mandate.</w:t>
      </w:r>
      <w:r w:rsidR="00280118">
        <w:rPr>
          <w:i/>
          <w:noProof/>
          <w:szCs w:val="24"/>
        </w:rPr>
        <w:t xml:space="preserve"> </w:t>
      </w:r>
    </w:p>
    <w:p w14:paraId="39CF5F25" w14:textId="77777777" w:rsidR="00A1500F" w:rsidRDefault="00AF44C3" w:rsidP="00AF44C3">
      <w:pPr>
        <w:rPr>
          <w:noProof/>
        </w:rPr>
      </w:pPr>
      <w:r w:rsidRPr="00CD51FA">
        <w:rPr>
          <w:noProof/>
        </w:rPr>
        <w:t>T</w:t>
      </w:r>
      <w:r w:rsidR="00A1500F">
        <w:rPr>
          <w:noProof/>
        </w:rPr>
        <w:t>hrough:</w:t>
      </w:r>
    </w:p>
    <w:p w14:paraId="397C4427" w14:textId="792FBB0E" w:rsidR="006C3CE1" w:rsidRPr="00584166" w:rsidRDefault="002E4C52" w:rsidP="002E4C52">
      <w:pPr>
        <w:pStyle w:val="Point0"/>
        <w:rPr>
          <w:rFonts w:eastAsia="Arial Unicode MS"/>
          <w:noProof/>
        </w:rPr>
      </w:pPr>
      <w:r w:rsidRPr="002E4C52">
        <w:t>(1)</w:t>
      </w:r>
      <w:r w:rsidRPr="002E4C52">
        <w:tab/>
      </w:r>
      <w:r w:rsidR="006C3CE1" w:rsidRPr="00A1500F">
        <w:rPr>
          <w:noProof/>
        </w:rPr>
        <w:t>develop</w:t>
      </w:r>
      <w:r w:rsidR="006C3CE1">
        <w:rPr>
          <w:noProof/>
        </w:rPr>
        <w:t>ing</w:t>
      </w:r>
      <w:r w:rsidR="00AF44C3" w:rsidRPr="00A1500F">
        <w:rPr>
          <w:noProof/>
        </w:rPr>
        <w:t xml:space="preserve"> new set of flanking </w:t>
      </w:r>
      <w:r w:rsidR="00D052A8">
        <w:rPr>
          <w:noProof/>
        </w:rPr>
        <w:t>‘</w:t>
      </w:r>
      <w:r w:rsidR="00AF44C3" w:rsidRPr="00A1500F">
        <w:rPr>
          <w:noProof/>
        </w:rPr>
        <w:t>soft</w:t>
      </w:r>
      <w:r w:rsidR="00D052A8">
        <w:rPr>
          <w:noProof/>
        </w:rPr>
        <w:t>’</w:t>
      </w:r>
      <w:r w:rsidR="00AF44C3" w:rsidRPr="00A1500F">
        <w:rPr>
          <w:noProof/>
        </w:rPr>
        <w:t xml:space="preserve"> measures, such as training, financial support and Commission guidance on information sharing</w:t>
      </w:r>
      <w:r w:rsidR="00D052A8">
        <w:rPr>
          <w:noProof/>
        </w:rPr>
        <w:t xml:space="preserve">, </w:t>
      </w:r>
      <w:r w:rsidR="00D052A8" w:rsidRPr="00CF1516">
        <w:rPr>
          <w:noProof/>
        </w:rPr>
        <w:t>as appropriate</w:t>
      </w:r>
      <w:r w:rsidR="00A1500F">
        <w:rPr>
          <w:noProof/>
        </w:rPr>
        <w:t>;</w:t>
      </w:r>
    </w:p>
    <w:p w14:paraId="72C53478" w14:textId="5D935BA5" w:rsidR="00F421A8" w:rsidRPr="002240AF" w:rsidRDefault="002E4C52" w:rsidP="002E4C52">
      <w:pPr>
        <w:pStyle w:val="Point0"/>
        <w:rPr>
          <w:noProof/>
        </w:rPr>
      </w:pPr>
      <w:r w:rsidRPr="002E4C52">
        <w:t>(2)</w:t>
      </w:r>
      <w:r w:rsidRPr="002E4C52">
        <w:tab/>
      </w:r>
      <w:r w:rsidR="00F421A8" w:rsidRPr="00FA508A">
        <w:rPr>
          <w:noProof/>
        </w:rPr>
        <w:t>requiring Member States to use SIENA for all bi- and multilateral information exchanges</w:t>
      </w:r>
      <w:r w:rsidR="00F421A8">
        <w:rPr>
          <w:noProof/>
        </w:rPr>
        <w:t xml:space="preserve"> </w:t>
      </w:r>
      <w:r w:rsidR="00F421A8" w:rsidRPr="004719DD">
        <w:rPr>
          <w:noProof/>
        </w:rPr>
        <w:t xml:space="preserve">under the </w:t>
      </w:r>
      <w:r w:rsidR="00F421A8" w:rsidRPr="00105F24">
        <w:rPr>
          <w:noProof/>
        </w:rPr>
        <w:t>proposed Directive</w:t>
      </w:r>
      <w:r w:rsidR="00F421A8">
        <w:rPr>
          <w:noProof/>
        </w:rPr>
        <w:t xml:space="preserve"> </w:t>
      </w:r>
      <w:r w:rsidR="00F421A8" w:rsidRPr="00105F24">
        <w:rPr>
          <w:noProof/>
        </w:rPr>
        <w:t>after a necessary transition period ensuring the full roll-out of SIENA</w:t>
      </w:r>
      <w:r w:rsidR="00F421A8">
        <w:rPr>
          <w:noProof/>
        </w:rPr>
        <w:t>.</w:t>
      </w:r>
    </w:p>
    <w:p w14:paraId="4E66E2B5" w14:textId="0597011A" w:rsidR="00AF44C3" w:rsidRDefault="00A1500F" w:rsidP="00AF44C3">
      <w:pPr>
        <w:pStyle w:val="Text2"/>
        <w:ind w:left="0"/>
        <w:rPr>
          <w:noProof/>
        </w:rPr>
      </w:pPr>
      <w:r>
        <w:rPr>
          <w:noProof/>
        </w:rPr>
        <w:t>T</w:t>
      </w:r>
      <w:r w:rsidR="00EC78C4">
        <w:rPr>
          <w:noProof/>
        </w:rPr>
        <w:t>he</w:t>
      </w:r>
      <w:r>
        <w:rPr>
          <w:noProof/>
        </w:rPr>
        <w:t>se measures</w:t>
      </w:r>
      <w:r w:rsidR="00EC78C4">
        <w:rPr>
          <w:noProof/>
        </w:rPr>
        <w:t xml:space="preserve"> </w:t>
      </w:r>
      <w:r w:rsidR="00AF44C3">
        <w:rPr>
          <w:noProof/>
        </w:rPr>
        <w:t xml:space="preserve">will </w:t>
      </w:r>
      <w:r w:rsidR="00AF44C3" w:rsidRPr="00F66FE5">
        <w:rPr>
          <w:b/>
          <w:noProof/>
        </w:rPr>
        <w:t>streamline, clarify, develop and modernise cross-border law enforcement cooperation</w:t>
      </w:r>
      <w:r w:rsidR="00280118">
        <w:rPr>
          <w:b/>
          <w:noProof/>
        </w:rPr>
        <w:t>,</w:t>
      </w:r>
      <w:r w:rsidR="00AF44C3" w:rsidRPr="00F66FE5">
        <w:rPr>
          <w:b/>
          <w:noProof/>
        </w:rPr>
        <w:t xml:space="preserve"> while better safeguarding fundamental rights</w:t>
      </w:r>
      <w:r w:rsidR="00883A1B">
        <w:rPr>
          <w:b/>
          <w:noProof/>
        </w:rPr>
        <w:t xml:space="preserve"> </w:t>
      </w:r>
      <w:r w:rsidR="00883A1B" w:rsidRPr="002240AF">
        <w:rPr>
          <w:noProof/>
        </w:rPr>
        <w:t>in particular</w:t>
      </w:r>
      <w:r w:rsidR="00883A1B">
        <w:rPr>
          <w:noProof/>
        </w:rPr>
        <w:t xml:space="preserve"> as regards the protection of personal data (as explained below)</w:t>
      </w:r>
      <w:r w:rsidR="00280118">
        <w:rPr>
          <w:noProof/>
        </w:rPr>
        <w:t>.</w:t>
      </w:r>
      <w:r w:rsidR="00AF44C3">
        <w:rPr>
          <w:noProof/>
        </w:rPr>
        <w:t xml:space="preserve"> It will also step up Europol support to Member States in countering evolving threats. The preferred policy option will ensure a strong convergence of national practices regarding the effective and efficient functionning of </w:t>
      </w:r>
      <w:r w:rsidR="002D4EA0">
        <w:rPr>
          <w:noProof/>
        </w:rPr>
        <w:t>Single Point of Contact</w:t>
      </w:r>
      <w:r w:rsidR="00AF44C3">
        <w:rPr>
          <w:noProof/>
        </w:rPr>
        <w:t>, through common minimum standards.</w:t>
      </w:r>
    </w:p>
    <w:p w14:paraId="78BD911B" w14:textId="1A5AB0EE" w:rsidR="00AF44C3" w:rsidRDefault="00AF44C3" w:rsidP="00EB334D">
      <w:pPr>
        <w:pStyle w:val="Text2"/>
        <w:ind w:left="0"/>
        <w:rPr>
          <w:noProof/>
        </w:rPr>
      </w:pPr>
      <w:r>
        <w:rPr>
          <w:bCs/>
          <w:noProof/>
          <w:szCs w:val="24"/>
        </w:rPr>
        <w:t>The most p</w:t>
      </w:r>
      <w:r w:rsidRPr="00492A70">
        <w:rPr>
          <w:bCs/>
          <w:noProof/>
          <w:szCs w:val="24"/>
        </w:rPr>
        <w:t>ositive</w:t>
      </w:r>
      <w:r>
        <w:rPr>
          <w:bCs/>
          <w:noProof/>
          <w:szCs w:val="24"/>
        </w:rPr>
        <w:t xml:space="preserve"> </w:t>
      </w:r>
      <w:r w:rsidRPr="00492A70">
        <w:rPr>
          <w:bCs/>
          <w:noProof/>
          <w:szCs w:val="24"/>
        </w:rPr>
        <w:t xml:space="preserve">impacts of </w:t>
      </w:r>
      <w:r>
        <w:rPr>
          <w:bCs/>
          <w:noProof/>
          <w:szCs w:val="24"/>
        </w:rPr>
        <w:t xml:space="preserve">the preferred policy option </w:t>
      </w:r>
      <w:r w:rsidRPr="00492A70">
        <w:rPr>
          <w:bCs/>
          <w:noProof/>
          <w:szCs w:val="24"/>
        </w:rPr>
        <w:t xml:space="preserve">are expected to stem from establishing the </w:t>
      </w:r>
      <w:r w:rsidR="002D4EA0">
        <w:rPr>
          <w:bCs/>
          <w:noProof/>
          <w:szCs w:val="24"/>
        </w:rPr>
        <w:t>Single Point of Contact</w:t>
      </w:r>
      <w:r w:rsidRPr="00492A70">
        <w:rPr>
          <w:bCs/>
          <w:noProof/>
          <w:szCs w:val="24"/>
        </w:rPr>
        <w:t xml:space="preserve"> as a </w:t>
      </w:r>
      <w:r>
        <w:rPr>
          <w:bCs/>
          <w:noProof/>
          <w:szCs w:val="24"/>
        </w:rPr>
        <w:t>"one-</w:t>
      </w:r>
      <w:r w:rsidRPr="00492A70">
        <w:rPr>
          <w:bCs/>
          <w:noProof/>
          <w:szCs w:val="24"/>
        </w:rPr>
        <w:t>stop shop</w:t>
      </w:r>
      <w:r>
        <w:rPr>
          <w:bCs/>
          <w:noProof/>
          <w:szCs w:val="24"/>
        </w:rPr>
        <w:t>"</w:t>
      </w:r>
      <w:r w:rsidRPr="00492A70">
        <w:rPr>
          <w:bCs/>
          <w:noProof/>
          <w:szCs w:val="24"/>
        </w:rPr>
        <w:t xml:space="preserve"> for </w:t>
      </w:r>
      <w:r>
        <w:rPr>
          <w:bCs/>
          <w:noProof/>
          <w:szCs w:val="24"/>
        </w:rPr>
        <w:t xml:space="preserve">law enforcement </w:t>
      </w:r>
      <w:r w:rsidRPr="00492A70">
        <w:rPr>
          <w:bCs/>
          <w:noProof/>
          <w:szCs w:val="24"/>
        </w:rPr>
        <w:t>c</w:t>
      </w:r>
      <w:r>
        <w:rPr>
          <w:bCs/>
          <w:noProof/>
          <w:szCs w:val="24"/>
        </w:rPr>
        <w:t xml:space="preserve">ooperation in all Member States. </w:t>
      </w:r>
      <w:r w:rsidRPr="002739CB">
        <w:rPr>
          <w:noProof/>
        </w:rPr>
        <w:t xml:space="preserve">The establishment of </w:t>
      </w:r>
      <w:r>
        <w:rPr>
          <w:noProof/>
        </w:rPr>
        <w:t xml:space="preserve">Europol </w:t>
      </w:r>
      <w:r w:rsidRPr="002739CB">
        <w:rPr>
          <w:noProof/>
        </w:rPr>
        <w:t>SIENA as the default channel of com</w:t>
      </w:r>
      <w:r>
        <w:rPr>
          <w:noProof/>
        </w:rPr>
        <w:t xml:space="preserve">munication </w:t>
      </w:r>
      <w:r>
        <w:rPr>
          <w:noProof/>
          <w:szCs w:val="24"/>
        </w:rPr>
        <w:t>will</w:t>
      </w:r>
      <w:r w:rsidRPr="00AE44F2">
        <w:rPr>
          <w:noProof/>
          <w:szCs w:val="24"/>
        </w:rPr>
        <w:t xml:space="preserve"> add to the streamlining of law enforcement information exchange</w:t>
      </w:r>
      <w:r>
        <w:rPr>
          <w:bCs/>
          <w:noProof/>
          <w:szCs w:val="24"/>
        </w:rPr>
        <w:t xml:space="preserve">, while ensuring the convergence of information at Europol, and the security of such information (and personal data). The preferred policy option also contains flanking measures such as relevant trainings and financial support, </w:t>
      </w:r>
      <w:r w:rsidRPr="007C601C">
        <w:rPr>
          <w:bCs/>
          <w:noProof/>
          <w:szCs w:val="24"/>
        </w:rPr>
        <w:t>key enabler</w:t>
      </w:r>
      <w:r>
        <w:rPr>
          <w:bCs/>
          <w:noProof/>
          <w:szCs w:val="24"/>
        </w:rPr>
        <w:t>s</w:t>
      </w:r>
      <w:r w:rsidRPr="007C601C">
        <w:rPr>
          <w:bCs/>
          <w:noProof/>
          <w:szCs w:val="24"/>
        </w:rPr>
        <w:t xml:space="preserve"> to achiev</w:t>
      </w:r>
      <w:r>
        <w:rPr>
          <w:bCs/>
          <w:noProof/>
          <w:szCs w:val="24"/>
        </w:rPr>
        <w:t>ing</w:t>
      </w:r>
      <w:r w:rsidRPr="007C601C">
        <w:rPr>
          <w:bCs/>
          <w:noProof/>
          <w:szCs w:val="24"/>
        </w:rPr>
        <w:t xml:space="preserve"> the specific objectives </w:t>
      </w:r>
      <w:r>
        <w:rPr>
          <w:bCs/>
          <w:noProof/>
          <w:szCs w:val="24"/>
        </w:rPr>
        <w:t>presented above.</w:t>
      </w:r>
      <w:r w:rsidR="00CF5AB2">
        <w:rPr>
          <w:bCs/>
          <w:noProof/>
          <w:szCs w:val="24"/>
        </w:rPr>
        <w:t xml:space="preserve"> </w:t>
      </w:r>
      <w:r>
        <w:rPr>
          <w:noProof/>
        </w:rPr>
        <w:t>The preferred option reflects the best cumulative impacts as regards to relevance, added value, effectiveness, efficiency, coherence and proportionality. It draws lessons from the past and, at the same time, is sufficiently ambitious. The preferred option takes duly account of the views expressed by the Member States while responding to the legitimate expectations of the EU citizens and businesses. In doing so, the preferred option contributes to the effective and efficient functioning of the Schengen area.</w:t>
      </w:r>
    </w:p>
    <w:p w14:paraId="1B74ADC6" w14:textId="77777777" w:rsidR="00AF44C3" w:rsidRPr="00463C1E" w:rsidRDefault="00AF44C3" w:rsidP="00AF44C3">
      <w:pPr>
        <w:pStyle w:val="ManualHeading2"/>
        <w:rPr>
          <w:rFonts w:eastAsia="Arial Unicode MS"/>
          <w:noProof/>
          <w:u w:color="000000"/>
          <w:bdr w:val="nil"/>
          <w:lang w:val="en-US" w:eastAsia="en-GB"/>
        </w:rPr>
      </w:pPr>
      <w:bookmarkStart w:id="16" w:name="_Toc85807200"/>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E52109">
        <w:rPr>
          <w:rFonts w:eastAsia="Arial Unicode MS"/>
          <w:noProof/>
          <w:u w:color="000000"/>
          <w:bdr w:val="nil"/>
          <w:lang w:val="en-US" w:eastAsia="en-GB"/>
        </w:rPr>
        <w:t>Fundamental rights</w:t>
      </w:r>
      <w:bookmarkEnd w:id="16"/>
    </w:p>
    <w:p w14:paraId="0C0EDB81" w14:textId="2648BCC0" w:rsidR="00AF44C3" w:rsidRDefault="00AF44C3" w:rsidP="00AF44C3">
      <w:pPr>
        <w:pStyle w:val="Body"/>
        <w:rPr>
          <w:rFonts w:ascii="Times New Roman" w:hAnsi="Times New Roman"/>
          <w:bCs/>
          <w:noProof/>
          <w:sz w:val="24"/>
          <w:szCs w:val="24"/>
        </w:rPr>
      </w:pPr>
      <w:r w:rsidRPr="007560BE">
        <w:rPr>
          <w:rFonts w:ascii="Times New Roman" w:hAnsi="Times New Roman"/>
          <w:bCs/>
          <w:noProof/>
          <w:sz w:val="24"/>
          <w:szCs w:val="24"/>
        </w:rPr>
        <w:t xml:space="preserve">The Impact Assessment </w:t>
      </w:r>
      <w:r>
        <w:rPr>
          <w:rFonts w:ascii="Times New Roman" w:hAnsi="Times New Roman"/>
          <w:bCs/>
          <w:noProof/>
          <w:sz w:val="24"/>
          <w:szCs w:val="24"/>
        </w:rPr>
        <w:t>accompanying the present proposal analysed the effects that each policy options</w:t>
      </w:r>
      <w:r w:rsidRPr="007560BE">
        <w:rPr>
          <w:rFonts w:ascii="Times New Roman" w:hAnsi="Times New Roman"/>
          <w:bCs/>
          <w:noProof/>
          <w:sz w:val="24"/>
          <w:szCs w:val="24"/>
        </w:rPr>
        <w:t xml:space="preserve">, including the measures envisaged by this proposal for a Directive, </w:t>
      </w:r>
      <w:r>
        <w:rPr>
          <w:rFonts w:ascii="Times New Roman" w:hAnsi="Times New Roman"/>
          <w:bCs/>
          <w:noProof/>
          <w:sz w:val="24"/>
          <w:szCs w:val="24"/>
        </w:rPr>
        <w:t>potentially</w:t>
      </w:r>
      <w:r w:rsidRPr="007560BE">
        <w:rPr>
          <w:rFonts w:ascii="Times New Roman" w:hAnsi="Times New Roman"/>
          <w:bCs/>
          <w:noProof/>
          <w:sz w:val="24"/>
          <w:szCs w:val="24"/>
        </w:rPr>
        <w:t xml:space="preserve"> have on fundamen</w:t>
      </w:r>
      <w:r>
        <w:rPr>
          <w:rFonts w:ascii="Times New Roman" w:hAnsi="Times New Roman"/>
          <w:bCs/>
          <w:noProof/>
          <w:sz w:val="24"/>
          <w:szCs w:val="24"/>
        </w:rPr>
        <w:t>tal rights of citizens.</w:t>
      </w:r>
      <w:r w:rsidR="00CF5AB2">
        <w:rPr>
          <w:rFonts w:ascii="Times New Roman" w:hAnsi="Times New Roman"/>
          <w:bCs/>
          <w:noProof/>
          <w:sz w:val="24"/>
          <w:szCs w:val="24"/>
        </w:rPr>
        <w:t xml:space="preserve"> </w:t>
      </w:r>
      <w:r>
        <w:rPr>
          <w:rFonts w:ascii="Times New Roman" w:hAnsi="Times New Roman"/>
          <w:bCs/>
          <w:noProof/>
          <w:sz w:val="24"/>
          <w:szCs w:val="24"/>
        </w:rPr>
        <w:t xml:space="preserve">By definition, any policy options addressing information sharing between law enforcement authorities, have an impact on the right </w:t>
      </w:r>
      <w:r w:rsidR="009B5284">
        <w:rPr>
          <w:rFonts w:ascii="Times New Roman" w:hAnsi="Times New Roman"/>
          <w:bCs/>
          <w:noProof/>
          <w:sz w:val="24"/>
          <w:szCs w:val="24"/>
        </w:rPr>
        <w:t xml:space="preserve">to </w:t>
      </w:r>
      <w:r>
        <w:rPr>
          <w:rFonts w:ascii="Times New Roman" w:hAnsi="Times New Roman"/>
          <w:bCs/>
          <w:noProof/>
          <w:sz w:val="24"/>
          <w:szCs w:val="24"/>
        </w:rPr>
        <w:t xml:space="preserve">protection of personal data, as provided for by Article 8 of Charter of </w:t>
      </w:r>
      <w:r w:rsidR="009B5284">
        <w:rPr>
          <w:rFonts w:ascii="Times New Roman" w:hAnsi="Times New Roman"/>
          <w:bCs/>
          <w:noProof/>
          <w:sz w:val="24"/>
          <w:szCs w:val="24"/>
        </w:rPr>
        <w:t>F</w:t>
      </w:r>
      <w:r>
        <w:rPr>
          <w:rFonts w:ascii="Times New Roman" w:hAnsi="Times New Roman"/>
          <w:bCs/>
          <w:noProof/>
          <w:sz w:val="24"/>
          <w:szCs w:val="24"/>
        </w:rPr>
        <w:t xml:space="preserve">undamental </w:t>
      </w:r>
      <w:r w:rsidR="009B5284">
        <w:rPr>
          <w:rFonts w:ascii="Times New Roman" w:hAnsi="Times New Roman"/>
          <w:bCs/>
          <w:noProof/>
          <w:sz w:val="24"/>
          <w:szCs w:val="24"/>
        </w:rPr>
        <w:t>R</w:t>
      </w:r>
      <w:r>
        <w:rPr>
          <w:rFonts w:ascii="Times New Roman" w:hAnsi="Times New Roman"/>
          <w:bCs/>
          <w:noProof/>
          <w:sz w:val="24"/>
          <w:szCs w:val="24"/>
        </w:rPr>
        <w:t xml:space="preserve">ights </w:t>
      </w:r>
      <w:r w:rsidR="009B5284">
        <w:rPr>
          <w:rFonts w:ascii="Times New Roman" w:hAnsi="Times New Roman"/>
          <w:bCs/>
          <w:noProof/>
          <w:sz w:val="24"/>
          <w:szCs w:val="24"/>
        </w:rPr>
        <w:t xml:space="preserve">of the EU </w:t>
      </w:r>
      <w:r w:rsidR="00883A1B">
        <w:rPr>
          <w:rFonts w:ascii="Times New Roman" w:hAnsi="Times New Roman"/>
          <w:bCs/>
          <w:noProof/>
          <w:sz w:val="24"/>
          <w:szCs w:val="24"/>
        </w:rPr>
        <w:t xml:space="preserve">(hereinafter: Charter) </w:t>
      </w:r>
      <w:r>
        <w:rPr>
          <w:rFonts w:ascii="Times New Roman" w:hAnsi="Times New Roman"/>
          <w:bCs/>
          <w:noProof/>
          <w:sz w:val="24"/>
          <w:szCs w:val="24"/>
        </w:rPr>
        <w:t>and Article 16 of the Treaty on the Functioning of the European Union.</w:t>
      </w:r>
    </w:p>
    <w:p w14:paraId="0BFDAE01" w14:textId="2B1A64AB" w:rsidR="00AF44C3" w:rsidRDefault="00AF44C3" w:rsidP="00AF44C3">
      <w:pPr>
        <w:pStyle w:val="Body"/>
        <w:rPr>
          <w:rFonts w:ascii="Times New Roman" w:hAnsi="Times New Roman"/>
          <w:bCs/>
          <w:noProof/>
          <w:sz w:val="24"/>
          <w:szCs w:val="24"/>
        </w:rPr>
      </w:pPr>
      <w:r>
        <w:rPr>
          <w:rFonts w:ascii="Times New Roman" w:hAnsi="Times New Roman"/>
          <w:bCs/>
          <w:noProof/>
          <w:sz w:val="24"/>
          <w:szCs w:val="24"/>
        </w:rPr>
        <w:t>The policy options also have a potential impact on other fundamental rights, such as those protected by</w:t>
      </w:r>
      <w:r w:rsidRPr="00FB474F">
        <w:rPr>
          <w:rFonts w:ascii="Times New Roman" w:hAnsi="Times New Roman"/>
          <w:noProof/>
          <w:sz w:val="24"/>
          <w:szCs w:val="24"/>
        </w:rPr>
        <w:t xml:space="preserve"> Articles 2 (</w:t>
      </w:r>
      <w:r w:rsidRPr="00FB474F">
        <w:rPr>
          <w:rFonts w:ascii="Times New Roman" w:hAnsi="Times New Roman"/>
          <w:bCs/>
          <w:noProof/>
          <w:sz w:val="24"/>
          <w:szCs w:val="24"/>
        </w:rPr>
        <w:t>Right to life), 3</w:t>
      </w:r>
      <w:r w:rsidRPr="00FB474F">
        <w:rPr>
          <w:rFonts w:ascii="Times New Roman" w:hAnsi="Times New Roman"/>
          <w:noProof/>
          <w:sz w:val="24"/>
          <w:szCs w:val="24"/>
        </w:rPr>
        <w:t xml:space="preserve"> (</w:t>
      </w:r>
      <w:r w:rsidRPr="00FB474F">
        <w:rPr>
          <w:rFonts w:ascii="Times New Roman" w:hAnsi="Times New Roman"/>
          <w:bCs/>
          <w:noProof/>
          <w:sz w:val="24"/>
          <w:szCs w:val="24"/>
        </w:rPr>
        <w:t>Right to the integrity of the person), 6 (Right to liberty</w:t>
      </w:r>
      <w:r>
        <w:rPr>
          <w:rFonts w:ascii="Times New Roman" w:hAnsi="Times New Roman"/>
          <w:bCs/>
          <w:noProof/>
          <w:sz w:val="24"/>
          <w:szCs w:val="24"/>
        </w:rPr>
        <w:t xml:space="preserve"> and security</w:t>
      </w:r>
      <w:r w:rsidRPr="00FB474F">
        <w:rPr>
          <w:rFonts w:ascii="Times New Roman" w:hAnsi="Times New Roman"/>
          <w:bCs/>
          <w:noProof/>
          <w:sz w:val="24"/>
          <w:szCs w:val="24"/>
        </w:rPr>
        <w:t>), 17 (Right to property) and 45 (Freedom of movement and of residence)</w:t>
      </w:r>
      <w:r w:rsidRPr="00371495">
        <w:rPr>
          <w:rFonts w:ascii="Times New Roman" w:hAnsi="Times New Roman"/>
          <w:bCs/>
          <w:noProof/>
          <w:sz w:val="24"/>
          <w:szCs w:val="24"/>
        </w:rPr>
        <w:t xml:space="preserve"> of the Charter.</w:t>
      </w:r>
      <w:r w:rsidR="00CF5AB2">
        <w:rPr>
          <w:rFonts w:ascii="Times New Roman" w:hAnsi="Times New Roman"/>
          <w:bCs/>
          <w:noProof/>
          <w:sz w:val="24"/>
          <w:szCs w:val="24"/>
        </w:rPr>
        <w:t xml:space="preserve"> </w:t>
      </w:r>
      <w:r>
        <w:rPr>
          <w:rFonts w:ascii="Times New Roman" w:hAnsi="Times New Roman"/>
          <w:bCs/>
          <w:noProof/>
          <w:sz w:val="24"/>
          <w:szCs w:val="24"/>
        </w:rPr>
        <w:t>The Impact Assessment considered that the chosen policy options</w:t>
      </w:r>
      <w:r w:rsidRPr="00371495">
        <w:rPr>
          <w:rFonts w:ascii="Times New Roman" w:hAnsi="Times New Roman"/>
          <w:bCs/>
          <w:noProof/>
          <w:sz w:val="24"/>
          <w:szCs w:val="24"/>
        </w:rPr>
        <w:t xml:space="preserve"> </w:t>
      </w:r>
      <w:r>
        <w:rPr>
          <w:rFonts w:ascii="Times New Roman" w:hAnsi="Times New Roman"/>
          <w:bCs/>
          <w:noProof/>
          <w:sz w:val="24"/>
          <w:szCs w:val="24"/>
        </w:rPr>
        <w:t xml:space="preserve">are proportionate since they are limited to what is strictly necessary to </w:t>
      </w:r>
      <w:r w:rsidRPr="00371495">
        <w:rPr>
          <w:rFonts w:ascii="Times New Roman" w:hAnsi="Times New Roman"/>
          <w:bCs/>
          <w:noProof/>
          <w:sz w:val="24"/>
          <w:szCs w:val="24"/>
        </w:rPr>
        <w:t>meet</w:t>
      </w:r>
      <w:r>
        <w:rPr>
          <w:rFonts w:ascii="Times New Roman" w:hAnsi="Times New Roman"/>
          <w:bCs/>
          <w:noProof/>
          <w:sz w:val="24"/>
          <w:szCs w:val="24"/>
        </w:rPr>
        <w:t xml:space="preserve"> the </w:t>
      </w:r>
      <w:r w:rsidRPr="00371495">
        <w:rPr>
          <w:rFonts w:ascii="Times New Roman" w:hAnsi="Times New Roman"/>
          <w:bCs/>
          <w:noProof/>
          <w:sz w:val="24"/>
          <w:szCs w:val="24"/>
        </w:rPr>
        <w:t>objective</w:t>
      </w:r>
      <w:r>
        <w:rPr>
          <w:rFonts w:ascii="Times New Roman" w:hAnsi="Times New Roman"/>
          <w:bCs/>
          <w:noProof/>
          <w:sz w:val="24"/>
          <w:szCs w:val="24"/>
        </w:rPr>
        <w:t xml:space="preserve"> of </w:t>
      </w:r>
      <w:r w:rsidRPr="00371495">
        <w:rPr>
          <w:rFonts w:ascii="Times New Roman" w:hAnsi="Times New Roman"/>
          <w:bCs/>
          <w:noProof/>
          <w:sz w:val="24"/>
          <w:szCs w:val="24"/>
        </w:rPr>
        <w:t>safeguarding the internal</w:t>
      </w:r>
      <w:r>
        <w:rPr>
          <w:rFonts w:ascii="Times New Roman" w:hAnsi="Times New Roman"/>
          <w:bCs/>
          <w:noProof/>
          <w:sz w:val="24"/>
          <w:szCs w:val="24"/>
        </w:rPr>
        <w:t xml:space="preserve"> security </w:t>
      </w:r>
      <w:r w:rsidR="00EC78C4">
        <w:rPr>
          <w:rFonts w:ascii="Times New Roman" w:hAnsi="Times New Roman"/>
          <w:bCs/>
          <w:noProof/>
          <w:sz w:val="24"/>
          <w:szCs w:val="24"/>
        </w:rPr>
        <w:t xml:space="preserve">in </w:t>
      </w:r>
      <w:r>
        <w:rPr>
          <w:rFonts w:ascii="Times New Roman" w:hAnsi="Times New Roman"/>
          <w:bCs/>
          <w:noProof/>
          <w:sz w:val="24"/>
          <w:szCs w:val="24"/>
        </w:rPr>
        <w:t>the Schengen area while protecting the free movement of persons</w:t>
      </w:r>
      <w:r w:rsidR="00796EB0">
        <w:rPr>
          <w:rStyle w:val="FootnoteReference0"/>
          <w:rFonts w:ascii="Times New Roman" w:hAnsi="Times New Roman"/>
          <w:bCs/>
          <w:noProof/>
          <w:sz w:val="24"/>
          <w:szCs w:val="24"/>
        </w:rPr>
        <w:footnoteReference w:id="39"/>
      </w:r>
      <w:r>
        <w:rPr>
          <w:rFonts w:ascii="Times New Roman" w:hAnsi="Times New Roman"/>
          <w:bCs/>
          <w:noProof/>
          <w:sz w:val="24"/>
          <w:szCs w:val="24"/>
        </w:rPr>
        <w:t xml:space="preserve">. </w:t>
      </w:r>
    </w:p>
    <w:p w14:paraId="1C00B558" w14:textId="1D076F8B" w:rsidR="00AF44C3" w:rsidRPr="00371495" w:rsidRDefault="00AF44C3" w:rsidP="00EB334D">
      <w:pPr>
        <w:pStyle w:val="Body"/>
        <w:rPr>
          <w:rFonts w:eastAsia="Arial Unicode MS"/>
          <w:noProof/>
        </w:rPr>
      </w:pPr>
      <w:r>
        <w:rPr>
          <w:rFonts w:ascii="Times New Roman" w:hAnsi="Times New Roman"/>
          <w:bCs/>
          <w:noProof/>
          <w:sz w:val="24"/>
          <w:szCs w:val="24"/>
        </w:rPr>
        <w:t xml:space="preserve">Furthermore, the alignment of the </w:t>
      </w:r>
      <w:r w:rsidR="00883A1B">
        <w:rPr>
          <w:rFonts w:ascii="Times New Roman" w:hAnsi="Times New Roman"/>
          <w:bCs/>
          <w:noProof/>
          <w:sz w:val="24"/>
          <w:szCs w:val="24"/>
        </w:rPr>
        <w:t>relevant rules on exchanges of information for law enforcement purposes</w:t>
      </w:r>
      <w:r w:rsidR="00883A1B" w:rsidRPr="0066117C">
        <w:rPr>
          <w:rFonts w:ascii="Times New Roman" w:hAnsi="Times New Roman"/>
          <w:bCs/>
          <w:noProof/>
          <w:sz w:val="24"/>
          <w:szCs w:val="24"/>
        </w:rPr>
        <w:t xml:space="preserve"> </w:t>
      </w:r>
      <w:r>
        <w:rPr>
          <w:rFonts w:ascii="Times New Roman" w:hAnsi="Times New Roman"/>
          <w:bCs/>
          <w:noProof/>
          <w:sz w:val="24"/>
          <w:szCs w:val="24"/>
        </w:rPr>
        <w:t xml:space="preserve">with the subsequently adopted and applicable rules on processing personal data for law enforcement purposes (pursuant to the 2016 </w:t>
      </w:r>
      <w:r w:rsidRPr="00DA11EA">
        <w:rPr>
          <w:rFonts w:ascii="Times New Roman" w:hAnsi="Times New Roman"/>
          <w:bCs/>
          <w:noProof/>
          <w:sz w:val="24"/>
          <w:szCs w:val="24"/>
        </w:rPr>
        <w:t xml:space="preserve">Law Enforcement </w:t>
      </w:r>
      <w:r w:rsidR="00883A1B" w:rsidRPr="002240AF">
        <w:rPr>
          <w:rFonts w:ascii="Times New Roman" w:hAnsi="Times New Roman"/>
          <w:bCs/>
          <w:noProof/>
          <w:sz w:val="24"/>
          <w:szCs w:val="24"/>
        </w:rPr>
        <w:t xml:space="preserve">Data Protection </w:t>
      </w:r>
      <w:r w:rsidRPr="00DA11EA">
        <w:rPr>
          <w:rFonts w:ascii="Times New Roman" w:hAnsi="Times New Roman"/>
          <w:bCs/>
          <w:noProof/>
          <w:sz w:val="24"/>
          <w:szCs w:val="24"/>
        </w:rPr>
        <w:t>Directive</w:t>
      </w:r>
      <w:r w:rsidR="00105F24">
        <w:rPr>
          <w:rFonts w:ascii="Times New Roman" w:hAnsi="Times New Roman"/>
          <w:bCs/>
          <w:noProof/>
          <w:sz w:val="24"/>
          <w:szCs w:val="24"/>
        </w:rPr>
        <w:t>;</w:t>
      </w:r>
      <w:r w:rsidR="00810F59">
        <w:rPr>
          <w:rFonts w:ascii="Times New Roman" w:hAnsi="Times New Roman"/>
          <w:bCs/>
          <w:noProof/>
          <w:sz w:val="24"/>
          <w:szCs w:val="24"/>
        </w:rPr>
        <w:t xml:space="preserve"> hereinafter: LED</w:t>
      </w:r>
      <w:r w:rsidR="00DA11EA">
        <w:rPr>
          <w:rStyle w:val="FootnoteReference0"/>
          <w:rFonts w:ascii="Times New Roman" w:hAnsi="Times New Roman"/>
          <w:bCs/>
          <w:noProof/>
          <w:sz w:val="24"/>
          <w:szCs w:val="24"/>
        </w:rPr>
        <w:footnoteReference w:id="40"/>
      </w:r>
      <w:r>
        <w:rPr>
          <w:rFonts w:ascii="Times New Roman" w:hAnsi="Times New Roman"/>
          <w:bCs/>
          <w:noProof/>
          <w:sz w:val="24"/>
          <w:szCs w:val="24"/>
        </w:rPr>
        <w:t xml:space="preserve">) </w:t>
      </w:r>
      <w:r w:rsidRPr="0066117C">
        <w:rPr>
          <w:rFonts w:ascii="Times New Roman" w:hAnsi="Times New Roman"/>
          <w:bCs/>
          <w:noProof/>
          <w:sz w:val="24"/>
          <w:szCs w:val="24"/>
        </w:rPr>
        <w:t>are expected to positively impact safeguarding citizens' fundamental rights</w:t>
      </w:r>
      <w:r>
        <w:rPr>
          <w:rFonts w:ascii="Times New Roman" w:hAnsi="Times New Roman"/>
          <w:bCs/>
          <w:noProof/>
          <w:sz w:val="24"/>
          <w:szCs w:val="24"/>
        </w:rPr>
        <w:t xml:space="preserve">. The use of SIENA as the communication channel will also enhance the security of the personal data processing systems and their overall protection </w:t>
      </w:r>
      <w:r w:rsidR="009B5284">
        <w:rPr>
          <w:rFonts w:ascii="Times New Roman" w:hAnsi="Times New Roman"/>
          <w:bCs/>
          <w:noProof/>
          <w:sz w:val="24"/>
          <w:szCs w:val="24"/>
        </w:rPr>
        <w:t xml:space="preserve">against </w:t>
      </w:r>
      <w:r>
        <w:rPr>
          <w:rFonts w:ascii="Times New Roman" w:hAnsi="Times New Roman"/>
          <w:bCs/>
          <w:noProof/>
          <w:sz w:val="24"/>
          <w:szCs w:val="24"/>
        </w:rPr>
        <w:t>possible abuses.</w:t>
      </w:r>
      <w:r w:rsidR="00ED3FA7">
        <w:rPr>
          <w:rFonts w:ascii="Times New Roman" w:hAnsi="Times New Roman"/>
          <w:bCs/>
          <w:noProof/>
          <w:sz w:val="24"/>
          <w:szCs w:val="24"/>
        </w:rPr>
        <w:t xml:space="preserve"> </w:t>
      </w:r>
      <w:r>
        <w:rPr>
          <w:rFonts w:ascii="Times New Roman" w:hAnsi="Times New Roman"/>
          <w:noProof/>
          <w:sz w:val="24"/>
          <w:szCs w:val="24"/>
        </w:rPr>
        <w:t xml:space="preserve">As the </w:t>
      </w:r>
      <w:r w:rsidR="00105F24">
        <w:rPr>
          <w:rFonts w:ascii="Times New Roman" w:hAnsi="Times New Roman"/>
          <w:noProof/>
          <w:sz w:val="24"/>
          <w:szCs w:val="24"/>
        </w:rPr>
        <w:t>LED</w:t>
      </w:r>
      <w:r>
        <w:rPr>
          <w:rFonts w:ascii="Times New Roman" w:hAnsi="Times New Roman"/>
          <w:noProof/>
          <w:sz w:val="24"/>
          <w:szCs w:val="24"/>
        </w:rPr>
        <w:t xml:space="preserve"> provides </w:t>
      </w:r>
      <w:r w:rsidR="00883A1B">
        <w:rPr>
          <w:rFonts w:ascii="Times New Roman" w:hAnsi="Times New Roman"/>
          <w:noProof/>
          <w:sz w:val="24"/>
          <w:szCs w:val="24"/>
        </w:rPr>
        <w:t xml:space="preserve">and ensures </w:t>
      </w:r>
      <w:r>
        <w:rPr>
          <w:rFonts w:ascii="Times New Roman" w:hAnsi="Times New Roman"/>
          <w:noProof/>
          <w:sz w:val="24"/>
          <w:szCs w:val="24"/>
        </w:rPr>
        <w:t>the required level of</w:t>
      </w:r>
      <w:r w:rsidR="009B5284">
        <w:rPr>
          <w:rFonts w:ascii="Times New Roman" w:hAnsi="Times New Roman"/>
          <w:noProof/>
          <w:sz w:val="24"/>
          <w:szCs w:val="24"/>
        </w:rPr>
        <w:t xml:space="preserve"> </w:t>
      </w:r>
      <w:r w:rsidR="00883A1B">
        <w:rPr>
          <w:rFonts w:ascii="Times New Roman" w:hAnsi="Times New Roman"/>
          <w:noProof/>
          <w:sz w:val="24"/>
          <w:szCs w:val="24"/>
        </w:rPr>
        <w:t>personal</w:t>
      </w:r>
      <w:r w:rsidR="00883A1B" w:rsidDel="00883A1B">
        <w:rPr>
          <w:rFonts w:ascii="Times New Roman" w:hAnsi="Times New Roman"/>
          <w:noProof/>
          <w:sz w:val="24"/>
          <w:szCs w:val="24"/>
        </w:rPr>
        <w:t xml:space="preserve"> </w:t>
      </w:r>
      <w:r>
        <w:rPr>
          <w:rFonts w:ascii="Times New Roman" w:hAnsi="Times New Roman"/>
          <w:noProof/>
          <w:sz w:val="24"/>
          <w:szCs w:val="24"/>
        </w:rPr>
        <w:t xml:space="preserve">data protection in the Union, there is </w:t>
      </w:r>
      <w:r w:rsidRPr="004719DD">
        <w:rPr>
          <w:rFonts w:ascii="Times New Roman" w:hAnsi="Times New Roman"/>
          <w:noProof/>
          <w:sz w:val="24"/>
          <w:szCs w:val="24"/>
        </w:rPr>
        <w:t>no</w:t>
      </w:r>
      <w:r>
        <w:rPr>
          <w:rFonts w:ascii="Times New Roman" w:hAnsi="Times New Roman"/>
          <w:noProof/>
          <w:sz w:val="24"/>
          <w:szCs w:val="24"/>
        </w:rPr>
        <w:t xml:space="preserve"> need to go beyond it. Instead, the alignment will ensure </w:t>
      </w:r>
      <w:r w:rsidRPr="002240AF">
        <w:rPr>
          <w:rFonts w:ascii="Times New Roman" w:hAnsi="Times New Roman"/>
          <w:noProof/>
          <w:sz w:val="24"/>
          <w:szCs w:val="24"/>
        </w:rPr>
        <w:t>full consistency</w:t>
      </w:r>
      <w:r>
        <w:rPr>
          <w:rFonts w:ascii="Times New Roman" w:hAnsi="Times New Roman"/>
          <w:noProof/>
          <w:sz w:val="24"/>
          <w:szCs w:val="24"/>
        </w:rPr>
        <w:t xml:space="preserve"> with the EU </w:t>
      </w:r>
      <w:r w:rsidR="009B5284">
        <w:rPr>
          <w:rFonts w:ascii="Times New Roman" w:hAnsi="Times New Roman"/>
          <w:noProof/>
          <w:sz w:val="24"/>
          <w:szCs w:val="24"/>
        </w:rPr>
        <w:t xml:space="preserve">personal </w:t>
      </w:r>
      <w:r>
        <w:rPr>
          <w:rFonts w:ascii="Times New Roman" w:hAnsi="Times New Roman"/>
          <w:noProof/>
          <w:sz w:val="24"/>
          <w:szCs w:val="24"/>
        </w:rPr>
        <w:t>data protection rules</w:t>
      </w:r>
      <w:r w:rsidR="009B5284">
        <w:rPr>
          <w:rFonts w:ascii="Times New Roman" w:hAnsi="Times New Roman"/>
          <w:noProof/>
          <w:sz w:val="24"/>
          <w:szCs w:val="24"/>
        </w:rPr>
        <w:t>, including those contained in th</w:t>
      </w:r>
      <w:r w:rsidR="00105F24">
        <w:rPr>
          <w:rFonts w:ascii="Times New Roman" w:hAnsi="Times New Roman"/>
          <w:noProof/>
          <w:sz w:val="24"/>
          <w:szCs w:val="24"/>
        </w:rPr>
        <w:t>e LED</w:t>
      </w:r>
      <w:r>
        <w:rPr>
          <w:rFonts w:ascii="Times New Roman" w:hAnsi="Times New Roman"/>
          <w:noProof/>
          <w:sz w:val="24"/>
          <w:szCs w:val="24"/>
        </w:rPr>
        <w:t>.</w:t>
      </w:r>
      <w:r w:rsidR="00CF5AB2">
        <w:rPr>
          <w:rFonts w:ascii="Times New Roman" w:hAnsi="Times New Roman"/>
          <w:bCs/>
          <w:noProof/>
          <w:sz w:val="24"/>
          <w:szCs w:val="24"/>
        </w:rPr>
        <w:t xml:space="preserve"> </w:t>
      </w:r>
      <w:r w:rsidR="00883A1B">
        <w:rPr>
          <w:rFonts w:ascii="Times New Roman" w:hAnsi="Times New Roman"/>
          <w:bCs/>
          <w:noProof/>
          <w:sz w:val="24"/>
          <w:szCs w:val="24"/>
        </w:rPr>
        <w:t xml:space="preserve">In this manner, effect is given to the </w:t>
      </w:r>
      <w:r>
        <w:rPr>
          <w:rFonts w:ascii="Times New Roman" w:hAnsi="Times New Roman"/>
          <w:bCs/>
          <w:noProof/>
          <w:sz w:val="24"/>
          <w:szCs w:val="24"/>
        </w:rPr>
        <w:t>Commission</w:t>
      </w:r>
      <w:r w:rsidR="009B5284">
        <w:rPr>
          <w:rFonts w:ascii="Times New Roman" w:hAnsi="Times New Roman"/>
          <w:bCs/>
          <w:noProof/>
          <w:sz w:val="24"/>
          <w:szCs w:val="24"/>
        </w:rPr>
        <w:t>’s</w:t>
      </w:r>
      <w:r>
        <w:rPr>
          <w:rFonts w:ascii="Times New Roman" w:hAnsi="Times New Roman"/>
          <w:bCs/>
          <w:noProof/>
          <w:sz w:val="24"/>
          <w:szCs w:val="24"/>
        </w:rPr>
        <w:t xml:space="preserve"> commit</w:t>
      </w:r>
      <w:r w:rsidR="009B5284">
        <w:rPr>
          <w:rFonts w:ascii="Times New Roman" w:hAnsi="Times New Roman"/>
          <w:bCs/>
          <w:noProof/>
          <w:sz w:val="24"/>
          <w:szCs w:val="24"/>
        </w:rPr>
        <w:t xml:space="preserve">ment contained </w:t>
      </w:r>
      <w:r>
        <w:rPr>
          <w:rFonts w:ascii="Times New Roman" w:hAnsi="Times New Roman"/>
          <w:bCs/>
          <w:noProof/>
          <w:sz w:val="24"/>
          <w:szCs w:val="24"/>
        </w:rPr>
        <w:t xml:space="preserve">in a 2020 Communication </w:t>
      </w:r>
      <w:r>
        <w:rPr>
          <w:rFonts w:ascii="Times New Roman" w:hAnsi="Times New Roman"/>
          <w:noProof/>
          <w:sz w:val="24"/>
          <w:szCs w:val="24"/>
        </w:rPr>
        <w:t>to "</w:t>
      </w:r>
      <w:r w:rsidRPr="00917564">
        <w:rPr>
          <w:rFonts w:ascii="Times New Roman" w:hAnsi="Times New Roman"/>
          <w:i/>
          <w:noProof/>
          <w:sz w:val="24"/>
          <w:szCs w:val="24"/>
        </w:rPr>
        <w:t>make a legislative proposal, which as a minimum will entail an amendment of Council Framework Decision 2006/960/JHA to ensure the necessary data protection alignment, in the last quarter of 2021</w:t>
      </w:r>
      <w:r w:rsidRPr="00456FDA">
        <w:rPr>
          <w:rFonts w:ascii="Times New Roman" w:hAnsi="Times New Roman"/>
          <w:noProof/>
          <w:sz w:val="24"/>
          <w:szCs w:val="24"/>
        </w:rPr>
        <w:t>"</w:t>
      </w:r>
      <w:r>
        <w:rPr>
          <w:rStyle w:val="FootnoteReference0"/>
          <w:rFonts w:ascii="Times New Roman" w:hAnsi="Times New Roman"/>
          <w:bCs/>
          <w:noProof/>
          <w:sz w:val="24"/>
          <w:szCs w:val="24"/>
        </w:rPr>
        <w:footnoteReference w:id="41"/>
      </w:r>
      <w:r>
        <w:rPr>
          <w:rFonts w:ascii="Times New Roman" w:hAnsi="Times New Roman"/>
          <w:bCs/>
          <w:noProof/>
          <w:sz w:val="24"/>
          <w:szCs w:val="24"/>
        </w:rPr>
        <w:t xml:space="preserve">. </w:t>
      </w:r>
    </w:p>
    <w:p w14:paraId="6239AE8F" w14:textId="77777777" w:rsidR="00AF44C3" w:rsidRDefault="00AF44C3" w:rsidP="00876785">
      <w:pPr>
        <w:pStyle w:val="ManualHeading1"/>
        <w:spacing w:before="240"/>
        <w:ind w:left="851" w:hanging="851"/>
        <w:rPr>
          <w:noProof/>
        </w:rPr>
      </w:pPr>
      <w:bookmarkStart w:id="17" w:name="_Toc85807201"/>
      <w:r w:rsidRPr="00550536">
        <w:rPr>
          <w:noProof/>
        </w:rPr>
        <w:t>4.</w:t>
      </w:r>
      <w:r w:rsidRPr="00550536">
        <w:rPr>
          <w:noProof/>
        </w:rPr>
        <w:tab/>
      </w:r>
      <w:r w:rsidRPr="0088467A">
        <w:rPr>
          <w:noProof/>
        </w:rPr>
        <w:t>BUDGETARY IMPLICATIONS</w:t>
      </w:r>
      <w:bookmarkEnd w:id="17"/>
    </w:p>
    <w:p w14:paraId="15AEABA0" w14:textId="09FD9C7B" w:rsidR="00AF44C3" w:rsidRDefault="00AF44C3" w:rsidP="00AF44C3">
      <w:pPr>
        <w:rPr>
          <w:noProof/>
          <w:szCs w:val="24"/>
        </w:rPr>
      </w:pPr>
      <w:r w:rsidRPr="00580B0E">
        <w:rPr>
          <w:bCs/>
          <w:noProof/>
          <w:szCs w:val="24"/>
        </w:rPr>
        <w:t>While highly depending from the specificities of each national IT set-up and legal parameters</w:t>
      </w:r>
      <w:r>
        <w:rPr>
          <w:bCs/>
          <w:noProof/>
          <w:szCs w:val="24"/>
        </w:rPr>
        <w:t xml:space="preserve">, an </w:t>
      </w:r>
      <w:r w:rsidRPr="00580B0E">
        <w:rPr>
          <w:bCs/>
          <w:noProof/>
          <w:szCs w:val="24"/>
        </w:rPr>
        <w:t>estimation of possible costs has been provided by Europol</w:t>
      </w:r>
      <w:r>
        <w:rPr>
          <w:bCs/>
          <w:noProof/>
          <w:szCs w:val="24"/>
        </w:rPr>
        <w:t xml:space="preserve"> and</w:t>
      </w:r>
      <w:r>
        <w:rPr>
          <w:noProof/>
          <w:szCs w:val="24"/>
        </w:rPr>
        <w:t xml:space="preserve"> reported in the Impact Assessment accompanying this proposal. The necessary IT upgrades in both </w:t>
      </w:r>
      <w:r w:rsidR="002D4EA0">
        <w:rPr>
          <w:noProof/>
          <w:szCs w:val="24"/>
        </w:rPr>
        <w:t>Single Points of Contact</w:t>
      </w:r>
      <w:r>
        <w:rPr>
          <w:noProof/>
          <w:szCs w:val="24"/>
        </w:rPr>
        <w:t xml:space="preserve"> </w:t>
      </w:r>
      <w:r w:rsidRPr="00560EF1">
        <w:rPr>
          <w:noProof/>
          <w:szCs w:val="24"/>
        </w:rPr>
        <w:t xml:space="preserve">and </w:t>
      </w:r>
      <w:r w:rsidR="002D4EA0" w:rsidRPr="00F421A8">
        <w:rPr>
          <w:noProof/>
          <w:szCs w:val="24"/>
        </w:rPr>
        <w:t>Police and Customs Cooperation Centres</w:t>
      </w:r>
      <w:r w:rsidR="00F421A8" w:rsidRPr="00FE2FF7">
        <w:rPr>
          <w:rStyle w:val="FootnoteReference0"/>
          <w:noProof/>
          <w:szCs w:val="24"/>
        </w:rPr>
        <w:footnoteReference w:id="42"/>
      </w:r>
      <w:r>
        <w:rPr>
          <w:noProof/>
          <w:szCs w:val="24"/>
        </w:rPr>
        <w:t xml:space="preserve"> were estimated to amount to a maximum </w:t>
      </w:r>
      <w:r w:rsidRPr="000760E5">
        <w:rPr>
          <w:b/>
          <w:noProof/>
          <w:szCs w:val="24"/>
        </w:rPr>
        <w:t>one-off total</w:t>
      </w:r>
      <w:r>
        <w:rPr>
          <w:noProof/>
          <w:szCs w:val="24"/>
        </w:rPr>
        <w:t xml:space="preserve"> of </w:t>
      </w:r>
      <w:r w:rsidRPr="00704502">
        <w:rPr>
          <w:b/>
          <w:noProof/>
          <w:szCs w:val="24"/>
        </w:rPr>
        <w:t>EUR</w:t>
      </w:r>
      <w:r>
        <w:rPr>
          <w:noProof/>
          <w:szCs w:val="24"/>
        </w:rPr>
        <w:t xml:space="preserve"> </w:t>
      </w:r>
      <w:r w:rsidRPr="00BC2DCA">
        <w:rPr>
          <w:b/>
          <w:noProof/>
          <w:szCs w:val="24"/>
        </w:rPr>
        <w:t>1</w:t>
      </w:r>
      <w:r>
        <w:rPr>
          <w:b/>
          <w:noProof/>
          <w:szCs w:val="24"/>
        </w:rPr>
        <w:t xml:space="preserve">1,5 million. </w:t>
      </w:r>
      <w:r>
        <w:rPr>
          <w:noProof/>
          <w:szCs w:val="24"/>
        </w:rPr>
        <w:t>These are deemed to be divided as follows:</w:t>
      </w:r>
    </w:p>
    <w:p w14:paraId="68FACD33" w14:textId="4F06C6FB" w:rsidR="00AF44C3" w:rsidRDefault="00AF44C3" w:rsidP="00CB4A64">
      <w:pPr>
        <w:pStyle w:val="Tiret0"/>
        <w:numPr>
          <w:ilvl w:val="0"/>
          <w:numId w:val="12"/>
        </w:numPr>
        <w:rPr>
          <w:noProof/>
        </w:rPr>
      </w:pPr>
      <w:r>
        <w:rPr>
          <w:noProof/>
        </w:rPr>
        <w:t>1,5 million to set-up Case Management Systems (CMS) in 10 MS (not yet equipped);</w:t>
      </w:r>
    </w:p>
    <w:p w14:paraId="789F0094" w14:textId="4291D193" w:rsidR="00AF44C3" w:rsidRDefault="00AF44C3" w:rsidP="00C05D38">
      <w:pPr>
        <w:pStyle w:val="Tiret0"/>
        <w:rPr>
          <w:noProof/>
        </w:rPr>
      </w:pPr>
      <w:r>
        <w:rPr>
          <w:noProof/>
        </w:rPr>
        <w:t xml:space="preserve">1 million to integrate SIENA in the CMS of the </w:t>
      </w:r>
      <w:r w:rsidR="002D4EA0">
        <w:rPr>
          <w:noProof/>
        </w:rPr>
        <w:t>Single Points of Contacts</w:t>
      </w:r>
      <w:r>
        <w:rPr>
          <w:noProof/>
        </w:rPr>
        <w:t xml:space="preserve"> of 20 MS (not yet equipped);</w:t>
      </w:r>
    </w:p>
    <w:p w14:paraId="06E632EB" w14:textId="7CF24936" w:rsidR="00AF44C3" w:rsidRDefault="00AF44C3" w:rsidP="00C05D38">
      <w:pPr>
        <w:pStyle w:val="Tiret0"/>
        <w:rPr>
          <w:noProof/>
        </w:rPr>
      </w:pPr>
      <w:r w:rsidRPr="000760E5">
        <w:rPr>
          <w:noProof/>
        </w:rPr>
        <w:t>2</w:t>
      </w:r>
      <w:r>
        <w:rPr>
          <w:noProof/>
        </w:rPr>
        <w:t>,2</w:t>
      </w:r>
      <w:r w:rsidRPr="000760E5">
        <w:rPr>
          <w:noProof/>
        </w:rPr>
        <w:t>5 million to establish</w:t>
      </w:r>
      <w:r>
        <w:rPr>
          <w:noProof/>
        </w:rPr>
        <w:t xml:space="preserve"> connection of </w:t>
      </w:r>
      <w:r w:rsidR="002D4EA0" w:rsidRPr="00232257">
        <w:rPr>
          <w:noProof/>
        </w:rPr>
        <w:t>Police and Customs</w:t>
      </w:r>
      <w:r w:rsidR="002D4EA0" w:rsidRPr="00F421A8">
        <w:rPr>
          <w:noProof/>
        </w:rPr>
        <w:t xml:space="preserve"> Cooperation Centres</w:t>
      </w:r>
      <w:r>
        <w:rPr>
          <w:noProof/>
        </w:rPr>
        <w:t xml:space="preserve"> with SIENA</w:t>
      </w:r>
      <w:r w:rsidRPr="00C84926">
        <w:rPr>
          <w:noProof/>
        </w:rPr>
        <w:t xml:space="preserve"> </w:t>
      </w:r>
      <w:r w:rsidRPr="0088467A">
        <w:rPr>
          <w:noProof/>
        </w:rPr>
        <w:t xml:space="preserve">in a maximum of 45 </w:t>
      </w:r>
      <w:r w:rsidR="002D4EA0" w:rsidRPr="00F421A8">
        <w:rPr>
          <w:noProof/>
        </w:rPr>
        <w:t>Police and Customs Cooperation Centres</w:t>
      </w:r>
      <w:r w:rsidRPr="0088467A">
        <w:rPr>
          <w:noProof/>
        </w:rPr>
        <w:t xml:space="preserve"> (14 out of 59 are already connected);</w:t>
      </w:r>
    </w:p>
    <w:p w14:paraId="483C0C4E" w14:textId="0500EECC" w:rsidR="00AF44C3" w:rsidRDefault="00AF44C3" w:rsidP="00C05D38">
      <w:pPr>
        <w:pStyle w:val="Tiret0"/>
        <w:rPr>
          <w:noProof/>
        </w:rPr>
      </w:pPr>
      <w:r>
        <w:rPr>
          <w:noProof/>
        </w:rPr>
        <w:t>6,75 million to set-up CMSs</w:t>
      </w:r>
      <w:r w:rsidR="00EC78C4">
        <w:rPr>
          <w:noProof/>
        </w:rPr>
        <w:t xml:space="preserve"> in a maximum of 45 </w:t>
      </w:r>
      <w:r w:rsidR="002D4EA0" w:rsidRPr="00F421A8">
        <w:rPr>
          <w:noProof/>
        </w:rPr>
        <w:t>Police and Customs Cooperation</w:t>
      </w:r>
      <w:r w:rsidR="002D4EA0" w:rsidRPr="00560EF1">
        <w:rPr>
          <w:noProof/>
        </w:rPr>
        <w:t xml:space="preserve"> Centres</w:t>
      </w:r>
      <w:r w:rsidR="00EC78C4">
        <w:rPr>
          <w:noProof/>
        </w:rPr>
        <w:t xml:space="preserve"> (45x EUR 150</w:t>
      </w:r>
      <w:r w:rsidR="00A96FF7">
        <w:rPr>
          <w:noProof/>
        </w:rPr>
        <w:t>.</w:t>
      </w:r>
      <w:r w:rsidR="00EC78C4">
        <w:rPr>
          <w:noProof/>
        </w:rPr>
        <w:t>000)</w:t>
      </w:r>
      <w:r w:rsidR="00B576C8">
        <w:rPr>
          <w:noProof/>
        </w:rPr>
        <w:t>.</w:t>
      </w:r>
    </w:p>
    <w:p w14:paraId="128274BA" w14:textId="0A7545A6" w:rsidR="00AF44C3" w:rsidRDefault="00AF44C3" w:rsidP="00AF44C3">
      <w:pPr>
        <w:pStyle w:val="Body"/>
        <w:rPr>
          <w:rFonts w:ascii="Times New Roman" w:hAnsi="Times New Roman"/>
          <w:bCs/>
          <w:noProof/>
          <w:sz w:val="24"/>
          <w:szCs w:val="24"/>
        </w:rPr>
      </w:pPr>
      <w:r>
        <w:rPr>
          <w:rFonts w:ascii="Times New Roman" w:hAnsi="Times New Roman"/>
          <w:bCs/>
          <w:noProof/>
          <w:sz w:val="24"/>
          <w:szCs w:val="24"/>
        </w:rPr>
        <w:t xml:space="preserve">These costs (one-off investment) are deemed acceptable and </w:t>
      </w:r>
      <w:r w:rsidRPr="00EC27BF">
        <w:rPr>
          <w:rFonts w:ascii="Times New Roman" w:hAnsi="Times New Roman"/>
          <w:b/>
          <w:noProof/>
          <w:sz w:val="24"/>
        </w:rPr>
        <w:t xml:space="preserve">proportionate </w:t>
      </w:r>
      <w:r w:rsidRPr="00EC27BF">
        <w:rPr>
          <w:rFonts w:ascii="Times New Roman" w:hAnsi="Times New Roman"/>
          <w:noProof/>
          <w:sz w:val="24"/>
        </w:rPr>
        <w:t>to the identified problem and do not go beyond what is necessary to achieve the specific objective</w:t>
      </w:r>
      <w:r>
        <w:rPr>
          <w:rFonts w:ascii="Times New Roman" w:hAnsi="Times New Roman"/>
          <w:noProof/>
          <w:sz w:val="24"/>
        </w:rPr>
        <w:t xml:space="preserve">s set out by this proposal for a Directive. It should be noted that </w:t>
      </w:r>
      <w:r w:rsidRPr="006A175F">
        <w:rPr>
          <w:rFonts w:ascii="Times New Roman" w:hAnsi="Times New Roman"/>
          <w:noProof/>
          <w:sz w:val="24"/>
        </w:rPr>
        <w:t xml:space="preserve">Member States are in any case pursuing a modernisation of their IT systems (also in the context of the </w:t>
      </w:r>
      <w:r>
        <w:rPr>
          <w:rFonts w:ascii="Times New Roman" w:hAnsi="Times New Roman"/>
          <w:noProof/>
          <w:sz w:val="24"/>
        </w:rPr>
        <w:t>interoperabil</w:t>
      </w:r>
      <w:r w:rsidRPr="006A175F">
        <w:rPr>
          <w:rFonts w:ascii="Times New Roman" w:hAnsi="Times New Roman"/>
          <w:noProof/>
          <w:sz w:val="24"/>
        </w:rPr>
        <w:t>i</w:t>
      </w:r>
      <w:r>
        <w:rPr>
          <w:rFonts w:ascii="Times New Roman" w:hAnsi="Times New Roman"/>
          <w:noProof/>
          <w:sz w:val="24"/>
        </w:rPr>
        <w:t>ty of EU information systems). T</w:t>
      </w:r>
      <w:r w:rsidRPr="006A175F">
        <w:rPr>
          <w:rFonts w:ascii="Times New Roman" w:hAnsi="Times New Roman"/>
          <w:noProof/>
          <w:sz w:val="24"/>
        </w:rPr>
        <w:t>his provides a good opportunity for cost effective implementation of the changes</w:t>
      </w:r>
      <w:r w:rsidRPr="00794F58">
        <w:rPr>
          <w:rFonts w:ascii="Times New Roman" w:hAnsi="Times New Roman"/>
          <w:noProof/>
          <w:sz w:val="24"/>
        </w:rPr>
        <w:t xml:space="preserve"> </w:t>
      </w:r>
      <w:r w:rsidRPr="006A175F">
        <w:rPr>
          <w:rFonts w:ascii="Times New Roman" w:hAnsi="Times New Roman"/>
          <w:noProof/>
          <w:sz w:val="24"/>
        </w:rPr>
        <w:t>envisaged</w:t>
      </w:r>
      <w:r>
        <w:rPr>
          <w:rFonts w:ascii="Times New Roman" w:hAnsi="Times New Roman"/>
          <w:noProof/>
          <w:sz w:val="24"/>
        </w:rPr>
        <w:t xml:space="preserve"> by the provision of this proposal</w:t>
      </w:r>
      <w:r w:rsidRPr="006A175F">
        <w:rPr>
          <w:rFonts w:ascii="Times New Roman" w:hAnsi="Times New Roman"/>
          <w:noProof/>
          <w:sz w:val="24"/>
        </w:rPr>
        <w:t>.</w:t>
      </w:r>
      <w:r w:rsidR="00CF5AB2">
        <w:rPr>
          <w:rFonts w:ascii="Times New Roman" w:hAnsi="Times New Roman"/>
          <w:noProof/>
          <w:sz w:val="24"/>
        </w:rPr>
        <w:t xml:space="preserve"> </w:t>
      </w:r>
      <w:r>
        <w:rPr>
          <w:rFonts w:ascii="Times New Roman" w:hAnsi="Times New Roman"/>
          <w:noProof/>
          <w:sz w:val="24"/>
        </w:rPr>
        <w:t xml:space="preserve">These estimations do not cover training needs since, especially for IT upgrades, the training costs are </w:t>
      </w:r>
      <w:r w:rsidRPr="00580B0E">
        <w:rPr>
          <w:rFonts w:ascii="Times New Roman" w:hAnsi="Times New Roman"/>
          <w:bCs/>
          <w:noProof/>
          <w:sz w:val="24"/>
          <w:szCs w:val="24"/>
        </w:rPr>
        <w:t>highly depending from the specificities of each national IT set-up and legal parameters</w:t>
      </w:r>
      <w:r>
        <w:rPr>
          <w:rFonts w:ascii="Times New Roman" w:hAnsi="Times New Roman"/>
          <w:bCs/>
          <w:noProof/>
          <w:sz w:val="24"/>
          <w:szCs w:val="24"/>
        </w:rPr>
        <w:t xml:space="preserve">. </w:t>
      </w:r>
    </w:p>
    <w:p w14:paraId="4F789E03" w14:textId="64AFF442" w:rsidR="00A21A6C" w:rsidRPr="00EB205A" w:rsidRDefault="00AF44C3" w:rsidP="00A21A6C">
      <w:pPr>
        <w:spacing w:before="0"/>
        <w:rPr>
          <w:noProof/>
        </w:rPr>
      </w:pPr>
      <w:r>
        <w:rPr>
          <w:noProof/>
          <w:szCs w:val="24"/>
        </w:rPr>
        <w:t>In any event, t</w:t>
      </w:r>
      <w:r w:rsidRPr="00C31819">
        <w:rPr>
          <w:noProof/>
          <w:szCs w:val="24"/>
        </w:rPr>
        <w:t>he costs at national level sho</w:t>
      </w:r>
      <w:r>
        <w:rPr>
          <w:noProof/>
          <w:szCs w:val="24"/>
        </w:rPr>
        <w:t>uld be covered by Member States'</w:t>
      </w:r>
      <w:r w:rsidRPr="00C31819">
        <w:rPr>
          <w:noProof/>
          <w:szCs w:val="24"/>
        </w:rPr>
        <w:t xml:space="preserve"> programmes unde</w:t>
      </w:r>
      <w:r>
        <w:rPr>
          <w:noProof/>
          <w:szCs w:val="24"/>
        </w:rPr>
        <w:t>r the Internal Security Fund</w:t>
      </w:r>
      <w:r>
        <w:rPr>
          <w:rStyle w:val="FootnoteReference0"/>
          <w:noProof/>
          <w:szCs w:val="24"/>
        </w:rPr>
        <w:footnoteReference w:id="43"/>
      </w:r>
      <w:r>
        <w:rPr>
          <w:noProof/>
          <w:szCs w:val="24"/>
        </w:rPr>
        <w:t>.</w:t>
      </w:r>
      <w:r w:rsidRPr="00C31819">
        <w:rPr>
          <w:noProof/>
          <w:szCs w:val="24"/>
        </w:rPr>
        <w:t xml:space="preserve"> The Internal Security Fund include</w:t>
      </w:r>
      <w:r>
        <w:rPr>
          <w:noProof/>
          <w:szCs w:val="24"/>
        </w:rPr>
        <w:t>s the specific objective to "</w:t>
      </w:r>
      <w:r w:rsidRPr="00794F58">
        <w:rPr>
          <w:i/>
          <w:noProof/>
          <w:szCs w:val="24"/>
        </w:rPr>
        <w:t>improve and facilitate the exchange of information</w:t>
      </w:r>
      <w:r w:rsidR="00A82A10">
        <w:rPr>
          <w:noProof/>
          <w:szCs w:val="24"/>
        </w:rPr>
        <w:t>"</w:t>
      </w:r>
      <w:r w:rsidRPr="00C31819">
        <w:rPr>
          <w:noProof/>
          <w:szCs w:val="24"/>
        </w:rPr>
        <w:t xml:space="preserve"> and to </w:t>
      </w:r>
      <w:r w:rsidR="00A82A10">
        <w:rPr>
          <w:noProof/>
          <w:szCs w:val="24"/>
        </w:rPr>
        <w:t>"</w:t>
      </w:r>
      <w:r w:rsidRPr="00794F58">
        <w:rPr>
          <w:i/>
          <w:noProof/>
          <w:szCs w:val="24"/>
        </w:rPr>
        <w:t>improve and intensify cross-border cooperation</w:t>
      </w:r>
      <w:r>
        <w:rPr>
          <w:noProof/>
          <w:szCs w:val="24"/>
        </w:rPr>
        <w:t>"</w:t>
      </w:r>
      <w:r>
        <w:rPr>
          <w:rStyle w:val="FootnoteReference0"/>
          <w:noProof/>
          <w:szCs w:val="24"/>
        </w:rPr>
        <w:footnoteReference w:id="44"/>
      </w:r>
      <w:r>
        <w:rPr>
          <w:noProof/>
          <w:szCs w:val="24"/>
        </w:rPr>
        <w:t>.</w:t>
      </w:r>
      <w:r w:rsidRPr="00C31819">
        <w:rPr>
          <w:noProof/>
          <w:szCs w:val="24"/>
        </w:rPr>
        <w:t xml:space="preserve"> When preparing their national programmes, Member States are </w:t>
      </w:r>
      <w:r>
        <w:rPr>
          <w:noProof/>
          <w:szCs w:val="24"/>
        </w:rPr>
        <w:t xml:space="preserve">thus </w:t>
      </w:r>
      <w:r w:rsidRPr="00C31819">
        <w:rPr>
          <w:noProof/>
          <w:szCs w:val="24"/>
        </w:rPr>
        <w:t xml:space="preserve">invited to include </w:t>
      </w:r>
      <w:r>
        <w:rPr>
          <w:noProof/>
          <w:szCs w:val="24"/>
        </w:rPr>
        <w:t>activities relevant for the implementation of the envisaged Directive</w:t>
      </w:r>
      <w:r w:rsidRPr="00C31819">
        <w:rPr>
          <w:noProof/>
          <w:szCs w:val="24"/>
        </w:rPr>
        <w:t xml:space="preserve">, with explicit reference to </w:t>
      </w:r>
      <w:r w:rsidR="002D4EA0">
        <w:rPr>
          <w:noProof/>
          <w:szCs w:val="24"/>
        </w:rPr>
        <w:t>Single Points of Contact</w:t>
      </w:r>
      <w:r w:rsidRPr="00C31819">
        <w:rPr>
          <w:noProof/>
          <w:szCs w:val="24"/>
        </w:rPr>
        <w:t xml:space="preserve"> and </w:t>
      </w:r>
      <w:r w:rsidR="002D4EA0">
        <w:rPr>
          <w:noProof/>
          <w:szCs w:val="24"/>
        </w:rPr>
        <w:t>Police and Customs Cooperation Centres</w:t>
      </w:r>
      <w:r w:rsidRPr="00C31819">
        <w:rPr>
          <w:noProof/>
          <w:szCs w:val="24"/>
        </w:rPr>
        <w:t>, and the connection to SIENA.</w:t>
      </w:r>
      <w:r w:rsidR="00A21A6C" w:rsidRPr="00A21A6C">
        <w:rPr>
          <w:noProof/>
        </w:rPr>
        <w:t xml:space="preserve"> </w:t>
      </w:r>
      <w:r w:rsidR="00A21A6C" w:rsidRPr="00EB205A">
        <w:rPr>
          <w:noProof/>
        </w:rPr>
        <w:t xml:space="preserve">As some Member States are more advanced than others in their level of cooperation, the cost of implementing the proposed </w:t>
      </w:r>
      <w:r w:rsidR="00F93111" w:rsidRPr="00747D4D">
        <w:rPr>
          <w:noProof/>
        </w:rPr>
        <w:t>Directive</w:t>
      </w:r>
      <w:r w:rsidR="00A21A6C" w:rsidRPr="00EB205A">
        <w:rPr>
          <w:noProof/>
        </w:rPr>
        <w:t xml:space="preserve"> will vary between Member States</w:t>
      </w:r>
      <w:r w:rsidR="00A21A6C">
        <w:rPr>
          <w:noProof/>
        </w:rPr>
        <w:t>.</w:t>
      </w:r>
    </w:p>
    <w:p w14:paraId="11AA890E" w14:textId="5068212C" w:rsidR="00A21A6C" w:rsidRDefault="00A21A6C" w:rsidP="00E516FF">
      <w:pPr>
        <w:pStyle w:val="Body"/>
        <w:rPr>
          <w:rFonts w:ascii="Times New Roman" w:hAnsi="Times New Roman"/>
          <w:noProof/>
          <w:sz w:val="24"/>
          <w:szCs w:val="24"/>
        </w:rPr>
      </w:pPr>
      <w:r w:rsidRPr="004271D5">
        <w:rPr>
          <w:rFonts w:ascii="Times New Roman" w:hAnsi="Times New Roman"/>
          <w:noProof/>
          <w:sz w:val="24"/>
          <w:szCs w:val="24"/>
        </w:rPr>
        <w:t>Apart from the costs potentially covered by Member States’ programmes under the Internal Security Fund, there will be no other costs borne at EU level.</w:t>
      </w:r>
    </w:p>
    <w:p w14:paraId="633ED290" w14:textId="77777777" w:rsidR="00AF44C3" w:rsidRPr="00550536" w:rsidRDefault="00AF44C3" w:rsidP="00EB334D">
      <w:pPr>
        <w:pStyle w:val="ManualHeading1"/>
        <w:spacing w:before="240"/>
        <w:ind w:left="851" w:hanging="851"/>
        <w:rPr>
          <w:noProof/>
        </w:rPr>
      </w:pPr>
      <w:bookmarkStart w:id="18" w:name="_Toc85807202"/>
      <w:r w:rsidRPr="00550536">
        <w:rPr>
          <w:noProof/>
        </w:rPr>
        <w:t>5.</w:t>
      </w:r>
      <w:r w:rsidRPr="00550536">
        <w:rPr>
          <w:noProof/>
        </w:rPr>
        <w:tab/>
        <w:t>OTHER ELEMENTS</w:t>
      </w:r>
      <w:bookmarkEnd w:id="18"/>
    </w:p>
    <w:p w14:paraId="7C20CFD3" w14:textId="77777777" w:rsidR="00AF44C3" w:rsidRDefault="00AF44C3" w:rsidP="00AF44C3">
      <w:pPr>
        <w:pStyle w:val="ManualHeading2"/>
        <w:rPr>
          <w:rFonts w:eastAsia="Arial Unicode MS"/>
          <w:noProof/>
          <w:u w:color="000000"/>
          <w:bdr w:val="nil"/>
          <w:lang w:val="en-US" w:eastAsia="en-GB"/>
        </w:rPr>
      </w:pPr>
      <w:bookmarkStart w:id="19" w:name="_Toc85807203"/>
      <w:r>
        <w:rPr>
          <w:rFonts w:eastAsia="Arial Unicode MS"/>
          <w:noProof/>
          <w:u w:color="000000"/>
          <w:bdr w:val="nil"/>
          <w:lang w:val="en-US" w:eastAsia="en-GB"/>
        </w:rPr>
        <w:t>•</w:t>
      </w:r>
      <w:r>
        <w:rPr>
          <w:rFonts w:eastAsia="Arial Unicode MS"/>
          <w:noProof/>
          <w:u w:color="000000"/>
          <w:bdr w:val="nil"/>
          <w:lang w:val="en-US" w:eastAsia="en-GB"/>
        </w:rPr>
        <w:tab/>
      </w:r>
      <w:r w:rsidRPr="0088467A">
        <w:rPr>
          <w:rFonts w:eastAsia="Arial Unicode MS"/>
          <w:noProof/>
          <w:u w:color="000000"/>
          <w:bdr w:val="nil"/>
          <w:lang w:val="en-US" w:eastAsia="en-GB"/>
        </w:rPr>
        <w:t>Implementation plans and monitoring, evaluation and reporting arrangements</w:t>
      </w:r>
      <w:bookmarkEnd w:id="19"/>
    </w:p>
    <w:p w14:paraId="04592A6C" w14:textId="6133B27F" w:rsidR="00093A3F" w:rsidRDefault="00AF44C3" w:rsidP="00AF21E1">
      <w:pPr>
        <w:pStyle w:val="Text1"/>
        <w:ind w:left="0"/>
        <w:rPr>
          <w:noProof/>
        </w:rPr>
      </w:pPr>
      <w:r>
        <w:rPr>
          <w:noProof/>
        </w:rPr>
        <w:t xml:space="preserve">The evaluation of impacts of the proposed measures depends on the information to be received from the Member States. For this reason, the present proposal contains </w:t>
      </w:r>
      <w:r w:rsidRPr="00AE44F2">
        <w:rPr>
          <w:b/>
          <w:noProof/>
        </w:rPr>
        <w:t>provisions on collection of data indicators</w:t>
      </w:r>
      <w:r>
        <w:rPr>
          <w:noProof/>
        </w:rPr>
        <w:t>.</w:t>
      </w:r>
      <w:r w:rsidR="00DD4ADB">
        <w:rPr>
          <w:noProof/>
        </w:rPr>
        <w:t xml:space="preserve"> </w:t>
      </w:r>
      <w:r w:rsidRPr="00A1791A">
        <w:rPr>
          <w:noProof/>
        </w:rPr>
        <w:t xml:space="preserve">The responsibility for the collection of the relevant monitoring data should be in the </w:t>
      </w:r>
      <w:r>
        <w:rPr>
          <w:noProof/>
        </w:rPr>
        <w:t xml:space="preserve">remit of national authorities, ideally the </w:t>
      </w:r>
      <w:r w:rsidR="002D4EA0">
        <w:rPr>
          <w:noProof/>
        </w:rPr>
        <w:t>Single Points of Contact</w:t>
      </w:r>
      <w:r>
        <w:rPr>
          <w:noProof/>
        </w:rPr>
        <w:t xml:space="preserve">. </w:t>
      </w:r>
      <w:r w:rsidRPr="00A1791A">
        <w:rPr>
          <w:noProof/>
        </w:rPr>
        <w:t xml:space="preserve">Subsequently, the monitoring </w:t>
      </w:r>
      <w:r>
        <w:rPr>
          <w:noProof/>
        </w:rPr>
        <w:t>of these activity indicators will</w:t>
      </w:r>
      <w:r w:rsidRPr="00A1791A">
        <w:rPr>
          <w:noProof/>
        </w:rPr>
        <w:t xml:space="preserve"> be used to inform </w:t>
      </w:r>
      <w:r>
        <w:rPr>
          <w:noProof/>
        </w:rPr>
        <w:t xml:space="preserve">on the application </w:t>
      </w:r>
      <w:r w:rsidRPr="00A1791A">
        <w:rPr>
          <w:noProof/>
        </w:rPr>
        <w:t xml:space="preserve">of the </w:t>
      </w:r>
      <w:r>
        <w:rPr>
          <w:noProof/>
        </w:rPr>
        <w:t>proposed measures.</w:t>
      </w:r>
      <w:r w:rsidR="008915A0">
        <w:rPr>
          <w:noProof/>
        </w:rPr>
        <w:t xml:space="preserve"> </w:t>
      </w:r>
    </w:p>
    <w:p w14:paraId="6C9903EB" w14:textId="63259AFC" w:rsidR="00AF44C3" w:rsidRPr="00DD4ADB" w:rsidRDefault="00AF44C3" w:rsidP="00AF21E1">
      <w:pPr>
        <w:pStyle w:val="Text1"/>
        <w:ind w:left="0"/>
        <w:rPr>
          <w:noProof/>
        </w:rPr>
      </w:pPr>
      <w:r>
        <w:rPr>
          <w:noProof/>
        </w:rPr>
        <w:t xml:space="preserve">In </w:t>
      </w:r>
      <w:r w:rsidR="00883A1B">
        <w:rPr>
          <w:noProof/>
        </w:rPr>
        <w:t>this connection</w:t>
      </w:r>
      <w:r>
        <w:rPr>
          <w:noProof/>
        </w:rPr>
        <w:t>, the present proposal requires the Commission to submit</w:t>
      </w:r>
      <w:r w:rsidRPr="005A560C">
        <w:rPr>
          <w:noProof/>
        </w:rPr>
        <w:t xml:space="preserve"> a report to the European Parliament and to the Council, assessing the extent to which the Member States have taken the necessary measures to comply with this</w:t>
      </w:r>
      <w:r w:rsidR="00105F24">
        <w:rPr>
          <w:noProof/>
        </w:rPr>
        <w:t xml:space="preserve"> proposed</w:t>
      </w:r>
      <w:r w:rsidRPr="005A560C">
        <w:rPr>
          <w:noProof/>
        </w:rPr>
        <w:t xml:space="preserve"> Directive.</w:t>
      </w:r>
      <w:r w:rsidR="00ED3FA7">
        <w:rPr>
          <w:noProof/>
        </w:rPr>
        <w:t xml:space="preserve"> </w:t>
      </w:r>
      <w:r w:rsidR="00105F24">
        <w:rPr>
          <w:noProof/>
        </w:rPr>
        <w:t>The relevant a</w:t>
      </w:r>
      <w:r w:rsidRPr="00EB334D">
        <w:rPr>
          <w:noProof/>
        </w:rPr>
        <w:t xml:space="preserve">rticle </w:t>
      </w:r>
      <w:r w:rsidRPr="00876785">
        <w:rPr>
          <w:noProof/>
        </w:rPr>
        <w:t xml:space="preserve">also requires the Commission to submit a report to the European Parliament and to the Council assessing the added value of the Directive, </w:t>
      </w:r>
      <w:r w:rsidR="008679E2" w:rsidRPr="00876785">
        <w:rPr>
          <w:noProof/>
        </w:rPr>
        <w:t>5</w:t>
      </w:r>
      <w:r w:rsidRPr="00876785">
        <w:rPr>
          <w:noProof/>
        </w:rPr>
        <w:t xml:space="preserve"> years</w:t>
      </w:r>
      <w:r w:rsidR="008679E2" w:rsidRPr="00876785">
        <w:rPr>
          <w:noProof/>
        </w:rPr>
        <w:t xml:space="preserve"> after the entry into force</w:t>
      </w:r>
      <w:r w:rsidRPr="00876785">
        <w:rPr>
          <w:noProof/>
        </w:rPr>
        <w:t>, and consider a possible review of the Directive upon relevance.</w:t>
      </w:r>
    </w:p>
    <w:p w14:paraId="1BC69F24" w14:textId="1D360EE6" w:rsidR="00AF44C3" w:rsidRDefault="00AF44C3" w:rsidP="00AF44C3">
      <w:pPr>
        <w:pStyle w:val="Text1"/>
        <w:ind w:left="0"/>
        <w:rPr>
          <w:noProof/>
        </w:rPr>
      </w:pPr>
      <w:r>
        <w:rPr>
          <w:noProof/>
        </w:rPr>
        <w:t>Aside from this legal proposal, t</w:t>
      </w:r>
      <w:r w:rsidRPr="00704502">
        <w:rPr>
          <w:noProof/>
        </w:rPr>
        <w:t>he</w:t>
      </w:r>
      <w:r w:rsidRPr="00704502">
        <w:rPr>
          <w:noProof/>
          <w:sz w:val="20"/>
        </w:rPr>
        <w:t xml:space="preserve"> </w:t>
      </w:r>
      <w:r w:rsidRPr="00704502">
        <w:rPr>
          <w:noProof/>
        </w:rPr>
        <w:t xml:space="preserve">Commission, acting by virtue of its administrative autonomy, will set up an </w:t>
      </w:r>
      <w:r w:rsidR="0016125F" w:rsidRPr="00AF21E1">
        <w:rPr>
          <w:b/>
          <w:noProof/>
        </w:rPr>
        <w:t xml:space="preserve">informal </w:t>
      </w:r>
      <w:r w:rsidRPr="00AF21E1">
        <w:rPr>
          <w:b/>
          <w:noProof/>
        </w:rPr>
        <w:t>expert group</w:t>
      </w:r>
      <w:r w:rsidRPr="00704502">
        <w:rPr>
          <w:noProof/>
        </w:rPr>
        <w:t xml:space="preserve"> composed </w:t>
      </w:r>
      <w:r>
        <w:rPr>
          <w:noProof/>
        </w:rPr>
        <w:t xml:space="preserve">of </w:t>
      </w:r>
      <w:r w:rsidRPr="00704502">
        <w:rPr>
          <w:noProof/>
        </w:rPr>
        <w:t>experts from each Member State, to advise and support the Commission in the monitoring and application of the Directive, including in the preparation of Commission guidance papers</w:t>
      </w:r>
      <w:r>
        <w:rPr>
          <w:noProof/>
        </w:rPr>
        <w:t xml:space="preserve">. This expert group could be built upon the existing informal Head of </w:t>
      </w:r>
      <w:r w:rsidR="002D4EA0">
        <w:rPr>
          <w:noProof/>
        </w:rPr>
        <w:t xml:space="preserve">the </w:t>
      </w:r>
      <w:r>
        <w:rPr>
          <w:noProof/>
        </w:rPr>
        <w:t>S</w:t>
      </w:r>
      <w:r w:rsidR="002D4EA0">
        <w:rPr>
          <w:noProof/>
        </w:rPr>
        <w:t xml:space="preserve">ingle </w:t>
      </w:r>
      <w:r>
        <w:rPr>
          <w:noProof/>
        </w:rPr>
        <w:t>P</w:t>
      </w:r>
      <w:r w:rsidR="002D4EA0">
        <w:rPr>
          <w:noProof/>
        </w:rPr>
        <w:t>oint</w:t>
      </w:r>
      <w:r w:rsidR="00A96FF7">
        <w:rPr>
          <w:noProof/>
        </w:rPr>
        <w:t>s</w:t>
      </w:r>
      <w:r w:rsidR="002D4EA0">
        <w:rPr>
          <w:noProof/>
        </w:rPr>
        <w:t xml:space="preserve"> of Contact</w:t>
      </w:r>
      <w:r w:rsidR="00A96FF7">
        <w:rPr>
          <w:noProof/>
        </w:rPr>
        <w:t>'</w:t>
      </w:r>
      <w:r w:rsidR="002D4EA0">
        <w:rPr>
          <w:noProof/>
        </w:rPr>
        <w:t xml:space="preserve"> </w:t>
      </w:r>
      <w:r>
        <w:rPr>
          <w:noProof/>
        </w:rPr>
        <w:t>network.</w:t>
      </w:r>
      <w:r w:rsidR="00ED3FA7">
        <w:rPr>
          <w:noProof/>
        </w:rPr>
        <w:t xml:space="preserve"> </w:t>
      </w:r>
      <w:r w:rsidRPr="00765B27">
        <w:rPr>
          <w:noProof/>
        </w:rPr>
        <w:t xml:space="preserve">Last but not least, the </w:t>
      </w:r>
      <w:r>
        <w:rPr>
          <w:noProof/>
        </w:rPr>
        <w:t xml:space="preserve">evaluation and monitoring mechanism to verify the application of the Schengen acquis in the field of police cooperation </w:t>
      </w:r>
      <w:r w:rsidRPr="00765B27">
        <w:rPr>
          <w:noProof/>
        </w:rPr>
        <w:t xml:space="preserve">will continue to be </w:t>
      </w:r>
      <w:r>
        <w:rPr>
          <w:noProof/>
        </w:rPr>
        <w:t>carried out</w:t>
      </w:r>
      <w:r w:rsidRPr="00765B27">
        <w:rPr>
          <w:noProof/>
        </w:rPr>
        <w:t>, in line with the current Council Regulation</w:t>
      </w:r>
      <w:r w:rsidRPr="00765B27">
        <w:rPr>
          <w:rStyle w:val="FootnoteReference0"/>
          <w:noProof/>
        </w:rPr>
        <w:footnoteReference w:id="45"/>
      </w:r>
      <w:r w:rsidRPr="00765B27">
        <w:rPr>
          <w:noProof/>
        </w:rPr>
        <w:t xml:space="preserve">, and eventually in </w:t>
      </w:r>
      <w:r>
        <w:rPr>
          <w:noProof/>
        </w:rPr>
        <w:t>line with</w:t>
      </w:r>
      <w:r w:rsidRPr="00765B27">
        <w:rPr>
          <w:noProof/>
        </w:rPr>
        <w:t xml:space="preserve"> its </w:t>
      </w:r>
      <w:r>
        <w:rPr>
          <w:noProof/>
        </w:rPr>
        <w:t xml:space="preserve">possible </w:t>
      </w:r>
      <w:r w:rsidRPr="00765B27">
        <w:rPr>
          <w:noProof/>
        </w:rPr>
        <w:t>amendment</w:t>
      </w:r>
      <w:r w:rsidRPr="00765B27">
        <w:rPr>
          <w:rStyle w:val="FootnoteReference0"/>
          <w:noProof/>
        </w:rPr>
        <w:footnoteReference w:id="46"/>
      </w:r>
      <w:r w:rsidRPr="00765B27">
        <w:rPr>
          <w:noProof/>
        </w:rPr>
        <w:t>. These</w:t>
      </w:r>
      <w:r>
        <w:rPr>
          <w:noProof/>
        </w:rPr>
        <w:t xml:space="preserve"> evaluation reports </w:t>
      </w:r>
      <w:r w:rsidRPr="00765B27">
        <w:rPr>
          <w:noProof/>
        </w:rPr>
        <w:t>have so far covered the implementation of</w:t>
      </w:r>
      <w:r>
        <w:rPr>
          <w:noProof/>
        </w:rPr>
        <w:t xml:space="preserve"> the Swedish Framework Decision. Future evaluations will e</w:t>
      </w:r>
      <w:r w:rsidRPr="00765B27">
        <w:rPr>
          <w:noProof/>
        </w:rPr>
        <w:t xml:space="preserve">ncompass the application of the envisaged </w:t>
      </w:r>
      <w:r w:rsidR="00883A1B">
        <w:rPr>
          <w:noProof/>
        </w:rPr>
        <w:t>new</w:t>
      </w:r>
      <w:r w:rsidR="00883A1B" w:rsidDel="00883A1B">
        <w:rPr>
          <w:noProof/>
        </w:rPr>
        <w:t xml:space="preserve"> </w:t>
      </w:r>
      <w:r w:rsidRPr="00765B27">
        <w:rPr>
          <w:noProof/>
        </w:rPr>
        <w:t>Directive.</w:t>
      </w:r>
    </w:p>
    <w:p w14:paraId="2DD3F734" w14:textId="77777777" w:rsidR="00AF44C3" w:rsidRDefault="00AF44C3" w:rsidP="00AF44C3">
      <w:pPr>
        <w:pStyle w:val="ManualHeading2"/>
        <w:rPr>
          <w:rFonts w:eastAsia="Arial Unicode MS"/>
          <w:noProof/>
          <w:u w:color="000000"/>
          <w:bdr w:val="nil"/>
          <w:lang w:val="en-US" w:eastAsia="en-GB"/>
        </w:rPr>
      </w:pPr>
      <w:bookmarkStart w:id="20" w:name="_Toc85807204"/>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AC56F5">
        <w:rPr>
          <w:rFonts w:eastAsia="Arial Unicode MS"/>
          <w:noProof/>
          <w:u w:color="000000"/>
          <w:bdr w:val="nil"/>
          <w:lang w:val="en-US" w:eastAsia="en-GB"/>
        </w:rPr>
        <w:t>Detailed explanation of the specific provisions of the proposal</w:t>
      </w:r>
      <w:bookmarkEnd w:id="20"/>
    </w:p>
    <w:p w14:paraId="287C0F8B" w14:textId="05DCDF68" w:rsidR="00AF44C3" w:rsidRPr="00E04276" w:rsidRDefault="00AF44C3" w:rsidP="00AF44C3">
      <w:pPr>
        <w:rPr>
          <w:i/>
          <w:noProof/>
        </w:rPr>
      </w:pPr>
      <w:r>
        <w:rPr>
          <w:noProof/>
        </w:rPr>
        <w:t xml:space="preserve">This legislative proposal for a Directive is structured in </w:t>
      </w:r>
      <w:r w:rsidR="00B60C2B" w:rsidRPr="00802082">
        <w:rPr>
          <w:noProof/>
        </w:rPr>
        <w:t>six</w:t>
      </w:r>
      <w:r w:rsidR="00A92A3E" w:rsidRPr="00802082">
        <w:rPr>
          <w:noProof/>
        </w:rPr>
        <w:t xml:space="preserve"> </w:t>
      </w:r>
      <w:r>
        <w:rPr>
          <w:noProof/>
        </w:rPr>
        <w:t>chapters:</w:t>
      </w:r>
      <w:r w:rsidR="005A707B">
        <w:rPr>
          <w:noProof/>
        </w:rPr>
        <w:t xml:space="preserve"> </w:t>
      </w:r>
    </w:p>
    <w:p w14:paraId="3A6D1F8A" w14:textId="7F9DA36C" w:rsidR="00AF44C3" w:rsidRPr="00B73C04" w:rsidRDefault="002E4C52" w:rsidP="002E4C52">
      <w:pPr>
        <w:pStyle w:val="Point0"/>
        <w:rPr>
          <w:noProof/>
        </w:rPr>
      </w:pPr>
      <w:r w:rsidRPr="002E4C52">
        <w:t>(1)</w:t>
      </w:r>
      <w:r w:rsidRPr="002E4C52">
        <w:tab/>
      </w:r>
      <w:r w:rsidR="00BF5C9F" w:rsidRPr="007B2C7A">
        <w:rPr>
          <w:noProof/>
        </w:rPr>
        <w:t xml:space="preserve">General provisions </w:t>
      </w:r>
      <w:r w:rsidR="00AF44C3" w:rsidRPr="007B2C7A">
        <w:rPr>
          <w:noProof/>
        </w:rPr>
        <w:t>for information exchange between Member States</w:t>
      </w:r>
      <w:r w:rsidR="000358DC" w:rsidRPr="007B2C7A">
        <w:rPr>
          <w:noProof/>
        </w:rPr>
        <w:t>'</w:t>
      </w:r>
      <w:r w:rsidR="00AF44C3" w:rsidRPr="007B2C7A">
        <w:rPr>
          <w:noProof/>
        </w:rPr>
        <w:t xml:space="preserve"> law enforcement authorities for the purpose of preventing, detecting and investigating criminal offences</w:t>
      </w:r>
      <w:r w:rsidR="00BF5C9F" w:rsidRPr="007B2C7A">
        <w:rPr>
          <w:noProof/>
        </w:rPr>
        <w:t xml:space="preserve"> (Art. 1 to Art. 3</w:t>
      </w:r>
      <w:r w:rsidR="00BF5C9F" w:rsidRPr="00B73C04">
        <w:rPr>
          <w:noProof/>
        </w:rPr>
        <w:t>)</w:t>
      </w:r>
    </w:p>
    <w:p w14:paraId="075FB506" w14:textId="36E5E2A9" w:rsidR="00AF44C3" w:rsidRDefault="00AF44C3" w:rsidP="00AF44C3">
      <w:pPr>
        <w:rPr>
          <w:noProof/>
        </w:rPr>
      </w:pPr>
      <w:r>
        <w:rPr>
          <w:noProof/>
        </w:rPr>
        <w:t xml:space="preserve">The first block of provisions builds on the structure and substance of the Swedish Framework Decision in force since 2006. In addition, it brings its scope and contents in line with the provisions concerning </w:t>
      </w:r>
      <w:r w:rsidR="005A707B">
        <w:rPr>
          <w:noProof/>
        </w:rPr>
        <w:t>p</w:t>
      </w:r>
      <w:r>
        <w:rPr>
          <w:noProof/>
        </w:rPr>
        <w:t xml:space="preserve">olice cooperation (Title V, Chapter 4) as introduced by the Treaty of Lisbon in force since 2009. </w:t>
      </w:r>
    </w:p>
    <w:p w14:paraId="4322DEDF" w14:textId="312F6B06" w:rsidR="001C589E" w:rsidRDefault="00AF44C3" w:rsidP="00AF44C3">
      <w:pPr>
        <w:rPr>
          <w:noProof/>
        </w:rPr>
      </w:pPr>
      <w:r>
        <w:rPr>
          <w:noProof/>
        </w:rPr>
        <w:t xml:space="preserve">Article 1 </w:t>
      </w:r>
      <w:r w:rsidR="00020D5C">
        <w:rPr>
          <w:noProof/>
        </w:rPr>
        <w:t xml:space="preserve">defines </w:t>
      </w:r>
      <w:r>
        <w:rPr>
          <w:noProof/>
        </w:rPr>
        <w:t>the scope of application of the horizontal rules</w:t>
      </w:r>
      <w:r w:rsidR="00020D5C">
        <w:rPr>
          <w:noProof/>
        </w:rPr>
        <w:t xml:space="preserve"> for exchanging information</w:t>
      </w:r>
      <w:r>
        <w:rPr>
          <w:noProof/>
        </w:rPr>
        <w:t xml:space="preserve"> </w:t>
      </w:r>
      <w:r w:rsidR="00020D5C">
        <w:rPr>
          <w:noProof/>
        </w:rPr>
        <w:t xml:space="preserve">for </w:t>
      </w:r>
      <w:r>
        <w:rPr>
          <w:noProof/>
        </w:rPr>
        <w:t xml:space="preserve">the purposes of preventing, detecting </w:t>
      </w:r>
      <w:r w:rsidR="000358DC">
        <w:rPr>
          <w:noProof/>
        </w:rPr>
        <w:t xml:space="preserve">or </w:t>
      </w:r>
      <w:r>
        <w:rPr>
          <w:noProof/>
        </w:rPr>
        <w:t xml:space="preserve">investigating </w:t>
      </w:r>
      <w:r w:rsidR="00C32401">
        <w:rPr>
          <w:noProof/>
        </w:rPr>
        <w:t>criminal offences</w:t>
      </w:r>
      <w:r>
        <w:rPr>
          <w:noProof/>
        </w:rPr>
        <w:t>.</w:t>
      </w:r>
      <w:r w:rsidR="000358DC">
        <w:rPr>
          <w:noProof/>
        </w:rPr>
        <w:t xml:space="preserve"> The provisions of this Directive apply unless otherwise regulat</w:t>
      </w:r>
      <w:r w:rsidR="00625C71">
        <w:rPr>
          <w:noProof/>
        </w:rPr>
        <w:t>ed</w:t>
      </w:r>
      <w:r w:rsidR="000358DC">
        <w:rPr>
          <w:noProof/>
        </w:rPr>
        <w:t xml:space="preserve"> by </w:t>
      </w:r>
      <w:r w:rsidR="000C12E4">
        <w:rPr>
          <w:noProof/>
        </w:rPr>
        <w:t>other</w:t>
      </w:r>
      <w:r w:rsidR="005A707B">
        <w:rPr>
          <w:noProof/>
        </w:rPr>
        <w:t xml:space="preserve">, </w:t>
      </w:r>
      <w:r w:rsidR="00883A1B">
        <w:rPr>
          <w:noProof/>
        </w:rPr>
        <w:t xml:space="preserve">specific </w:t>
      </w:r>
      <w:r w:rsidR="000C12E4">
        <w:rPr>
          <w:noProof/>
        </w:rPr>
        <w:t xml:space="preserve">acts of </w:t>
      </w:r>
      <w:r w:rsidR="000358DC">
        <w:rPr>
          <w:noProof/>
        </w:rPr>
        <w:t xml:space="preserve">EU law. </w:t>
      </w:r>
    </w:p>
    <w:p w14:paraId="6F148D69" w14:textId="70128C1D" w:rsidR="00AF44C3" w:rsidRDefault="00AF44C3" w:rsidP="00AF44C3">
      <w:pPr>
        <w:rPr>
          <w:noProof/>
        </w:rPr>
      </w:pPr>
      <w:r>
        <w:rPr>
          <w:noProof/>
        </w:rPr>
        <w:t xml:space="preserve">Article 2 defines </w:t>
      </w:r>
      <w:r w:rsidR="00883A1B">
        <w:rPr>
          <w:noProof/>
        </w:rPr>
        <w:t xml:space="preserve">a number of key terms, such as </w:t>
      </w:r>
      <w:r>
        <w:rPr>
          <w:noProof/>
        </w:rPr>
        <w:t>the authorities subject to the horizontal rules on information exchange</w:t>
      </w:r>
      <w:r w:rsidR="0044708B">
        <w:rPr>
          <w:noProof/>
        </w:rPr>
        <w:t>,</w:t>
      </w:r>
      <w:r>
        <w:rPr>
          <w:noProof/>
        </w:rPr>
        <w:t xml:space="preserve"> the criminal offences concerned</w:t>
      </w:r>
      <w:r w:rsidR="008E5DAF">
        <w:rPr>
          <w:noProof/>
        </w:rPr>
        <w:t xml:space="preserve"> and the type of information</w:t>
      </w:r>
      <w:r w:rsidR="000C12E4">
        <w:rPr>
          <w:noProof/>
        </w:rPr>
        <w:t xml:space="preserve"> </w:t>
      </w:r>
      <w:r w:rsidR="008E5DAF">
        <w:rPr>
          <w:noProof/>
        </w:rPr>
        <w:t>available to law enforcement authorities</w:t>
      </w:r>
      <w:r>
        <w:rPr>
          <w:noProof/>
        </w:rPr>
        <w:t>.</w:t>
      </w:r>
      <w:r w:rsidR="000C12E4">
        <w:rPr>
          <w:noProof/>
        </w:rPr>
        <w:t xml:space="preserve"> </w:t>
      </w:r>
    </w:p>
    <w:p w14:paraId="0281EF0F" w14:textId="2E3C699E" w:rsidR="00AF44C3" w:rsidRDefault="00AF44C3" w:rsidP="00AF44C3">
      <w:pPr>
        <w:rPr>
          <w:noProof/>
        </w:rPr>
      </w:pPr>
      <w:r>
        <w:rPr>
          <w:noProof/>
        </w:rPr>
        <w:t xml:space="preserve">Article 3 </w:t>
      </w:r>
      <w:r w:rsidR="00883A1B">
        <w:rPr>
          <w:noProof/>
        </w:rPr>
        <w:t xml:space="preserve">outlines </w:t>
      </w:r>
      <w:r>
        <w:rPr>
          <w:noProof/>
        </w:rPr>
        <w:t>three principles that must be respected when exchanging information between the Member States</w:t>
      </w:r>
      <w:r w:rsidR="00883A1B" w:rsidRPr="00883A1B">
        <w:rPr>
          <w:noProof/>
        </w:rPr>
        <w:t xml:space="preserve"> </w:t>
      </w:r>
      <w:r w:rsidR="00883A1B">
        <w:rPr>
          <w:noProof/>
        </w:rPr>
        <w:t>under the Directive</w:t>
      </w:r>
      <w:r>
        <w:rPr>
          <w:noProof/>
        </w:rPr>
        <w:t xml:space="preserve">: the principle of equivalent access establishing that </w:t>
      </w:r>
      <w:r w:rsidR="00883A1B">
        <w:rPr>
          <w:noProof/>
        </w:rPr>
        <w:t xml:space="preserve">substantially the </w:t>
      </w:r>
      <w:r>
        <w:rPr>
          <w:noProof/>
        </w:rPr>
        <w:t xml:space="preserve">same conditions must exist for information exchanges within a Member State and between Member States; the principle of availability stating that if information is available concerning a criminal offence in a Member State, this must, as a </w:t>
      </w:r>
      <w:r w:rsidR="00883A1B">
        <w:rPr>
          <w:noProof/>
        </w:rPr>
        <w:t xml:space="preserve">general </w:t>
      </w:r>
      <w:r>
        <w:rPr>
          <w:noProof/>
        </w:rPr>
        <w:t xml:space="preserve">rule, be </w:t>
      </w:r>
      <w:r w:rsidR="00883A1B">
        <w:rPr>
          <w:noProof/>
        </w:rPr>
        <w:t xml:space="preserve">made available </w:t>
      </w:r>
      <w:r>
        <w:rPr>
          <w:noProof/>
        </w:rPr>
        <w:t>t</w:t>
      </w:r>
      <w:r w:rsidRPr="00231B71">
        <w:rPr>
          <w:noProof/>
        </w:rPr>
        <w:t>o other Member States as well; and the principle of confidentiality guaranteeing that Member States</w:t>
      </w:r>
      <w:r w:rsidRPr="005A5480">
        <w:rPr>
          <w:noProof/>
        </w:rPr>
        <w:t xml:space="preserve"> respect each other</w:t>
      </w:r>
      <w:r w:rsidR="0065193F" w:rsidRPr="00747D4D">
        <w:rPr>
          <w:noProof/>
        </w:rPr>
        <w:t>’s</w:t>
      </w:r>
      <w:r w:rsidRPr="005A5480">
        <w:rPr>
          <w:noProof/>
        </w:rPr>
        <w:t xml:space="preserve"> confidentiality requirements when treating such information</w:t>
      </w:r>
      <w:r w:rsidR="00883A1B" w:rsidRPr="00883A1B">
        <w:rPr>
          <w:noProof/>
        </w:rPr>
        <w:t xml:space="preserve"> </w:t>
      </w:r>
      <w:r w:rsidR="00883A1B">
        <w:rPr>
          <w:noProof/>
        </w:rPr>
        <w:t>by ensuring a similar level of protection</w:t>
      </w:r>
      <w:r w:rsidRPr="00231B71">
        <w:rPr>
          <w:noProof/>
        </w:rPr>
        <w:t>.</w:t>
      </w:r>
    </w:p>
    <w:p w14:paraId="5DB77DB2" w14:textId="765D9803" w:rsidR="00BF5C9F" w:rsidRPr="007B2C7A" w:rsidRDefault="002E4C52" w:rsidP="002E4C52">
      <w:pPr>
        <w:pStyle w:val="Point0"/>
        <w:rPr>
          <w:noProof/>
        </w:rPr>
      </w:pPr>
      <w:r w:rsidRPr="002E4C52">
        <w:t>(2)</w:t>
      </w:r>
      <w:r w:rsidRPr="002E4C52">
        <w:tab/>
      </w:r>
      <w:r w:rsidR="00BF5C9F" w:rsidRPr="007B2C7A">
        <w:rPr>
          <w:noProof/>
        </w:rPr>
        <w:t xml:space="preserve">Exchange of information through the Single Point of Contact (Art. 4 to Art. </w:t>
      </w:r>
      <w:r w:rsidR="00FD13AC" w:rsidRPr="007B2C7A">
        <w:rPr>
          <w:noProof/>
        </w:rPr>
        <w:t>6</w:t>
      </w:r>
      <w:r w:rsidR="00BF5C9F" w:rsidRPr="007B2C7A">
        <w:rPr>
          <w:noProof/>
        </w:rPr>
        <w:t>)</w:t>
      </w:r>
    </w:p>
    <w:p w14:paraId="465AAEB4" w14:textId="5E4B0A84" w:rsidR="00C32401" w:rsidRDefault="00AF44C3" w:rsidP="00AF44C3">
      <w:pPr>
        <w:rPr>
          <w:noProof/>
        </w:rPr>
      </w:pPr>
      <w:r w:rsidRPr="005A5480">
        <w:rPr>
          <w:noProof/>
        </w:rPr>
        <w:t xml:space="preserve">Article 4 sets out a number of requirements </w:t>
      </w:r>
      <w:r w:rsidR="00C32401">
        <w:rPr>
          <w:noProof/>
        </w:rPr>
        <w:t>regarding request</w:t>
      </w:r>
      <w:r w:rsidR="005A707B">
        <w:rPr>
          <w:noProof/>
        </w:rPr>
        <w:t>s</w:t>
      </w:r>
      <w:r w:rsidR="00C32401">
        <w:rPr>
          <w:noProof/>
        </w:rPr>
        <w:t xml:space="preserve"> for information sent to the </w:t>
      </w:r>
      <w:r w:rsidR="002D4EA0">
        <w:rPr>
          <w:noProof/>
        </w:rPr>
        <w:t>Single Point of Contact</w:t>
      </w:r>
      <w:r w:rsidR="00C32401">
        <w:rPr>
          <w:noProof/>
        </w:rPr>
        <w:t>. This notably concerns criteria justifying the request</w:t>
      </w:r>
      <w:r w:rsidR="002716EC">
        <w:rPr>
          <w:noProof/>
        </w:rPr>
        <w:t xml:space="preserve"> and qualifying urgency. The request is to be </w:t>
      </w:r>
      <w:r w:rsidR="000C12E4">
        <w:rPr>
          <w:noProof/>
        </w:rPr>
        <w:t>submitted by the Single Point of Contact of other Member States or, where a Member State decides so, by other law enforcement authorities</w:t>
      </w:r>
      <w:r w:rsidRPr="005A5480">
        <w:rPr>
          <w:noProof/>
        </w:rPr>
        <w:t xml:space="preserve">. </w:t>
      </w:r>
      <w:r w:rsidR="000C12E4">
        <w:rPr>
          <w:noProof/>
        </w:rPr>
        <w:t xml:space="preserve">The language used for the request must be chosen among a list of languages that each Member States is obliged to </w:t>
      </w:r>
      <w:r w:rsidR="002744B4">
        <w:rPr>
          <w:noProof/>
        </w:rPr>
        <w:t xml:space="preserve">establish and that is to be published </w:t>
      </w:r>
      <w:r w:rsidR="000C12E4">
        <w:rPr>
          <w:noProof/>
        </w:rPr>
        <w:t xml:space="preserve">in the Official </w:t>
      </w:r>
      <w:r w:rsidR="002744B4">
        <w:rPr>
          <w:noProof/>
        </w:rPr>
        <w:t>Journal of the EU</w:t>
      </w:r>
      <w:r w:rsidR="000C12E4">
        <w:rPr>
          <w:noProof/>
        </w:rPr>
        <w:t>.</w:t>
      </w:r>
      <w:r w:rsidR="009C1E46">
        <w:rPr>
          <w:noProof/>
        </w:rPr>
        <w:t xml:space="preserve"> </w:t>
      </w:r>
    </w:p>
    <w:p w14:paraId="2B9940FB" w14:textId="18EF7E75" w:rsidR="00BF5C9F" w:rsidRDefault="00AF44C3" w:rsidP="00AF44C3">
      <w:pPr>
        <w:rPr>
          <w:noProof/>
        </w:rPr>
      </w:pPr>
      <w:r w:rsidRPr="005A5480">
        <w:rPr>
          <w:noProof/>
        </w:rPr>
        <w:t xml:space="preserve">Article 5 establishes the obligation for the </w:t>
      </w:r>
      <w:r w:rsidR="002744B4">
        <w:rPr>
          <w:noProof/>
        </w:rPr>
        <w:t>Single Point of Contact receiving the requests for information referred to in Article 4</w:t>
      </w:r>
      <w:r w:rsidR="002744B4" w:rsidRPr="005A5480">
        <w:rPr>
          <w:noProof/>
        </w:rPr>
        <w:t xml:space="preserve"> </w:t>
      </w:r>
      <w:r w:rsidRPr="005A5480">
        <w:rPr>
          <w:noProof/>
        </w:rPr>
        <w:t>to process and respond to the request</w:t>
      </w:r>
      <w:r w:rsidR="005A707B">
        <w:rPr>
          <w:noProof/>
        </w:rPr>
        <w:t>s</w:t>
      </w:r>
      <w:r w:rsidRPr="005A5480">
        <w:rPr>
          <w:noProof/>
        </w:rPr>
        <w:t xml:space="preserve"> within precise time limits</w:t>
      </w:r>
      <w:r w:rsidR="00105F24">
        <w:rPr>
          <w:noProof/>
        </w:rPr>
        <w:t>, which</w:t>
      </w:r>
      <w:r w:rsidRPr="005A5480">
        <w:rPr>
          <w:noProof/>
        </w:rPr>
        <w:t xml:space="preserve"> may be derogated </w:t>
      </w:r>
      <w:r w:rsidR="005A707B">
        <w:rPr>
          <w:noProof/>
        </w:rPr>
        <w:t xml:space="preserve">from only </w:t>
      </w:r>
      <w:r w:rsidRPr="005A5480">
        <w:rPr>
          <w:noProof/>
        </w:rPr>
        <w:t>in certain narrow</w:t>
      </w:r>
      <w:r w:rsidR="00105F24">
        <w:rPr>
          <w:noProof/>
        </w:rPr>
        <w:t>ly specified</w:t>
      </w:r>
      <w:r w:rsidRPr="005A5480">
        <w:rPr>
          <w:noProof/>
        </w:rPr>
        <w:t xml:space="preserve"> circumstances</w:t>
      </w:r>
      <w:r w:rsidR="005A707B">
        <w:rPr>
          <w:noProof/>
        </w:rPr>
        <w:t xml:space="preserve">, namely, </w:t>
      </w:r>
      <w:r w:rsidR="0016125F">
        <w:rPr>
          <w:noProof/>
        </w:rPr>
        <w:t>when a judicial authorisation is required</w:t>
      </w:r>
      <w:r w:rsidRPr="005A5480">
        <w:rPr>
          <w:noProof/>
        </w:rPr>
        <w:t xml:space="preserve">. </w:t>
      </w:r>
      <w:r w:rsidR="000C12E4">
        <w:rPr>
          <w:noProof/>
        </w:rPr>
        <w:t xml:space="preserve">Such provision of information </w:t>
      </w:r>
      <w:r w:rsidR="00B425E8">
        <w:rPr>
          <w:noProof/>
        </w:rPr>
        <w:t xml:space="preserve">will </w:t>
      </w:r>
      <w:r w:rsidR="005A707B">
        <w:rPr>
          <w:noProof/>
        </w:rPr>
        <w:t xml:space="preserve">have to </w:t>
      </w:r>
      <w:r w:rsidR="000C12E4">
        <w:rPr>
          <w:noProof/>
        </w:rPr>
        <w:t>be done in the same language used for the request</w:t>
      </w:r>
      <w:r w:rsidR="009C1E46">
        <w:rPr>
          <w:noProof/>
        </w:rPr>
        <w:t xml:space="preserve">. </w:t>
      </w:r>
    </w:p>
    <w:p w14:paraId="5779CEB6" w14:textId="6A924803" w:rsidR="009C1E46" w:rsidRPr="00CA6793" w:rsidRDefault="00AF44C3" w:rsidP="00AF44C3">
      <w:pPr>
        <w:rPr>
          <w:noProof/>
        </w:rPr>
      </w:pPr>
      <w:r w:rsidRPr="005A5480">
        <w:rPr>
          <w:noProof/>
        </w:rPr>
        <w:t xml:space="preserve">Article 6 lays down an exhaustive list of grounds that the </w:t>
      </w:r>
      <w:r w:rsidR="005A707B">
        <w:rPr>
          <w:noProof/>
        </w:rPr>
        <w:t>Single Point of Contact</w:t>
      </w:r>
      <w:r w:rsidRPr="005A5480">
        <w:rPr>
          <w:noProof/>
        </w:rPr>
        <w:t xml:space="preserve"> </w:t>
      </w:r>
      <w:r w:rsidRPr="00CA6793">
        <w:rPr>
          <w:noProof/>
        </w:rPr>
        <w:t>may invoke</w:t>
      </w:r>
      <w:r w:rsidR="005A707B">
        <w:rPr>
          <w:noProof/>
        </w:rPr>
        <w:t>, where objectively justified,</w:t>
      </w:r>
      <w:r w:rsidRPr="00CA6793">
        <w:rPr>
          <w:noProof/>
        </w:rPr>
        <w:t xml:space="preserve"> to refuse the disclosure of the </w:t>
      </w:r>
      <w:r w:rsidR="00105F24">
        <w:rPr>
          <w:noProof/>
        </w:rPr>
        <w:t>requested</w:t>
      </w:r>
      <w:r w:rsidR="00105F24" w:rsidRPr="00CA6793">
        <w:rPr>
          <w:noProof/>
        </w:rPr>
        <w:t xml:space="preserve"> </w:t>
      </w:r>
      <w:r w:rsidRPr="00CA6793">
        <w:rPr>
          <w:noProof/>
        </w:rPr>
        <w:t xml:space="preserve">information, of which the </w:t>
      </w:r>
      <w:r w:rsidR="00105F24">
        <w:rPr>
          <w:noProof/>
        </w:rPr>
        <w:t xml:space="preserve">relevant </w:t>
      </w:r>
      <w:r w:rsidRPr="00CA6793">
        <w:rPr>
          <w:noProof/>
        </w:rPr>
        <w:t xml:space="preserve">authority of </w:t>
      </w:r>
      <w:r w:rsidR="005A707B">
        <w:rPr>
          <w:noProof/>
        </w:rPr>
        <w:t xml:space="preserve">the </w:t>
      </w:r>
      <w:r w:rsidR="005A707B" w:rsidRPr="00CA6793">
        <w:rPr>
          <w:noProof/>
        </w:rPr>
        <w:t>requesting</w:t>
      </w:r>
      <w:r w:rsidR="005A707B" w:rsidRPr="00CA6793" w:rsidDel="005A707B">
        <w:rPr>
          <w:noProof/>
        </w:rPr>
        <w:t xml:space="preserve"> </w:t>
      </w:r>
      <w:r w:rsidRPr="00CA6793">
        <w:rPr>
          <w:noProof/>
        </w:rPr>
        <w:t xml:space="preserve">Member State must be promptly informed. </w:t>
      </w:r>
      <w:r w:rsidR="009C1E46">
        <w:rPr>
          <w:noProof/>
        </w:rPr>
        <w:t xml:space="preserve">The possibility for the </w:t>
      </w:r>
      <w:r w:rsidR="005A707B">
        <w:rPr>
          <w:noProof/>
        </w:rPr>
        <w:t>Single Point of Contact</w:t>
      </w:r>
      <w:r w:rsidR="009C1E46">
        <w:rPr>
          <w:noProof/>
        </w:rPr>
        <w:t xml:space="preserve"> to seek clarifications as to the content of the requests is foreseen, </w:t>
      </w:r>
      <w:r w:rsidR="00FA7FDB">
        <w:rPr>
          <w:noProof/>
        </w:rPr>
        <w:t xml:space="preserve">which will suspend the applicable time limits, yet only if the clarifications are objectively necessary to avoid the request being refused. </w:t>
      </w:r>
      <w:r w:rsidR="006D1809">
        <w:rPr>
          <w:noProof/>
        </w:rPr>
        <w:t>In respect of other clarifications that may be deemed necessary, there will be no such suspension.</w:t>
      </w:r>
    </w:p>
    <w:p w14:paraId="7702175F" w14:textId="61A79DCC" w:rsidR="009C1E46" w:rsidRPr="007B2C7A" w:rsidRDefault="002E4C52" w:rsidP="002E4C52">
      <w:pPr>
        <w:pStyle w:val="Point0"/>
        <w:rPr>
          <w:noProof/>
        </w:rPr>
      </w:pPr>
      <w:r w:rsidRPr="002E4C52">
        <w:t>(3)</w:t>
      </w:r>
      <w:r w:rsidRPr="002E4C52">
        <w:tab/>
      </w:r>
      <w:r w:rsidR="009C1E46" w:rsidRPr="007B2C7A">
        <w:rPr>
          <w:noProof/>
        </w:rPr>
        <w:t>Other exchanges of information</w:t>
      </w:r>
      <w:r w:rsidR="00B576C8" w:rsidRPr="007B2C7A">
        <w:rPr>
          <w:noProof/>
        </w:rPr>
        <w:t xml:space="preserve"> (Art. 7 to Art. </w:t>
      </w:r>
      <w:r w:rsidR="006D1809">
        <w:rPr>
          <w:noProof/>
        </w:rPr>
        <w:t>8</w:t>
      </w:r>
      <w:r w:rsidR="00B576C8" w:rsidRPr="007B2C7A">
        <w:rPr>
          <w:noProof/>
        </w:rPr>
        <w:t>)</w:t>
      </w:r>
    </w:p>
    <w:p w14:paraId="79827852" w14:textId="09FD12D3" w:rsidR="002F4230" w:rsidRDefault="006C223F" w:rsidP="006C223F">
      <w:pPr>
        <w:rPr>
          <w:noProof/>
        </w:rPr>
      </w:pPr>
      <w:r w:rsidRPr="009C1E46">
        <w:rPr>
          <w:noProof/>
        </w:rPr>
        <w:t xml:space="preserve">Article </w:t>
      </w:r>
      <w:r w:rsidR="002F4230">
        <w:rPr>
          <w:noProof/>
        </w:rPr>
        <w:t xml:space="preserve">7 establishes </w:t>
      </w:r>
      <w:r w:rsidR="002F4230" w:rsidRPr="005A5480">
        <w:rPr>
          <w:noProof/>
        </w:rPr>
        <w:t xml:space="preserve">the obligation for </w:t>
      </w:r>
      <w:r w:rsidR="00153BF9">
        <w:rPr>
          <w:noProof/>
        </w:rPr>
        <w:t xml:space="preserve">Member States </w:t>
      </w:r>
      <w:r w:rsidR="002F4230">
        <w:rPr>
          <w:noProof/>
        </w:rPr>
        <w:t>to share information with another</w:t>
      </w:r>
      <w:r w:rsidR="00570295">
        <w:rPr>
          <w:noProof/>
        </w:rPr>
        <w:t xml:space="preserve"> (other)</w:t>
      </w:r>
      <w:r w:rsidR="002F4230">
        <w:rPr>
          <w:noProof/>
        </w:rPr>
        <w:t xml:space="preserve"> Member State</w:t>
      </w:r>
      <w:r w:rsidR="00570295">
        <w:rPr>
          <w:noProof/>
        </w:rPr>
        <w:t>(s)</w:t>
      </w:r>
      <w:r w:rsidR="00153BF9">
        <w:rPr>
          <w:noProof/>
        </w:rPr>
        <w:t xml:space="preserve"> </w:t>
      </w:r>
      <w:r w:rsidR="002F4230">
        <w:rPr>
          <w:noProof/>
        </w:rPr>
        <w:t>spontaneously,</w:t>
      </w:r>
      <w:r w:rsidR="005A707B">
        <w:rPr>
          <w:noProof/>
        </w:rPr>
        <w:t xml:space="preserve"> </w:t>
      </w:r>
      <w:r w:rsidR="00FA7FDB">
        <w:rPr>
          <w:noProof/>
        </w:rPr>
        <w:t xml:space="preserve">i.e. on the relevant authority’s own initiative without a request for information having been submitted, </w:t>
      </w:r>
      <w:r w:rsidR="002F4230">
        <w:rPr>
          <w:noProof/>
        </w:rPr>
        <w:t xml:space="preserve">when that information is likely to assist in achieving one of the purposes </w:t>
      </w:r>
      <w:r w:rsidR="006D1809">
        <w:rPr>
          <w:noProof/>
        </w:rPr>
        <w:t>specified in</w:t>
      </w:r>
      <w:r w:rsidR="002F4230">
        <w:rPr>
          <w:noProof/>
        </w:rPr>
        <w:t xml:space="preserve"> the Directive.</w:t>
      </w:r>
    </w:p>
    <w:p w14:paraId="77D3B4D0" w14:textId="67D242ED" w:rsidR="009C1E46" w:rsidRDefault="009C1E46" w:rsidP="009C1E46">
      <w:pPr>
        <w:spacing w:before="0"/>
        <w:rPr>
          <w:noProof/>
        </w:rPr>
      </w:pPr>
      <w:r w:rsidRPr="009C1E46">
        <w:rPr>
          <w:noProof/>
        </w:rPr>
        <w:t xml:space="preserve">Article </w:t>
      </w:r>
      <w:r>
        <w:rPr>
          <w:noProof/>
        </w:rPr>
        <w:t xml:space="preserve">8 ensures that the </w:t>
      </w:r>
      <w:r w:rsidR="00FF3D38">
        <w:rPr>
          <w:noProof/>
        </w:rPr>
        <w:t xml:space="preserve">relevant </w:t>
      </w:r>
      <w:r>
        <w:rPr>
          <w:noProof/>
        </w:rPr>
        <w:t>Single Point</w:t>
      </w:r>
      <w:r w:rsidR="0016125F">
        <w:rPr>
          <w:noProof/>
        </w:rPr>
        <w:t>s</w:t>
      </w:r>
      <w:r>
        <w:rPr>
          <w:noProof/>
        </w:rPr>
        <w:t xml:space="preserve"> of Contact are kept informed of any exchange of information</w:t>
      </w:r>
      <w:r w:rsidR="0027666A">
        <w:rPr>
          <w:noProof/>
        </w:rPr>
        <w:t xml:space="preserve"> upon request, other tha</w:t>
      </w:r>
      <w:r w:rsidR="0027666A" w:rsidRPr="00747D4D">
        <w:rPr>
          <w:noProof/>
        </w:rPr>
        <w:t>n</w:t>
      </w:r>
      <w:r w:rsidR="006D1809">
        <w:rPr>
          <w:noProof/>
        </w:rPr>
        <w:t xml:space="preserve"> requests submitted to the Single Point of Contact, i.e. either information exchanges upon request</w:t>
      </w:r>
      <w:r>
        <w:rPr>
          <w:noProof/>
        </w:rPr>
        <w:t xml:space="preserve"> </w:t>
      </w:r>
      <w:r w:rsidR="006D1809">
        <w:rPr>
          <w:noProof/>
        </w:rPr>
        <w:t>handled</w:t>
      </w:r>
      <w:r w:rsidR="00FF3D38">
        <w:rPr>
          <w:noProof/>
        </w:rPr>
        <w:t xml:space="preserve"> </w:t>
      </w:r>
      <w:r>
        <w:rPr>
          <w:noProof/>
        </w:rPr>
        <w:t>directly between law enforcement authorities of different Member States</w:t>
      </w:r>
      <w:r w:rsidR="00FF3D38">
        <w:rPr>
          <w:noProof/>
        </w:rPr>
        <w:t xml:space="preserve"> or upon requests for information submitted by </w:t>
      </w:r>
      <w:r w:rsidR="006D1809">
        <w:rPr>
          <w:noProof/>
        </w:rPr>
        <w:t xml:space="preserve">a </w:t>
      </w:r>
      <w:r w:rsidR="00FF3D38">
        <w:rPr>
          <w:noProof/>
        </w:rPr>
        <w:t>Single Point of Contact to</w:t>
      </w:r>
      <w:r w:rsidR="006D1809">
        <w:rPr>
          <w:noProof/>
        </w:rPr>
        <w:t xml:space="preserve"> a</w:t>
      </w:r>
      <w:r w:rsidR="00FF3D38">
        <w:rPr>
          <w:noProof/>
        </w:rPr>
        <w:t xml:space="preserve"> law enforcement authorit</w:t>
      </w:r>
      <w:r w:rsidR="006D1809">
        <w:rPr>
          <w:noProof/>
        </w:rPr>
        <w:t>y of another Member State</w:t>
      </w:r>
      <w:r>
        <w:rPr>
          <w:noProof/>
        </w:rPr>
        <w:t>.</w:t>
      </w:r>
      <w:r w:rsidR="006C3CE1" w:rsidRPr="006C3CE1">
        <w:rPr>
          <w:noProof/>
        </w:rPr>
        <w:t xml:space="preserve"> </w:t>
      </w:r>
      <w:r w:rsidR="006C3CE1" w:rsidRPr="00F421A8">
        <w:rPr>
          <w:noProof/>
        </w:rPr>
        <w:t xml:space="preserve">This includes </w:t>
      </w:r>
      <w:r w:rsidR="00CE39D1" w:rsidRPr="00EF4068">
        <w:rPr>
          <w:noProof/>
        </w:rPr>
        <w:t xml:space="preserve">relevant information exchanges by </w:t>
      </w:r>
      <w:r w:rsidR="006C3CE1" w:rsidRPr="00EF4068">
        <w:rPr>
          <w:noProof/>
        </w:rPr>
        <w:t>Police and Customs Cooperation Centres and any other equivalent bodies</w:t>
      </w:r>
      <w:r w:rsidR="00CE39D1" w:rsidRPr="004271D5">
        <w:rPr>
          <w:noProof/>
        </w:rPr>
        <w:t>, in as far as they qualify as law enforcement authorities under the proposed Directive</w:t>
      </w:r>
      <w:r w:rsidR="006C3CE1" w:rsidRPr="00F421A8">
        <w:rPr>
          <w:noProof/>
        </w:rPr>
        <w:t>.</w:t>
      </w:r>
    </w:p>
    <w:p w14:paraId="7CB0BAE2" w14:textId="74FB242C" w:rsidR="002F4230" w:rsidRPr="007B2C7A" w:rsidRDefault="002E4C52" w:rsidP="002E4C52">
      <w:pPr>
        <w:pStyle w:val="Point0"/>
        <w:rPr>
          <w:noProof/>
        </w:rPr>
      </w:pPr>
      <w:r w:rsidRPr="002E4C52">
        <w:t>(4)</w:t>
      </w:r>
      <w:r w:rsidRPr="002E4C52">
        <w:tab/>
      </w:r>
      <w:r w:rsidR="002F4230" w:rsidRPr="007B2C7A">
        <w:rPr>
          <w:noProof/>
        </w:rPr>
        <w:t xml:space="preserve">Additional </w:t>
      </w:r>
      <w:r w:rsidR="009C1E46" w:rsidRPr="007B2C7A">
        <w:rPr>
          <w:noProof/>
        </w:rPr>
        <w:t>rules</w:t>
      </w:r>
      <w:r w:rsidR="002F4230" w:rsidRPr="007B2C7A">
        <w:rPr>
          <w:noProof/>
        </w:rPr>
        <w:t xml:space="preserve"> </w:t>
      </w:r>
      <w:r w:rsidR="009C1E46" w:rsidRPr="007B2C7A">
        <w:rPr>
          <w:noProof/>
        </w:rPr>
        <w:t>on</w:t>
      </w:r>
      <w:r w:rsidR="002F4230" w:rsidRPr="007B2C7A">
        <w:rPr>
          <w:noProof/>
        </w:rPr>
        <w:t xml:space="preserve"> the provision of information</w:t>
      </w:r>
      <w:r w:rsidR="002F4230" w:rsidRPr="007B2C7A">
        <w:rPr>
          <w:b/>
          <w:noProof/>
        </w:rPr>
        <w:t xml:space="preserve"> </w:t>
      </w:r>
      <w:r w:rsidR="00FD13AC" w:rsidRPr="007B2C7A">
        <w:rPr>
          <w:noProof/>
        </w:rPr>
        <w:t xml:space="preserve">under </w:t>
      </w:r>
      <w:r w:rsidR="009C1E46" w:rsidRPr="007B2C7A">
        <w:rPr>
          <w:noProof/>
        </w:rPr>
        <w:t>Chapter II and III</w:t>
      </w:r>
      <w:r w:rsidR="00B576C8" w:rsidRPr="007B2C7A">
        <w:rPr>
          <w:noProof/>
        </w:rPr>
        <w:t xml:space="preserve"> (Art. </w:t>
      </w:r>
      <w:r w:rsidR="006D1809" w:rsidRPr="004271D5">
        <w:rPr>
          <w:noProof/>
        </w:rPr>
        <w:t>9</w:t>
      </w:r>
      <w:r w:rsidR="00B576C8" w:rsidRPr="007B2C7A">
        <w:rPr>
          <w:noProof/>
        </w:rPr>
        <w:t xml:space="preserve"> to Art. 1</w:t>
      </w:r>
      <w:r w:rsidR="00AA5B56">
        <w:rPr>
          <w:noProof/>
        </w:rPr>
        <w:t>3</w:t>
      </w:r>
      <w:r w:rsidR="009C1E46" w:rsidRPr="007B2C7A">
        <w:rPr>
          <w:noProof/>
        </w:rPr>
        <w:t>)</w:t>
      </w:r>
    </w:p>
    <w:p w14:paraId="5BF2FCB9" w14:textId="18CED1A4" w:rsidR="002F4230" w:rsidRPr="00781B20" w:rsidRDefault="002F4230" w:rsidP="002F4230">
      <w:pPr>
        <w:rPr>
          <w:i/>
          <w:noProof/>
        </w:rPr>
      </w:pPr>
      <w:r w:rsidRPr="009C1E46">
        <w:rPr>
          <w:noProof/>
        </w:rPr>
        <w:t>Article</w:t>
      </w:r>
      <w:r>
        <w:rPr>
          <w:noProof/>
        </w:rPr>
        <w:t xml:space="preserve"> </w:t>
      </w:r>
      <w:r w:rsidR="006D1809" w:rsidRPr="004271D5">
        <w:rPr>
          <w:noProof/>
        </w:rPr>
        <w:t>9</w:t>
      </w:r>
      <w:r>
        <w:rPr>
          <w:noProof/>
        </w:rPr>
        <w:t xml:space="preserve"> </w:t>
      </w:r>
      <w:r w:rsidR="00FA7FDB">
        <w:rPr>
          <w:noProof/>
        </w:rPr>
        <w:t xml:space="preserve">addresses situations </w:t>
      </w:r>
      <w:r w:rsidR="00570295">
        <w:rPr>
          <w:noProof/>
        </w:rPr>
        <w:t>where</w:t>
      </w:r>
      <w:r w:rsidR="006D1809">
        <w:rPr>
          <w:noProof/>
        </w:rPr>
        <w:t>,</w:t>
      </w:r>
      <w:r w:rsidR="005A707B">
        <w:rPr>
          <w:noProof/>
        </w:rPr>
        <w:t xml:space="preserve"> </w:t>
      </w:r>
      <w:r w:rsidR="00FA7FDB">
        <w:rPr>
          <w:noProof/>
        </w:rPr>
        <w:t>under the national law of the Member State to which relevant information is available</w:t>
      </w:r>
      <w:r w:rsidR="006D1809">
        <w:rPr>
          <w:noProof/>
        </w:rPr>
        <w:t>,</w:t>
      </w:r>
      <w:r w:rsidR="005A707B">
        <w:rPr>
          <w:noProof/>
        </w:rPr>
        <w:t xml:space="preserve"> </w:t>
      </w:r>
      <w:r w:rsidR="0016125F">
        <w:rPr>
          <w:noProof/>
        </w:rPr>
        <w:t>a judicial authorisation i</w:t>
      </w:r>
      <w:r>
        <w:rPr>
          <w:noProof/>
        </w:rPr>
        <w:t xml:space="preserve">s required </w:t>
      </w:r>
      <w:r w:rsidR="00FA7FDB">
        <w:rPr>
          <w:noProof/>
        </w:rPr>
        <w:t xml:space="preserve">for the provision of that information, either upon request or spontaneously and either by the Single Point of Contact or by a law enforcement authority. This provision gives effect to and further specifies </w:t>
      </w:r>
      <w:r>
        <w:rPr>
          <w:noProof/>
        </w:rPr>
        <w:t>the principle of equivalent access, meaning</w:t>
      </w:r>
      <w:r w:rsidR="005A707B">
        <w:rPr>
          <w:noProof/>
        </w:rPr>
        <w:t xml:space="preserve"> </w:t>
      </w:r>
      <w:r w:rsidR="00FA7FDB">
        <w:rPr>
          <w:noProof/>
        </w:rPr>
        <w:t xml:space="preserve">that substantially </w:t>
      </w:r>
      <w:r w:rsidRPr="00CA6793">
        <w:rPr>
          <w:noProof/>
        </w:rPr>
        <w:t>the same conditions must apply when the requested information is subject to judicial a</w:t>
      </w:r>
      <w:r w:rsidR="009253DA">
        <w:rPr>
          <w:noProof/>
        </w:rPr>
        <w:t>uthorisation</w:t>
      </w:r>
      <w:r w:rsidRPr="00CA6793">
        <w:rPr>
          <w:noProof/>
        </w:rPr>
        <w:t xml:space="preserve">, regardless of the fact that </w:t>
      </w:r>
      <w:r w:rsidR="00FA7FDB" w:rsidRPr="00CA6793">
        <w:rPr>
          <w:noProof/>
        </w:rPr>
        <w:t xml:space="preserve">the </w:t>
      </w:r>
      <w:r w:rsidR="00FA7FDB">
        <w:rPr>
          <w:noProof/>
        </w:rPr>
        <w:t xml:space="preserve">information is to be provided to an authority of another Member State rather than to an authority of the same </w:t>
      </w:r>
      <w:r w:rsidRPr="00CA6793">
        <w:rPr>
          <w:noProof/>
        </w:rPr>
        <w:t xml:space="preserve">Member State. This </w:t>
      </w:r>
      <w:r w:rsidR="0027666A" w:rsidRPr="00FA7FDB">
        <w:rPr>
          <w:noProof/>
        </w:rPr>
        <w:t>a</w:t>
      </w:r>
      <w:r w:rsidRPr="00231B71">
        <w:rPr>
          <w:noProof/>
        </w:rPr>
        <w:t>rticle also establishes</w:t>
      </w:r>
      <w:r>
        <w:rPr>
          <w:noProof/>
        </w:rPr>
        <w:t xml:space="preserve"> that</w:t>
      </w:r>
      <w:r w:rsidRPr="00BC031C">
        <w:rPr>
          <w:noProof/>
        </w:rPr>
        <w:t xml:space="preserve"> </w:t>
      </w:r>
      <w:r w:rsidR="009253DA">
        <w:rPr>
          <w:noProof/>
        </w:rPr>
        <w:t xml:space="preserve">the </w:t>
      </w:r>
      <w:r w:rsidRPr="00231B71">
        <w:rPr>
          <w:noProof/>
        </w:rPr>
        <w:t>authority</w:t>
      </w:r>
      <w:r w:rsidR="009253DA">
        <w:rPr>
          <w:noProof/>
        </w:rPr>
        <w:t xml:space="preserve"> </w:t>
      </w:r>
      <w:r w:rsidR="00FA7FDB">
        <w:rPr>
          <w:noProof/>
        </w:rPr>
        <w:t xml:space="preserve">concerned must </w:t>
      </w:r>
      <w:r>
        <w:rPr>
          <w:noProof/>
        </w:rPr>
        <w:t xml:space="preserve">immediately take all necessary steps, </w:t>
      </w:r>
      <w:r w:rsidR="006D1809">
        <w:rPr>
          <w:noProof/>
        </w:rPr>
        <w:t xml:space="preserve">both practically and legally, </w:t>
      </w:r>
      <w:r>
        <w:rPr>
          <w:noProof/>
        </w:rPr>
        <w:t>in accordance with their national law, to obtain such</w:t>
      </w:r>
      <w:r w:rsidRPr="007E014A">
        <w:rPr>
          <w:noProof/>
        </w:rPr>
        <w:t xml:space="preserve"> judicial authori</w:t>
      </w:r>
      <w:r>
        <w:rPr>
          <w:noProof/>
        </w:rPr>
        <w:t>sation as soon as possible</w:t>
      </w:r>
      <w:r w:rsidRPr="005A5480">
        <w:rPr>
          <w:noProof/>
        </w:rPr>
        <w:t xml:space="preserve">. </w:t>
      </w:r>
    </w:p>
    <w:p w14:paraId="2923CE37" w14:textId="5F919A8F" w:rsidR="009253DA" w:rsidRDefault="009253DA" w:rsidP="00802082">
      <w:pPr>
        <w:rPr>
          <w:noProof/>
        </w:rPr>
      </w:pPr>
      <w:r>
        <w:rPr>
          <w:noProof/>
        </w:rPr>
        <w:t xml:space="preserve">Article </w:t>
      </w:r>
      <w:r w:rsidR="00AA5B56" w:rsidRPr="004271D5">
        <w:rPr>
          <w:noProof/>
        </w:rPr>
        <w:t>1</w:t>
      </w:r>
      <w:r w:rsidR="006D1809" w:rsidRPr="004271D5">
        <w:rPr>
          <w:noProof/>
        </w:rPr>
        <w:t>0</w:t>
      </w:r>
      <w:r>
        <w:rPr>
          <w:noProof/>
        </w:rPr>
        <w:t xml:space="preserve"> </w:t>
      </w:r>
      <w:r w:rsidR="00810F59">
        <w:rPr>
          <w:noProof/>
        </w:rPr>
        <w:t>sets out</w:t>
      </w:r>
      <w:r>
        <w:rPr>
          <w:noProof/>
        </w:rPr>
        <w:t xml:space="preserve"> certain requirements </w:t>
      </w:r>
      <w:r w:rsidR="00810F59">
        <w:rPr>
          <w:noProof/>
        </w:rPr>
        <w:t xml:space="preserve">aimed at ensuring adequate protection </w:t>
      </w:r>
      <w:r>
        <w:rPr>
          <w:noProof/>
        </w:rPr>
        <w:t xml:space="preserve">of personal data, </w:t>
      </w:r>
      <w:r w:rsidR="00810F59">
        <w:rPr>
          <w:noProof/>
        </w:rPr>
        <w:t xml:space="preserve">resulting in particular from </w:t>
      </w:r>
      <w:r>
        <w:rPr>
          <w:noProof/>
        </w:rPr>
        <w:t>the align</w:t>
      </w:r>
      <w:r w:rsidR="00810F59">
        <w:rPr>
          <w:noProof/>
        </w:rPr>
        <w:t>ment</w:t>
      </w:r>
      <w:r>
        <w:rPr>
          <w:noProof/>
        </w:rPr>
        <w:t xml:space="preserve"> with the</w:t>
      </w:r>
      <w:r w:rsidR="00810F59">
        <w:rPr>
          <w:noProof/>
        </w:rPr>
        <w:t xml:space="preserve"> rules of the</w:t>
      </w:r>
      <w:r>
        <w:rPr>
          <w:noProof/>
        </w:rPr>
        <w:t xml:space="preserve"> L</w:t>
      </w:r>
      <w:r w:rsidR="00105F24">
        <w:rPr>
          <w:noProof/>
        </w:rPr>
        <w:t>ED</w:t>
      </w:r>
      <w:r>
        <w:rPr>
          <w:noProof/>
        </w:rPr>
        <w:t>.</w:t>
      </w:r>
    </w:p>
    <w:p w14:paraId="2B4BA465" w14:textId="04E4773B" w:rsidR="00802082" w:rsidRDefault="002F4230" w:rsidP="00802082">
      <w:pPr>
        <w:rPr>
          <w:noProof/>
        </w:rPr>
      </w:pPr>
      <w:r>
        <w:rPr>
          <w:noProof/>
        </w:rPr>
        <w:t xml:space="preserve">Article </w:t>
      </w:r>
      <w:r w:rsidR="009C1E46" w:rsidRPr="004271D5">
        <w:rPr>
          <w:noProof/>
        </w:rPr>
        <w:t>1</w:t>
      </w:r>
      <w:r w:rsidR="006D1809" w:rsidRPr="004271D5">
        <w:rPr>
          <w:noProof/>
        </w:rPr>
        <w:t>1</w:t>
      </w:r>
      <w:r w:rsidR="009C1E46">
        <w:rPr>
          <w:noProof/>
        </w:rPr>
        <w:t xml:space="preserve"> </w:t>
      </w:r>
      <w:r w:rsidR="00F140B2">
        <w:rPr>
          <w:noProof/>
        </w:rPr>
        <w:t xml:space="preserve">regulates the language to be used by </w:t>
      </w:r>
      <w:r w:rsidR="009253DA">
        <w:rPr>
          <w:noProof/>
        </w:rPr>
        <w:t xml:space="preserve">Single Points of Contact and </w:t>
      </w:r>
      <w:r w:rsidR="00F140B2">
        <w:rPr>
          <w:noProof/>
        </w:rPr>
        <w:t xml:space="preserve">law enforcement authorities </w:t>
      </w:r>
      <w:r w:rsidR="00655238" w:rsidRPr="004271D5">
        <w:rPr>
          <w:noProof/>
        </w:rPr>
        <w:t>in the situations specified in</w:t>
      </w:r>
      <w:r w:rsidR="009253DA">
        <w:rPr>
          <w:noProof/>
        </w:rPr>
        <w:t xml:space="preserve"> this Directive, both as regards the </w:t>
      </w:r>
      <w:r w:rsidR="009253DA" w:rsidRPr="004271D5">
        <w:rPr>
          <w:noProof/>
        </w:rPr>
        <w:t>actual</w:t>
      </w:r>
      <w:r w:rsidR="00655238" w:rsidRPr="004271D5">
        <w:rPr>
          <w:noProof/>
        </w:rPr>
        <w:t xml:space="preserve"> provision of</w:t>
      </w:r>
      <w:r w:rsidR="009253DA" w:rsidRPr="004271D5">
        <w:rPr>
          <w:noProof/>
        </w:rPr>
        <w:t xml:space="preserve"> information </w:t>
      </w:r>
      <w:r w:rsidR="00655238" w:rsidRPr="004271D5">
        <w:rPr>
          <w:noProof/>
        </w:rPr>
        <w:t>and any other communications related thereto</w:t>
      </w:r>
      <w:r w:rsidR="00F140B2">
        <w:rPr>
          <w:noProof/>
        </w:rPr>
        <w:t>.</w:t>
      </w:r>
      <w:r w:rsidR="00F93111">
        <w:rPr>
          <w:noProof/>
        </w:rPr>
        <w:t xml:space="preserve"> </w:t>
      </w:r>
      <w:r w:rsidR="00F93111" w:rsidRPr="00747D4D">
        <w:rPr>
          <w:noProof/>
        </w:rPr>
        <w:t>No such language requirements apply to the direct information exchanges and other communications referred to in Article 8.</w:t>
      </w:r>
      <w:r w:rsidR="00F93111">
        <w:rPr>
          <w:noProof/>
        </w:rPr>
        <w:t xml:space="preserve"> </w:t>
      </w:r>
      <w:r w:rsidR="00F140B2">
        <w:rPr>
          <w:noProof/>
        </w:rPr>
        <w:t xml:space="preserve"> </w:t>
      </w:r>
      <w:r>
        <w:rPr>
          <w:noProof/>
        </w:rPr>
        <w:t xml:space="preserve">Member States are to </w:t>
      </w:r>
      <w:r w:rsidR="006D1809">
        <w:rPr>
          <w:noProof/>
        </w:rPr>
        <w:t>establish a</w:t>
      </w:r>
      <w:r>
        <w:rPr>
          <w:noProof/>
        </w:rPr>
        <w:t xml:space="preserve"> list of languages acceptable </w:t>
      </w:r>
      <w:r w:rsidR="00F140B2">
        <w:rPr>
          <w:noProof/>
        </w:rPr>
        <w:t>to them</w:t>
      </w:r>
      <w:r w:rsidR="009253DA">
        <w:rPr>
          <w:noProof/>
        </w:rPr>
        <w:t xml:space="preserve">, which should also include </w:t>
      </w:r>
      <w:r w:rsidR="00E83209">
        <w:rPr>
          <w:noProof/>
        </w:rPr>
        <w:t>English</w:t>
      </w:r>
      <w:r w:rsidR="003D472F">
        <w:rPr>
          <w:noProof/>
        </w:rPr>
        <w:t>.</w:t>
      </w:r>
      <w:r w:rsidR="004E3CB7">
        <w:rPr>
          <w:noProof/>
        </w:rPr>
        <w:t xml:space="preserve"> Such lists must be published by the Commission in the Official Journal of the EU.</w:t>
      </w:r>
      <w:r w:rsidR="007D7B46">
        <w:rPr>
          <w:noProof/>
        </w:rPr>
        <w:t xml:space="preserve"> </w:t>
      </w:r>
    </w:p>
    <w:p w14:paraId="4E683B64" w14:textId="57862D46" w:rsidR="003D472F" w:rsidRDefault="003D472F" w:rsidP="00D13009">
      <w:pPr>
        <w:rPr>
          <w:noProof/>
        </w:rPr>
      </w:pPr>
      <w:r>
        <w:rPr>
          <w:noProof/>
        </w:rPr>
        <w:t xml:space="preserve">Article </w:t>
      </w:r>
      <w:r w:rsidRPr="004271D5">
        <w:rPr>
          <w:noProof/>
        </w:rPr>
        <w:t>1</w:t>
      </w:r>
      <w:r w:rsidR="006D1809" w:rsidRPr="004271D5">
        <w:rPr>
          <w:noProof/>
        </w:rPr>
        <w:t>2</w:t>
      </w:r>
      <w:r>
        <w:rPr>
          <w:noProof/>
        </w:rPr>
        <w:t xml:space="preserve"> introduces the obligation for the Single Point Contact as well as all other law enforcement authorities to systematically keep informed Europol (meaning 'put in copy'), insofar as the exchange</w:t>
      </w:r>
      <w:r w:rsidR="009253DA">
        <w:rPr>
          <w:noProof/>
        </w:rPr>
        <w:t>s</w:t>
      </w:r>
      <w:r>
        <w:rPr>
          <w:noProof/>
        </w:rPr>
        <w:t xml:space="preserve"> concern crimes falling under the scope of Europol</w:t>
      </w:r>
      <w:r w:rsidR="0027666A" w:rsidRPr="00747D4D">
        <w:rPr>
          <w:noProof/>
        </w:rPr>
        <w:t>’s</w:t>
      </w:r>
      <w:r w:rsidR="007956F1">
        <w:rPr>
          <w:noProof/>
        </w:rPr>
        <w:t xml:space="preserve"> mandate</w:t>
      </w:r>
      <w:r w:rsidR="009253DA">
        <w:rPr>
          <w:noProof/>
        </w:rPr>
        <w:t xml:space="preserve"> as specified in its basic act</w:t>
      </w:r>
      <w:r>
        <w:rPr>
          <w:noProof/>
        </w:rPr>
        <w:t xml:space="preserve">. This obligation ensures that Europol </w:t>
      </w:r>
      <w:r w:rsidR="009253DA">
        <w:rPr>
          <w:noProof/>
        </w:rPr>
        <w:t xml:space="preserve">can </w:t>
      </w:r>
      <w:r>
        <w:rPr>
          <w:noProof/>
        </w:rPr>
        <w:t>fulfil its role of information hub in the EU</w:t>
      </w:r>
      <w:r w:rsidR="003C1FF2">
        <w:rPr>
          <w:noProof/>
        </w:rPr>
        <w:t xml:space="preserve"> in relation to information relevant for law enforcement purposes</w:t>
      </w:r>
      <w:r>
        <w:rPr>
          <w:noProof/>
        </w:rPr>
        <w:t>.</w:t>
      </w:r>
    </w:p>
    <w:p w14:paraId="68FA1F7F" w14:textId="2CF90B4C" w:rsidR="00FF3D38" w:rsidRPr="000533EE" w:rsidRDefault="00FF3D38" w:rsidP="00D13009">
      <w:pPr>
        <w:rPr>
          <w:b/>
          <w:noProof/>
        </w:rPr>
      </w:pPr>
      <w:r w:rsidRPr="004A4598">
        <w:rPr>
          <w:noProof/>
        </w:rPr>
        <w:t>Article 1</w:t>
      </w:r>
      <w:r w:rsidR="003C1FF2" w:rsidRPr="004A4598">
        <w:rPr>
          <w:noProof/>
        </w:rPr>
        <w:t>3</w:t>
      </w:r>
      <w:r w:rsidRPr="004A4598">
        <w:rPr>
          <w:noProof/>
        </w:rPr>
        <w:t xml:space="preserve"> requires all relevant authorities to </w:t>
      </w:r>
      <w:r w:rsidR="003C1FF2" w:rsidRPr="004A4598">
        <w:rPr>
          <w:noProof/>
        </w:rPr>
        <w:t xml:space="preserve">use – and, to that aim, </w:t>
      </w:r>
      <w:r w:rsidRPr="004A4598">
        <w:rPr>
          <w:noProof/>
        </w:rPr>
        <w:t>be directly connected to</w:t>
      </w:r>
      <w:r w:rsidR="003C1FF2" w:rsidRPr="004A4598">
        <w:rPr>
          <w:noProof/>
        </w:rPr>
        <w:t xml:space="preserve"> –</w:t>
      </w:r>
      <w:r w:rsidRPr="004A4598">
        <w:rPr>
          <w:noProof/>
        </w:rPr>
        <w:t xml:space="preserve"> the Secure Information Exchange Network Application (SIENA), managed by Europol</w:t>
      </w:r>
      <w:r w:rsidR="003C1FF2" w:rsidRPr="004A4598">
        <w:rPr>
          <w:noProof/>
        </w:rPr>
        <w:t>, for all exchanges of information and related communications covered by the Directive</w:t>
      </w:r>
      <w:r w:rsidRPr="004A4598">
        <w:rPr>
          <w:noProof/>
        </w:rPr>
        <w:t>. These rules on the mandatory use of SIENA do not apply where specific acts of Union law contain different requirements</w:t>
      </w:r>
      <w:r w:rsidR="003C1FF2" w:rsidRPr="004A4598">
        <w:rPr>
          <w:noProof/>
        </w:rPr>
        <w:t xml:space="preserve"> on the communication channel to be used</w:t>
      </w:r>
      <w:r w:rsidRPr="004A4598">
        <w:rPr>
          <w:noProof/>
        </w:rPr>
        <w:t>, for instance for information exchanges governed by the SIS Regulation</w:t>
      </w:r>
      <w:r w:rsidRPr="00AC7C45">
        <w:rPr>
          <w:rStyle w:val="FootnoteReference0"/>
          <w:noProof/>
        </w:rPr>
        <w:footnoteReference w:id="47"/>
      </w:r>
      <w:r w:rsidRPr="004A4598">
        <w:rPr>
          <w:noProof/>
        </w:rPr>
        <w:t>, given that exchanges</w:t>
      </w:r>
      <w:r w:rsidR="003C1FF2" w:rsidRPr="004A4598">
        <w:rPr>
          <w:noProof/>
        </w:rPr>
        <w:t xml:space="preserve"> under such specific acts</w:t>
      </w:r>
      <w:r w:rsidRPr="004A4598">
        <w:rPr>
          <w:noProof/>
        </w:rPr>
        <w:t xml:space="preserve"> are excluded from the scope of this Directive.</w:t>
      </w:r>
      <w:r w:rsidRPr="00FF3D38">
        <w:rPr>
          <w:noProof/>
        </w:rPr>
        <w:t xml:space="preserve"> </w:t>
      </w:r>
    </w:p>
    <w:p w14:paraId="5F38DA1C" w14:textId="750C53E3" w:rsidR="00F140B2" w:rsidRPr="007B2C7A" w:rsidRDefault="002E4C52" w:rsidP="002E4C52">
      <w:pPr>
        <w:pStyle w:val="Point0"/>
        <w:rPr>
          <w:noProof/>
        </w:rPr>
      </w:pPr>
      <w:r w:rsidRPr="002E4C52">
        <w:t>(5)</w:t>
      </w:r>
      <w:r w:rsidRPr="002E4C52">
        <w:tab/>
      </w:r>
      <w:r w:rsidR="00F140B2" w:rsidRPr="007B2C7A">
        <w:rPr>
          <w:noProof/>
        </w:rPr>
        <w:t>Minimum requirements on establishing a Single Point of Contact as a central entity to coordinate information exchange between Member States</w:t>
      </w:r>
      <w:r w:rsidR="00B576C8" w:rsidRPr="007B2C7A">
        <w:rPr>
          <w:noProof/>
        </w:rPr>
        <w:t xml:space="preserve"> (Art. 1</w:t>
      </w:r>
      <w:r w:rsidR="00B727B9">
        <w:rPr>
          <w:noProof/>
        </w:rPr>
        <w:t>4</w:t>
      </w:r>
      <w:r w:rsidR="00B576C8" w:rsidRPr="007B2C7A">
        <w:rPr>
          <w:noProof/>
        </w:rPr>
        <w:t xml:space="preserve"> to Art. 1</w:t>
      </w:r>
      <w:r w:rsidR="00B727B9">
        <w:rPr>
          <w:noProof/>
        </w:rPr>
        <w:t>6</w:t>
      </w:r>
      <w:r w:rsidR="00B576C8" w:rsidRPr="007B2C7A">
        <w:rPr>
          <w:noProof/>
        </w:rPr>
        <w:t>)</w:t>
      </w:r>
    </w:p>
    <w:p w14:paraId="23144A87" w14:textId="4617A7DA" w:rsidR="00F140B2" w:rsidRDefault="00F140B2" w:rsidP="00F140B2">
      <w:pPr>
        <w:rPr>
          <w:noProof/>
        </w:rPr>
      </w:pPr>
      <w:r>
        <w:rPr>
          <w:noProof/>
        </w:rPr>
        <w:t xml:space="preserve">The </w:t>
      </w:r>
      <w:r w:rsidR="004E3CB7">
        <w:rPr>
          <w:noProof/>
        </w:rPr>
        <w:t>fifth</w:t>
      </w:r>
      <w:r>
        <w:rPr>
          <w:noProof/>
        </w:rPr>
        <w:t xml:space="preserve"> block of provisions </w:t>
      </w:r>
      <w:r w:rsidR="0027666A" w:rsidRPr="00747D4D">
        <w:rPr>
          <w:noProof/>
        </w:rPr>
        <w:t>sets out and</w:t>
      </w:r>
      <w:r w:rsidR="0027666A">
        <w:rPr>
          <w:noProof/>
        </w:rPr>
        <w:t xml:space="preserve"> </w:t>
      </w:r>
      <w:r>
        <w:rPr>
          <w:noProof/>
        </w:rPr>
        <w:t xml:space="preserve">builds on the obligation for each Member State to establish or designate a Single Point of Contact as the central entity </w:t>
      </w:r>
      <w:r w:rsidR="004E3CB7">
        <w:rPr>
          <w:noProof/>
        </w:rPr>
        <w:t>coordinating information exchanges between</w:t>
      </w:r>
      <w:r w:rsidR="001454DE">
        <w:rPr>
          <w:noProof/>
        </w:rPr>
        <w:t xml:space="preserve"> </w:t>
      </w:r>
      <w:r>
        <w:rPr>
          <w:noProof/>
        </w:rPr>
        <w:t>its law enforcement authorities and those of other Member States within the scope of the Directive. It lays out a number of minimum requirements that any Single Point of Contact must comply with.</w:t>
      </w:r>
    </w:p>
    <w:p w14:paraId="5C7BD52A" w14:textId="56310CE9" w:rsidR="00F140B2" w:rsidRDefault="00F140B2" w:rsidP="00F140B2">
      <w:pPr>
        <w:rPr>
          <w:noProof/>
        </w:rPr>
      </w:pPr>
      <w:r>
        <w:rPr>
          <w:noProof/>
        </w:rPr>
        <w:t>Article 1</w:t>
      </w:r>
      <w:r w:rsidR="00B727B9">
        <w:rPr>
          <w:noProof/>
        </w:rPr>
        <w:t>4</w:t>
      </w:r>
      <w:r>
        <w:rPr>
          <w:noProof/>
        </w:rPr>
        <w:t xml:space="preserve"> sets out the</w:t>
      </w:r>
      <w:r w:rsidR="00FA7FDB">
        <w:rPr>
          <w:noProof/>
        </w:rPr>
        <w:t xml:space="preserve"> tasks and capabilities of the Single Point of Contact</w:t>
      </w:r>
      <w:r w:rsidR="005B3E0E">
        <w:rPr>
          <w:noProof/>
        </w:rPr>
        <w:t>. I</w:t>
      </w:r>
      <w:r>
        <w:rPr>
          <w:noProof/>
        </w:rPr>
        <w:t xml:space="preserve">n order to carry out its functions, the Single Point of Contact is to have access to the </w:t>
      </w:r>
      <w:r w:rsidR="00FA7FDB">
        <w:rPr>
          <w:noProof/>
        </w:rPr>
        <w:t>necessary</w:t>
      </w:r>
      <w:r w:rsidR="00FA7FDB" w:rsidDel="00FA7FDB">
        <w:rPr>
          <w:noProof/>
        </w:rPr>
        <w:t xml:space="preserve"> </w:t>
      </w:r>
      <w:r>
        <w:rPr>
          <w:noProof/>
        </w:rPr>
        <w:t xml:space="preserve">information and be kept systematically informed </w:t>
      </w:r>
      <w:r w:rsidR="0027666A" w:rsidRPr="00747D4D">
        <w:rPr>
          <w:noProof/>
        </w:rPr>
        <w:t>of</w:t>
      </w:r>
      <w:r w:rsidR="0027666A">
        <w:rPr>
          <w:noProof/>
        </w:rPr>
        <w:t xml:space="preserve"> </w:t>
      </w:r>
      <w:r>
        <w:rPr>
          <w:noProof/>
        </w:rPr>
        <w:t>all direct information exchanges between its national authorities and those of the other Member States.</w:t>
      </w:r>
      <w:r w:rsidR="00FA7FDB">
        <w:rPr>
          <w:noProof/>
        </w:rPr>
        <w:t xml:space="preserve"> The actual establishment or designation of the Single Points of Contact must be notified, within a set time period, to the Commission, which must then publish such notifications in the Official Journal of the EU</w:t>
      </w:r>
      <w:r w:rsidR="00E15574">
        <w:rPr>
          <w:noProof/>
        </w:rPr>
        <w:t>.</w:t>
      </w:r>
    </w:p>
    <w:p w14:paraId="15AD87F9" w14:textId="36AD8237" w:rsidR="00F140B2" w:rsidRDefault="00F140B2" w:rsidP="00F140B2">
      <w:pPr>
        <w:rPr>
          <w:noProof/>
        </w:rPr>
      </w:pPr>
      <w:r>
        <w:rPr>
          <w:noProof/>
        </w:rPr>
        <w:t>Article 1</w:t>
      </w:r>
      <w:r w:rsidR="00B727B9">
        <w:rPr>
          <w:noProof/>
        </w:rPr>
        <w:t>5</w:t>
      </w:r>
      <w:r>
        <w:rPr>
          <w:noProof/>
        </w:rPr>
        <w:t xml:space="preserve"> establishes minimum </w:t>
      </w:r>
      <w:r w:rsidR="005B3E0E">
        <w:rPr>
          <w:noProof/>
        </w:rPr>
        <w:t xml:space="preserve">requirements regarding the </w:t>
      </w:r>
      <w:r>
        <w:rPr>
          <w:noProof/>
        </w:rPr>
        <w:t>composition of the Single Point of Contact, leaving</w:t>
      </w:r>
      <w:r w:rsidR="009253DA">
        <w:rPr>
          <w:noProof/>
        </w:rPr>
        <w:t xml:space="preserve"> </w:t>
      </w:r>
      <w:r w:rsidR="00FA7FDB">
        <w:rPr>
          <w:noProof/>
        </w:rPr>
        <w:t xml:space="preserve">a degree of </w:t>
      </w:r>
      <w:r w:rsidR="00603134">
        <w:rPr>
          <w:noProof/>
        </w:rPr>
        <w:t xml:space="preserve">flexibility </w:t>
      </w:r>
      <w:r>
        <w:rPr>
          <w:noProof/>
        </w:rPr>
        <w:t xml:space="preserve">to each Member State to determine </w:t>
      </w:r>
      <w:r w:rsidR="00FA7FDB">
        <w:rPr>
          <w:noProof/>
        </w:rPr>
        <w:t xml:space="preserve">its precise </w:t>
      </w:r>
      <w:r>
        <w:rPr>
          <w:noProof/>
        </w:rPr>
        <w:t xml:space="preserve">organisation and </w:t>
      </w:r>
      <w:r w:rsidR="00FA7FDB">
        <w:rPr>
          <w:noProof/>
        </w:rPr>
        <w:t>composition</w:t>
      </w:r>
      <w:r w:rsidR="00FA7FDB" w:rsidDel="00FA7FDB">
        <w:rPr>
          <w:noProof/>
        </w:rPr>
        <w:t xml:space="preserve"> </w:t>
      </w:r>
      <w:r>
        <w:rPr>
          <w:noProof/>
        </w:rPr>
        <w:t>as deemed most appropriate depending on its national circumstances</w:t>
      </w:r>
      <w:r w:rsidR="009253DA">
        <w:rPr>
          <w:noProof/>
        </w:rPr>
        <w:t>,</w:t>
      </w:r>
      <w:r w:rsidR="00FA7FDB">
        <w:rPr>
          <w:noProof/>
        </w:rPr>
        <w:t xml:space="preserve"> provided the requirements of the Directive are met</w:t>
      </w:r>
      <w:r>
        <w:rPr>
          <w:noProof/>
        </w:rPr>
        <w:t>.</w:t>
      </w:r>
    </w:p>
    <w:p w14:paraId="63A7CD6B" w14:textId="2CD55A15" w:rsidR="00AF44C3" w:rsidRPr="00D63CCA" w:rsidRDefault="00F140B2">
      <w:pPr>
        <w:rPr>
          <w:noProof/>
        </w:rPr>
      </w:pPr>
      <w:r>
        <w:rPr>
          <w:noProof/>
        </w:rPr>
        <w:t>Article 1</w:t>
      </w:r>
      <w:r w:rsidR="00860EE3">
        <w:rPr>
          <w:noProof/>
        </w:rPr>
        <w:t>6</w:t>
      </w:r>
      <w:r>
        <w:rPr>
          <w:noProof/>
        </w:rPr>
        <w:t xml:space="preserve"> </w:t>
      </w:r>
      <w:r w:rsidR="00B425E8">
        <w:rPr>
          <w:noProof/>
        </w:rPr>
        <w:t xml:space="preserve">defines </w:t>
      </w:r>
      <w:r w:rsidR="00D34B24">
        <w:rPr>
          <w:noProof/>
        </w:rPr>
        <w:t>minimum requirements for the</w:t>
      </w:r>
      <w:r>
        <w:rPr>
          <w:noProof/>
        </w:rPr>
        <w:t xml:space="preserve"> </w:t>
      </w:r>
      <w:r w:rsidR="00FA7FDB">
        <w:rPr>
          <w:noProof/>
        </w:rPr>
        <w:t xml:space="preserve">Case Management System of the </w:t>
      </w:r>
      <w:r w:rsidR="00D34B24">
        <w:rPr>
          <w:noProof/>
        </w:rPr>
        <w:t>Single Points of Contact</w:t>
      </w:r>
      <w:r>
        <w:rPr>
          <w:noProof/>
        </w:rPr>
        <w:t>.</w:t>
      </w:r>
    </w:p>
    <w:p w14:paraId="7C415C6B" w14:textId="66C37FD7" w:rsidR="00F140B2" w:rsidRPr="007B2C7A" w:rsidRDefault="002E4C52" w:rsidP="002E4C52">
      <w:pPr>
        <w:pStyle w:val="Point0"/>
        <w:rPr>
          <w:noProof/>
        </w:rPr>
      </w:pPr>
      <w:r w:rsidRPr="002E4C52">
        <w:t>(6)</w:t>
      </w:r>
      <w:r w:rsidRPr="002E4C52">
        <w:tab/>
      </w:r>
      <w:r w:rsidR="00F140B2" w:rsidRPr="007B2C7A">
        <w:rPr>
          <w:noProof/>
        </w:rPr>
        <w:t>Final provisions</w:t>
      </w:r>
    </w:p>
    <w:p w14:paraId="3F2E65AF" w14:textId="5312016E" w:rsidR="001C589E" w:rsidRDefault="00FA7FDB" w:rsidP="00B9274E">
      <w:pPr>
        <w:rPr>
          <w:noProof/>
        </w:rPr>
      </w:pPr>
      <w:r>
        <w:rPr>
          <w:noProof/>
        </w:rPr>
        <w:t xml:space="preserve">The final provisions ensure that the implementation of the proposed Directive is properly monitored. Firstly, by the Member States, </w:t>
      </w:r>
      <w:r w:rsidR="0027666A" w:rsidRPr="00747D4D">
        <w:rPr>
          <w:noProof/>
        </w:rPr>
        <w:t>through</w:t>
      </w:r>
      <w:r w:rsidR="0027666A">
        <w:rPr>
          <w:noProof/>
        </w:rPr>
        <w:t xml:space="preserve"> </w:t>
      </w:r>
      <w:r w:rsidR="00B9274E">
        <w:rPr>
          <w:noProof/>
        </w:rPr>
        <w:t xml:space="preserve">the obligation to collect </w:t>
      </w:r>
      <w:r w:rsidR="0027666A" w:rsidRPr="00747D4D">
        <w:rPr>
          <w:noProof/>
        </w:rPr>
        <w:t>and provide</w:t>
      </w:r>
      <w:r w:rsidR="0027666A">
        <w:rPr>
          <w:noProof/>
        </w:rPr>
        <w:t xml:space="preserve"> </w:t>
      </w:r>
      <w:r w:rsidR="00B9274E">
        <w:rPr>
          <w:noProof/>
        </w:rPr>
        <w:t>a minimum set</w:t>
      </w:r>
      <w:r w:rsidR="004673F2">
        <w:rPr>
          <w:noProof/>
        </w:rPr>
        <w:t xml:space="preserve"> of statistical data </w:t>
      </w:r>
      <w:r w:rsidR="0027666A" w:rsidRPr="00747D4D">
        <w:rPr>
          <w:noProof/>
        </w:rPr>
        <w:t>on a yearly basis</w:t>
      </w:r>
      <w:r w:rsidR="0027666A">
        <w:rPr>
          <w:noProof/>
        </w:rPr>
        <w:t xml:space="preserve"> </w:t>
      </w:r>
      <w:r w:rsidR="004673F2">
        <w:rPr>
          <w:noProof/>
        </w:rPr>
        <w:t xml:space="preserve">(Article </w:t>
      </w:r>
      <w:r w:rsidR="004673F2" w:rsidRPr="00631A2B">
        <w:rPr>
          <w:noProof/>
        </w:rPr>
        <w:t>1</w:t>
      </w:r>
      <w:r w:rsidR="003C1FF2" w:rsidRPr="00631A2B">
        <w:rPr>
          <w:noProof/>
        </w:rPr>
        <w:t>7</w:t>
      </w:r>
      <w:r w:rsidR="00B9274E">
        <w:rPr>
          <w:noProof/>
        </w:rPr>
        <w:t xml:space="preserve">). Secondly, by the Commission, </w:t>
      </w:r>
      <w:r w:rsidR="0027666A" w:rsidRPr="00747D4D">
        <w:rPr>
          <w:noProof/>
        </w:rPr>
        <w:t>through the</w:t>
      </w:r>
      <w:r w:rsidR="00B9274E" w:rsidRPr="00747D4D">
        <w:rPr>
          <w:noProof/>
        </w:rPr>
        <w:t xml:space="preserve"> obligation to</w:t>
      </w:r>
      <w:r w:rsidR="0027666A" w:rsidRPr="00747D4D">
        <w:rPr>
          <w:noProof/>
        </w:rPr>
        <w:t xml:space="preserve"> report to the European Parliament and the Council</w:t>
      </w:r>
      <w:r w:rsidR="00ED6E93" w:rsidRPr="00747D4D">
        <w:rPr>
          <w:noProof/>
        </w:rPr>
        <w:t>, having regard inter alia to the data provided by Member States</w:t>
      </w:r>
      <w:r w:rsidR="00ED6E93" w:rsidRPr="0027310E">
        <w:rPr>
          <w:noProof/>
        </w:rPr>
        <w:t>, thus allowing, t</w:t>
      </w:r>
      <w:r w:rsidR="00B9274E" w:rsidRPr="00747D4D">
        <w:rPr>
          <w:noProof/>
        </w:rPr>
        <w:t xml:space="preserve">hirdly, </w:t>
      </w:r>
      <w:r w:rsidR="00ED6E93" w:rsidRPr="00747D4D">
        <w:rPr>
          <w:noProof/>
        </w:rPr>
        <w:t xml:space="preserve">those two institutions to monitor </w:t>
      </w:r>
      <w:r w:rsidR="00B9274E" w:rsidRPr="00747D4D">
        <w:rPr>
          <w:noProof/>
        </w:rPr>
        <w:t>the</w:t>
      </w:r>
      <w:r w:rsidR="00ED6E93" w:rsidRPr="00747D4D">
        <w:rPr>
          <w:noProof/>
        </w:rPr>
        <w:t xml:space="preserve"> Directive’s implementation as well</w:t>
      </w:r>
      <w:r w:rsidR="004673F2" w:rsidRPr="00747D4D">
        <w:rPr>
          <w:noProof/>
        </w:rPr>
        <w:t xml:space="preserve"> (Article 1</w:t>
      </w:r>
      <w:r w:rsidR="003C1FF2" w:rsidRPr="00747D4D">
        <w:rPr>
          <w:noProof/>
        </w:rPr>
        <w:t>8</w:t>
      </w:r>
      <w:r w:rsidR="00B9274E" w:rsidRPr="00747D4D">
        <w:rPr>
          <w:noProof/>
        </w:rPr>
        <w:t>).</w:t>
      </w:r>
      <w:r w:rsidR="00B9274E">
        <w:rPr>
          <w:noProof/>
        </w:rPr>
        <w:t xml:space="preserve"> </w:t>
      </w:r>
    </w:p>
    <w:p w14:paraId="5E22A708" w14:textId="747C80E2" w:rsidR="00ED6E93" w:rsidRPr="00ED6E93" w:rsidRDefault="00B9274E" w:rsidP="00747D4D">
      <w:pPr>
        <w:rPr>
          <w:noProof/>
        </w:rPr>
      </w:pPr>
      <w:r>
        <w:rPr>
          <w:noProof/>
        </w:rPr>
        <w:t>Finally,</w:t>
      </w:r>
      <w:r w:rsidR="00E15574">
        <w:rPr>
          <w:noProof/>
        </w:rPr>
        <w:t xml:space="preserve"> Articles </w:t>
      </w:r>
      <w:r w:rsidR="003C1FF2" w:rsidRPr="00631A2B">
        <w:rPr>
          <w:noProof/>
        </w:rPr>
        <w:t>19,</w:t>
      </w:r>
      <w:r w:rsidR="003C1FF2">
        <w:rPr>
          <w:noProof/>
        </w:rPr>
        <w:t xml:space="preserve"> </w:t>
      </w:r>
      <w:r w:rsidR="00B727B9">
        <w:rPr>
          <w:noProof/>
        </w:rPr>
        <w:t>20</w:t>
      </w:r>
      <w:r w:rsidR="00E15574">
        <w:rPr>
          <w:noProof/>
        </w:rPr>
        <w:t>, 2</w:t>
      </w:r>
      <w:r w:rsidR="00B727B9">
        <w:rPr>
          <w:noProof/>
        </w:rPr>
        <w:t>1</w:t>
      </w:r>
      <w:r w:rsidR="00E15574">
        <w:rPr>
          <w:noProof/>
        </w:rPr>
        <w:t>, 2</w:t>
      </w:r>
      <w:r w:rsidR="00B727B9">
        <w:rPr>
          <w:noProof/>
        </w:rPr>
        <w:t>2</w:t>
      </w:r>
      <w:r w:rsidR="00E15574">
        <w:rPr>
          <w:noProof/>
        </w:rPr>
        <w:t xml:space="preserve"> and 2</w:t>
      </w:r>
      <w:r w:rsidR="00B727B9">
        <w:rPr>
          <w:noProof/>
        </w:rPr>
        <w:t>3</w:t>
      </w:r>
      <w:r w:rsidR="00FA7FDB">
        <w:rPr>
          <w:noProof/>
        </w:rPr>
        <w:t xml:space="preserve"> deal with a number of necessary legal-technical issues, namely, the deletion or repeal of pre-existing rules which the rules of the proposed Directive replace, transposition into national law, as well as entry into force and addressees</w:t>
      </w:r>
      <w:r>
        <w:rPr>
          <w:noProof/>
        </w:rPr>
        <w:t>.</w:t>
      </w:r>
      <w:r w:rsidR="00ED6E93">
        <w:rPr>
          <w:noProof/>
        </w:rPr>
        <w:t xml:space="preserve"> </w:t>
      </w:r>
      <w:r w:rsidR="00ED6E93" w:rsidRPr="00747D4D">
        <w:rPr>
          <w:noProof/>
        </w:rPr>
        <w:t>As regards the existing rules contained in the CISA (Article 19), Article 39 thereof is replaced only insofar as it relates to information exchange for the purpose specified in the proposed Directive. Article 39 continues to be applicable to other forms of police cooperation covered by that article. In contrast, Article 46 of the CISA, which specifically relates to such information exchange, is fully superseded by the proposed Directive and is therefore deleted.</w:t>
      </w:r>
      <w:r w:rsidR="00ED6E93" w:rsidRPr="00ED6E93">
        <w:rPr>
          <w:noProof/>
        </w:rPr>
        <w:t xml:space="preserve"> </w:t>
      </w:r>
    </w:p>
    <w:p w14:paraId="70EFD6C1" w14:textId="77777777" w:rsidR="0008535E" w:rsidRDefault="0008535E" w:rsidP="0032615D">
      <w:pPr>
        <w:tabs>
          <w:tab w:val="center" w:pos="4536"/>
        </w:tabs>
        <w:rPr>
          <w:noProof/>
        </w:rPr>
        <w:sectPr w:rsidR="0008535E" w:rsidSect="006605B9">
          <w:footerReference w:type="default" r:id="rId13"/>
          <w:footerReference w:type="first" r:id="rId14"/>
          <w:pgSz w:w="11907" w:h="16839"/>
          <w:pgMar w:top="1134" w:right="1417" w:bottom="1134" w:left="1417" w:header="709" w:footer="709" w:gutter="0"/>
          <w:cols w:space="708"/>
          <w:docGrid w:linePitch="360"/>
        </w:sectPr>
      </w:pPr>
    </w:p>
    <w:p w14:paraId="66FE2D56" w14:textId="08FA3F45" w:rsidR="001D559C" w:rsidRDefault="004652C8" w:rsidP="004652C8">
      <w:pPr>
        <w:pStyle w:val="Rfrenceinterinstitutionnelle"/>
        <w:rPr>
          <w:noProof/>
        </w:rPr>
      </w:pPr>
      <w:r w:rsidRPr="004652C8">
        <w:t>2021/0411 (COD)</w:t>
      </w:r>
    </w:p>
    <w:p w14:paraId="5461B1C7" w14:textId="4112D10D" w:rsidR="00AF44C3" w:rsidRPr="00AC7E92" w:rsidRDefault="001D559C" w:rsidP="001D559C">
      <w:pPr>
        <w:pStyle w:val="Statut"/>
        <w:rPr>
          <w:noProof/>
        </w:rPr>
      </w:pPr>
      <w:r w:rsidRPr="001D559C">
        <w:rPr>
          <w:noProof/>
        </w:rPr>
        <w:t>Proposal for a</w:t>
      </w:r>
    </w:p>
    <w:p w14:paraId="42EDF550" w14:textId="09EC7CDF" w:rsidR="00AF44C3" w:rsidRPr="00AC7E92" w:rsidRDefault="001D559C" w:rsidP="001D559C">
      <w:pPr>
        <w:pStyle w:val="Typedudocument"/>
        <w:rPr>
          <w:noProof/>
        </w:rPr>
      </w:pPr>
      <w:r w:rsidRPr="001D559C">
        <w:rPr>
          <w:noProof/>
        </w:rPr>
        <w:t>DIRECTIVE OF THE EUROPEAN PARLIAMENT AND OF THE COUNCIL</w:t>
      </w:r>
    </w:p>
    <w:p w14:paraId="3DE8C59F" w14:textId="3A51464A" w:rsidR="00AF44C3" w:rsidRPr="00AC7E92" w:rsidRDefault="001D559C" w:rsidP="001D559C">
      <w:pPr>
        <w:pStyle w:val="Titreobjet"/>
        <w:rPr>
          <w:noProof/>
        </w:rPr>
      </w:pPr>
      <w:r w:rsidRPr="001D559C">
        <w:rPr>
          <w:noProof/>
        </w:rPr>
        <w:t>on information exchange between law enforcement authorities of Member States, repealing Council Framework Decision 2006/960/JHA</w:t>
      </w:r>
    </w:p>
    <w:p w14:paraId="25F22A26" w14:textId="77777777" w:rsidR="00AF44C3" w:rsidRPr="00AC7E92" w:rsidRDefault="00AF44C3" w:rsidP="00AF44C3">
      <w:pPr>
        <w:pStyle w:val="Institutionquiagit"/>
        <w:rPr>
          <w:noProof/>
        </w:rPr>
      </w:pPr>
      <w:r w:rsidRPr="00AC7E92">
        <w:rPr>
          <w:noProof/>
        </w:rPr>
        <w:t xml:space="preserve">THE EUROPEAN PARLIAMENT AND THE COUNCIL OF THE EUROPEAN </w:t>
      </w:r>
      <w:smartTag w:uri="urn:schemas-microsoft-com:office:smarttags" w:element="place">
        <w:r w:rsidRPr="00AC7E92">
          <w:rPr>
            <w:noProof/>
          </w:rPr>
          <w:t>UNION</w:t>
        </w:r>
      </w:smartTag>
      <w:r w:rsidRPr="00AC7E92">
        <w:rPr>
          <w:noProof/>
        </w:rPr>
        <w:t>,</w:t>
      </w:r>
    </w:p>
    <w:p w14:paraId="5647AEEC" w14:textId="6DA92597" w:rsidR="00AF44C3" w:rsidRPr="00AC7E92" w:rsidRDefault="00AF44C3" w:rsidP="00AF44C3">
      <w:pPr>
        <w:rPr>
          <w:noProof/>
        </w:rPr>
      </w:pPr>
      <w:r w:rsidRPr="00AC7E92">
        <w:rPr>
          <w:noProof/>
        </w:rPr>
        <w:t>Having regard to the Treaty on the Functioning of the European Union, and in particular Article</w:t>
      </w:r>
      <w:r>
        <w:rPr>
          <w:noProof/>
        </w:rPr>
        <w:t> </w:t>
      </w:r>
      <w:r w:rsidRPr="004549DF">
        <w:rPr>
          <w:noProof/>
        </w:rPr>
        <w:t>87</w:t>
      </w:r>
      <w:r w:rsidR="00B916D7" w:rsidRPr="004549DF">
        <w:rPr>
          <w:noProof/>
        </w:rPr>
        <w:t>(2)</w:t>
      </w:r>
      <w:r w:rsidR="00876D92">
        <w:rPr>
          <w:noProof/>
        </w:rPr>
        <w:t xml:space="preserve">, </w:t>
      </w:r>
      <w:r w:rsidR="00876D92" w:rsidRPr="00304FA9">
        <w:rPr>
          <w:noProof/>
        </w:rPr>
        <w:t>point (a),</w:t>
      </w:r>
      <w:r w:rsidR="00876D92">
        <w:rPr>
          <w:noProof/>
        </w:rPr>
        <w:t xml:space="preserve"> </w:t>
      </w:r>
      <w:r w:rsidRPr="00AC7E92">
        <w:rPr>
          <w:noProof/>
        </w:rPr>
        <w:t>thereof,</w:t>
      </w:r>
    </w:p>
    <w:p w14:paraId="170E79A4" w14:textId="77777777" w:rsidR="00AF44C3" w:rsidRPr="00AC7E92" w:rsidRDefault="00AF44C3" w:rsidP="00AF44C3">
      <w:pPr>
        <w:rPr>
          <w:noProof/>
        </w:rPr>
      </w:pPr>
      <w:r w:rsidRPr="00AC7E92">
        <w:rPr>
          <w:noProof/>
        </w:rPr>
        <w:t>Having regard to the proposal from the European Commission,</w:t>
      </w:r>
    </w:p>
    <w:p w14:paraId="215D3D41" w14:textId="77777777" w:rsidR="00AF44C3" w:rsidRPr="00AC7E92" w:rsidRDefault="00AF44C3" w:rsidP="00AF44C3">
      <w:pPr>
        <w:rPr>
          <w:noProof/>
        </w:rPr>
      </w:pPr>
      <w:r w:rsidRPr="00AC7E92">
        <w:rPr>
          <w:noProof/>
        </w:rPr>
        <w:t xml:space="preserve">After transmission of the draft legislative act to the national </w:t>
      </w:r>
      <w:r>
        <w:rPr>
          <w:noProof/>
        </w:rPr>
        <w:t>p</w:t>
      </w:r>
      <w:r w:rsidRPr="00AC7E92">
        <w:rPr>
          <w:noProof/>
        </w:rPr>
        <w:t>arliaments,</w:t>
      </w:r>
    </w:p>
    <w:p w14:paraId="30395B1E" w14:textId="77777777" w:rsidR="00AF44C3" w:rsidRPr="00AC7E92" w:rsidRDefault="00AF44C3" w:rsidP="00AF44C3">
      <w:pPr>
        <w:rPr>
          <w:noProof/>
        </w:rPr>
      </w:pPr>
      <w:r w:rsidRPr="00AC7E92">
        <w:rPr>
          <w:noProof/>
        </w:rPr>
        <w:t>Acting in accordance with the ordinary legislative procedure,</w:t>
      </w:r>
    </w:p>
    <w:p w14:paraId="0ED25072" w14:textId="5F2CB72D" w:rsidR="00554CF7" w:rsidRPr="00802082" w:rsidRDefault="00AF44C3" w:rsidP="00AF44C3">
      <w:pPr>
        <w:rPr>
          <w:noProof/>
        </w:rPr>
      </w:pPr>
      <w:r w:rsidRPr="00AC7E92">
        <w:rPr>
          <w:noProof/>
        </w:rPr>
        <w:t>Whereas:</w:t>
      </w:r>
      <w:r w:rsidR="00B24924">
        <w:rPr>
          <w:noProof/>
        </w:rPr>
        <w:t xml:space="preserve"> </w:t>
      </w:r>
    </w:p>
    <w:p w14:paraId="50B6EC35" w14:textId="3CA0254B" w:rsidR="007B50F6" w:rsidRPr="00C30018" w:rsidRDefault="002E4C52" w:rsidP="002E4C52">
      <w:pPr>
        <w:pStyle w:val="ManualConsidrant"/>
        <w:rPr>
          <w:noProof/>
        </w:rPr>
      </w:pPr>
      <w:r w:rsidRPr="002E4C52">
        <w:t>(1)</w:t>
      </w:r>
      <w:r w:rsidRPr="002E4C52">
        <w:tab/>
      </w:r>
      <w:r w:rsidR="00CC06CF">
        <w:rPr>
          <w:noProof/>
        </w:rPr>
        <w:t>T</w:t>
      </w:r>
      <w:r w:rsidR="007B50F6" w:rsidRPr="00C30018">
        <w:rPr>
          <w:noProof/>
        </w:rPr>
        <w:t xml:space="preserve">ransnational threats </w:t>
      </w:r>
      <w:r w:rsidR="00CB2B9F">
        <w:rPr>
          <w:noProof/>
        </w:rPr>
        <w:t xml:space="preserve">involving criminal activities </w:t>
      </w:r>
      <w:r w:rsidR="007B50F6" w:rsidRPr="00C30018">
        <w:rPr>
          <w:noProof/>
        </w:rPr>
        <w:t xml:space="preserve">call for a coordinated, targeted and adapted response. While national authorities operating on the ground are on the frontline in the fight against organised crime and terrorism, action at Union level </w:t>
      </w:r>
      <w:r w:rsidR="00487F2E">
        <w:rPr>
          <w:noProof/>
        </w:rPr>
        <w:t>is</w:t>
      </w:r>
      <w:r w:rsidR="007B50F6" w:rsidRPr="00C30018">
        <w:rPr>
          <w:noProof/>
        </w:rPr>
        <w:t xml:space="preserve"> paramount to ensure </w:t>
      </w:r>
      <w:r w:rsidR="00487F2E">
        <w:rPr>
          <w:noProof/>
        </w:rPr>
        <w:t xml:space="preserve">efficient and </w:t>
      </w:r>
      <w:r w:rsidR="007B50F6" w:rsidRPr="00C30018">
        <w:rPr>
          <w:noProof/>
        </w:rPr>
        <w:t>effective cooperation</w:t>
      </w:r>
      <w:r w:rsidR="00487F2E">
        <w:rPr>
          <w:noProof/>
        </w:rPr>
        <w:t xml:space="preserve">, including as regards the exchange of </w:t>
      </w:r>
      <w:r w:rsidR="007B50F6" w:rsidRPr="00C30018">
        <w:rPr>
          <w:noProof/>
        </w:rPr>
        <w:t>information. Furthermore, organised crime and terrorism</w:t>
      </w:r>
      <w:r w:rsidR="002D2DD4">
        <w:rPr>
          <w:noProof/>
        </w:rPr>
        <w:t>, in particular,</w:t>
      </w:r>
      <w:r w:rsidR="007B50F6" w:rsidRPr="00C30018">
        <w:rPr>
          <w:noProof/>
        </w:rPr>
        <w:t xml:space="preserve"> are emblematic of the link between internal and external security. Th</w:t>
      </w:r>
      <w:r w:rsidR="002D2DD4">
        <w:rPr>
          <w:noProof/>
        </w:rPr>
        <w:t>o</w:t>
      </w:r>
      <w:r w:rsidR="007B50F6" w:rsidRPr="00C30018">
        <w:rPr>
          <w:noProof/>
        </w:rPr>
        <w:t xml:space="preserve">se threats spread across borders and manifest themselves in organised crime and terrorist groups that engage in a wide range of criminal activities. </w:t>
      </w:r>
    </w:p>
    <w:p w14:paraId="5C7B9751" w14:textId="70BA7825" w:rsidR="000B053E" w:rsidRPr="00C30018" w:rsidRDefault="002E4C52" w:rsidP="002E4C52">
      <w:pPr>
        <w:pStyle w:val="ManualConsidrant"/>
        <w:rPr>
          <w:noProof/>
        </w:rPr>
      </w:pPr>
      <w:r w:rsidRPr="002E4C52">
        <w:t>(2)</w:t>
      </w:r>
      <w:r w:rsidRPr="002E4C52">
        <w:tab/>
      </w:r>
      <w:r w:rsidR="00F61E92">
        <w:rPr>
          <w:noProof/>
        </w:rPr>
        <w:t>I</w:t>
      </w:r>
      <w:r w:rsidR="000B053E" w:rsidRPr="00C30018">
        <w:rPr>
          <w:noProof/>
        </w:rPr>
        <w:t>n an area without internal border controls, police officers in one Member State should have</w:t>
      </w:r>
      <w:r w:rsidR="008915A0" w:rsidRPr="00C30018">
        <w:rPr>
          <w:noProof/>
        </w:rPr>
        <w:t>,</w:t>
      </w:r>
      <w:r w:rsidR="000B053E" w:rsidRPr="00C30018">
        <w:rPr>
          <w:noProof/>
        </w:rPr>
        <w:t xml:space="preserve"> </w:t>
      </w:r>
      <w:r w:rsidR="008915A0" w:rsidRPr="00C30018">
        <w:rPr>
          <w:noProof/>
        </w:rPr>
        <w:t>within the framework of the</w:t>
      </w:r>
      <w:r w:rsidR="002D2DD4">
        <w:rPr>
          <w:noProof/>
        </w:rPr>
        <w:t xml:space="preserve"> </w:t>
      </w:r>
      <w:r w:rsidR="00CB2B9F">
        <w:rPr>
          <w:noProof/>
        </w:rPr>
        <w:t>applicable Union and</w:t>
      </w:r>
      <w:r w:rsidR="00CB2B9F" w:rsidRPr="00C30018">
        <w:rPr>
          <w:noProof/>
        </w:rPr>
        <w:t xml:space="preserve"> </w:t>
      </w:r>
      <w:r w:rsidR="008915A0" w:rsidRPr="00C30018">
        <w:rPr>
          <w:noProof/>
        </w:rPr>
        <w:t xml:space="preserve">national law, the possibility to </w:t>
      </w:r>
      <w:r w:rsidR="00CB2B9F">
        <w:rPr>
          <w:noProof/>
        </w:rPr>
        <w:t>obtain</w:t>
      </w:r>
      <w:r w:rsidR="00CB2B9F" w:rsidRPr="00C30018">
        <w:rPr>
          <w:noProof/>
        </w:rPr>
        <w:t xml:space="preserve"> </w:t>
      </w:r>
      <w:r w:rsidR="007B50F6" w:rsidRPr="00C30018">
        <w:rPr>
          <w:noProof/>
        </w:rPr>
        <w:t xml:space="preserve">equivalent </w:t>
      </w:r>
      <w:r w:rsidR="000B053E" w:rsidRPr="00C30018">
        <w:rPr>
          <w:noProof/>
        </w:rPr>
        <w:t xml:space="preserve">access to the information available to their colleagues in another Member State. </w:t>
      </w:r>
      <w:r w:rsidR="002076AB" w:rsidRPr="00C30018">
        <w:rPr>
          <w:noProof/>
        </w:rPr>
        <w:t>In this regard, law enforcement authorities</w:t>
      </w:r>
      <w:r w:rsidR="000B053E" w:rsidRPr="00C30018">
        <w:rPr>
          <w:noProof/>
        </w:rPr>
        <w:t xml:space="preserve"> should cooperate effectively and by default across </w:t>
      </w:r>
      <w:r w:rsidR="002076AB" w:rsidRPr="00C30018">
        <w:rPr>
          <w:noProof/>
        </w:rPr>
        <w:t>the Union</w:t>
      </w:r>
      <w:r w:rsidR="000B053E" w:rsidRPr="00C30018">
        <w:rPr>
          <w:noProof/>
        </w:rPr>
        <w:t xml:space="preserve">. Therefore, an essential component of the measures that underpin </w:t>
      </w:r>
      <w:r w:rsidR="002076AB" w:rsidRPr="00C30018">
        <w:rPr>
          <w:noProof/>
        </w:rPr>
        <w:t xml:space="preserve">public </w:t>
      </w:r>
      <w:r w:rsidR="000B053E" w:rsidRPr="00C30018">
        <w:rPr>
          <w:noProof/>
        </w:rPr>
        <w:t>security in an interdependent area without internal border controls</w:t>
      </w:r>
      <w:r w:rsidR="005740D5" w:rsidRPr="00C30018">
        <w:rPr>
          <w:noProof/>
        </w:rPr>
        <w:t xml:space="preserve"> </w:t>
      </w:r>
      <w:r w:rsidR="000B053E" w:rsidRPr="00C30018">
        <w:rPr>
          <w:noProof/>
        </w:rPr>
        <w:t xml:space="preserve">is police cooperation on </w:t>
      </w:r>
      <w:r w:rsidR="002076AB" w:rsidRPr="00C30018">
        <w:rPr>
          <w:noProof/>
        </w:rPr>
        <w:t xml:space="preserve">the </w:t>
      </w:r>
      <w:r w:rsidR="000B053E" w:rsidRPr="00C30018">
        <w:rPr>
          <w:noProof/>
        </w:rPr>
        <w:t>exchang</w:t>
      </w:r>
      <w:r w:rsidR="002076AB" w:rsidRPr="00C30018">
        <w:rPr>
          <w:noProof/>
        </w:rPr>
        <w:t>e of</w:t>
      </w:r>
      <w:r w:rsidR="000B053E" w:rsidRPr="00C30018">
        <w:rPr>
          <w:noProof/>
        </w:rPr>
        <w:t xml:space="preserve"> relevant information</w:t>
      </w:r>
      <w:r w:rsidR="002076AB" w:rsidRPr="00C30018">
        <w:rPr>
          <w:noProof/>
        </w:rPr>
        <w:t xml:space="preserve"> for law enforcement purposes</w:t>
      </w:r>
      <w:r w:rsidR="000B053E" w:rsidRPr="00C30018">
        <w:rPr>
          <w:noProof/>
        </w:rPr>
        <w:t>. Exchange of information on crime and criminal activities</w:t>
      </w:r>
      <w:r w:rsidR="005C242A">
        <w:rPr>
          <w:noProof/>
        </w:rPr>
        <w:t>,</w:t>
      </w:r>
      <w:r w:rsidR="000B053E" w:rsidRPr="00C30018">
        <w:rPr>
          <w:noProof/>
        </w:rPr>
        <w:t xml:space="preserve"> </w:t>
      </w:r>
      <w:r w:rsidR="005740D5" w:rsidRPr="00C30018">
        <w:rPr>
          <w:noProof/>
        </w:rPr>
        <w:t>including terrorism</w:t>
      </w:r>
      <w:r w:rsidR="005C242A">
        <w:rPr>
          <w:noProof/>
        </w:rPr>
        <w:t>,</w:t>
      </w:r>
      <w:r w:rsidR="005740D5" w:rsidRPr="00C30018">
        <w:rPr>
          <w:noProof/>
        </w:rPr>
        <w:t xml:space="preserve"> </w:t>
      </w:r>
      <w:r w:rsidR="000B053E" w:rsidRPr="00C30018">
        <w:rPr>
          <w:noProof/>
        </w:rPr>
        <w:t>serves the overall objective of protecting the security of natural persons.</w:t>
      </w:r>
    </w:p>
    <w:p w14:paraId="561A54CA" w14:textId="1FB7FEE6" w:rsidR="0015740A" w:rsidRDefault="002E4C52" w:rsidP="002E4C52">
      <w:pPr>
        <w:pStyle w:val="ManualConsidrant"/>
        <w:rPr>
          <w:noProof/>
        </w:rPr>
      </w:pPr>
      <w:r w:rsidRPr="002E4C52">
        <w:t>(3)</w:t>
      </w:r>
      <w:r w:rsidRPr="002E4C52">
        <w:tab/>
      </w:r>
      <w:r w:rsidR="00DD4ADB" w:rsidRPr="00C30018">
        <w:rPr>
          <w:noProof/>
        </w:rPr>
        <w:t xml:space="preserve">Exchange of information between Member States </w:t>
      </w:r>
      <w:r w:rsidR="00CB2B9F" w:rsidRPr="00C30018">
        <w:rPr>
          <w:noProof/>
        </w:rPr>
        <w:t xml:space="preserve">for the purposes of preventing and detecting criminal offences </w:t>
      </w:r>
      <w:r w:rsidR="00DD4ADB" w:rsidRPr="00C30018">
        <w:rPr>
          <w:noProof/>
        </w:rPr>
        <w:t>is regulated by t</w:t>
      </w:r>
      <w:r w:rsidR="000B053E" w:rsidRPr="00C30018">
        <w:rPr>
          <w:noProof/>
        </w:rPr>
        <w:t>he Convention Implementing the Schengen Agreement of 14 June 1985</w:t>
      </w:r>
      <w:r w:rsidR="00525C78">
        <w:rPr>
          <w:rStyle w:val="FootnoteReference0"/>
          <w:noProof/>
        </w:rPr>
        <w:footnoteReference w:id="48"/>
      </w:r>
      <w:r w:rsidR="00227670" w:rsidRPr="00C30018">
        <w:rPr>
          <w:noProof/>
        </w:rPr>
        <w:t xml:space="preserve">, </w:t>
      </w:r>
      <w:r w:rsidR="000B053E" w:rsidRPr="00C30018">
        <w:rPr>
          <w:noProof/>
        </w:rPr>
        <w:t>adopted on 19 June 1990</w:t>
      </w:r>
      <w:r w:rsidR="00DD4ADB" w:rsidRPr="00C30018">
        <w:rPr>
          <w:noProof/>
        </w:rPr>
        <w:t xml:space="preserve">, notably in its </w:t>
      </w:r>
      <w:r w:rsidR="000B053E" w:rsidRPr="00747D4D">
        <w:rPr>
          <w:noProof/>
        </w:rPr>
        <w:t>Article</w:t>
      </w:r>
      <w:r w:rsidR="00A013C3" w:rsidRPr="00747D4D">
        <w:rPr>
          <w:noProof/>
        </w:rPr>
        <w:t>s</w:t>
      </w:r>
      <w:r w:rsidR="000B053E" w:rsidRPr="00747D4D">
        <w:rPr>
          <w:noProof/>
        </w:rPr>
        <w:t xml:space="preserve"> 39 and</w:t>
      </w:r>
      <w:r w:rsidR="00525C78" w:rsidRPr="00747D4D">
        <w:rPr>
          <w:noProof/>
        </w:rPr>
        <w:t xml:space="preserve"> </w:t>
      </w:r>
      <w:r w:rsidR="000B053E" w:rsidRPr="00747D4D">
        <w:rPr>
          <w:noProof/>
        </w:rPr>
        <w:t>46</w:t>
      </w:r>
      <w:r w:rsidR="00E835F0" w:rsidRPr="00C30018">
        <w:rPr>
          <w:noProof/>
        </w:rPr>
        <w:t>.</w:t>
      </w:r>
      <w:r w:rsidR="00A821EB" w:rsidRPr="00C30018">
        <w:rPr>
          <w:noProof/>
        </w:rPr>
        <w:t xml:space="preserve"> </w:t>
      </w:r>
      <w:r w:rsidR="000B053E" w:rsidRPr="00C30018">
        <w:rPr>
          <w:noProof/>
        </w:rPr>
        <w:t>Council Framework Decision 2006/960/JHA</w:t>
      </w:r>
      <w:r w:rsidR="000B053E" w:rsidRPr="00AC4331">
        <w:rPr>
          <w:rStyle w:val="FootnoteReference0"/>
          <w:noProof/>
        </w:rPr>
        <w:footnoteReference w:id="49"/>
      </w:r>
      <w:r w:rsidR="000B053E" w:rsidRPr="00C30018">
        <w:rPr>
          <w:noProof/>
        </w:rPr>
        <w:t xml:space="preserve"> partially replaced th</w:t>
      </w:r>
      <w:r w:rsidR="00CC06CF">
        <w:rPr>
          <w:noProof/>
        </w:rPr>
        <w:t>os</w:t>
      </w:r>
      <w:r w:rsidR="000B053E" w:rsidRPr="00C30018">
        <w:rPr>
          <w:noProof/>
        </w:rPr>
        <w:t xml:space="preserve">e provisions and introduced new rules for the exchange of information and intelligence between </w:t>
      </w:r>
      <w:r w:rsidR="00627D22" w:rsidRPr="00C30018">
        <w:rPr>
          <w:noProof/>
        </w:rPr>
        <w:t>Member States</w:t>
      </w:r>
      <w:r w:rsidR="00181AA4" w:rsidRPr="00C30018">
        <w:rPr>
          <w:noProof/>
        </w:rPr>
        <w:t>'</w:t>
      </w:r>
      <w:r w:rsidR="00627D22" w:rsidRPr="00C30018">
        <w:rPr>
          <w:noProof/>
        </w:rPr>
        <w:t xml:space="preserve"> </w:t>
      </w:r>
      <w:r w:rsidR="000B053E" w:rsidRPr="00C30018">
        <w:rPr>
          <w:noProof/>
        </w:rPr>
        <w:t xml:space="preserve">law enforcement authorities. </w:t>
      </w:r>
    </w:p>
    <w:p w14:paraId="78001695" w14:textId="57818AD5" w:rsidR="00876785" w:rsidRPr="00C30018" w:rsidRDefault="002E4C52" w:rsidP="002E4C52">
      <w:pPr>
        <w:pStyle w:val="ManualConsidrant"/>
        <w:rPr>
          <w:noProof/>
        </w:rPr>
      </w:pPr>
      <w:r w:rsidRPr="002E4C52">
        <w:t>(4)</w:t>
      </w:r>
      <w:r w:rsidRPr="002E4C52">
        <w:tab/>
      </w:r>
      <w:r w:rsidR="00A821EB" w:rsidRPr="00C30018">
        <w:rPr>
          <w:noProof/>
        </w:rPr>
        <w:t>Evaluations</w:t>
      </w:r>
      <w:r w:rsidR="0015740A">
        <w:rPr>
          <w:noProof/>
        </w:rPr>
        <w:t xml:space="preserve">, </w:t>
      </w:r>
      <w:r w:rsidR="00CB2B9F">
        <w:rPr>
          <w:noProof/>
        </w:rPr>
        <w:t xml:space="preserve">including those </w:t>
      </w:r>
      <w:r w:rsidR="00627D22" w:rsidRPr="00C30018">
        <w:rPr>
          <w:noProof/>
        </w:rPr>
        <w:t xml:space="preserve">carried under </w:t>
      </w:r>
      <w:r w:rsidR="00D83310">
        <w:rPr>
          <w:noProof/>
        </w:rPr>
        <w:t xml:space="preserve">Council </w:t>
      </w:r>
      <w:r w:rsidR="00627D22" w:rsidRPr="00C30018">
        <w:rPr>
          <w:noProof/>
        </w:rPr>
        <w:t>Regulation</w:t>
      </w:r>
      <w:r w:rsidR="0015740A">
        <w:rPr>
          <w:noProof/>
        </w:rPr>
        <w:t xml:space="preserve"> (EU) </w:t>
      </w:r>
      <w:r w:rsidR="00627D22" w:rsidRPr="00C30018">
        <w:rPr>
          <w:noProof/>
        </w:rPr>
        <w:t>1053/2013</w:t>
      </w:r>
      <w:r w:rsidR="00627D22" w:rsidRPr="00AC4331">
        <w:rPr>
          <w:rStyle w:val="FootnoteReference0"/>
          <w:noProof/>
        </w:rPr>
        <w:footnoteReference w:id="50"/>
      </w:r>
      <w:r w:rsidR="0015740A">
        <w:rPr>
          <w:noProof/>
        </w:rPr>
        <w:t>,</w:t>
      </w:r>
      <w:r w:rsidR="00627D22" w:rsidRPr="00C30018">
        <w:rPr>
          <w:noProof/>
        </w:rPr>
        <w:t xml:space="preserve"> </w:t>
      </w:r>
      <w:r w:rsidR="001117FA" w:rsidRPr="00C30018">
        <w:rPr>
          <w:noProof/>
        </w:rPr>
        <w:t>indicate</w:t>
      </w:r>
      <w:r w:rsidR="00627D22" w:rsidRPr="00C30018">
        <w:rPr>
          <w:noProof/>
        </w:rPr>
        <w:t>d</w:t>
      </w:r>
      <w:r w:rsidR="00A821EB" w:rsidRPr="00C30018">
        <w:rPr>
          <w:noProof/>
        </w:rPr>
        <w:t xml:space="preserve"> that F</w:t>
      </w:r>
      <w:r w:rsidR="000B053E" w:rsidRPr="00C30018">
        <w:rPr>
          <w:noProof/>
        </w:rPr>
        <w:t xml:space="preserve">ramework Decision </w:t>
      </w:r>
      <w:r w:rsidR="00CC06CF" w:rsidRPr="00C30018">
        <w:rPr>
          <w:noProof/>
        </w:rPr>
        <w:t xml:space="preserve">2006/960/JHA </w:t>
      </w:r>
      <w:r w:rsidR="000B053E" w:rsidRPr="00C30018">
        <w:rPr>
          <w:noProof/>
        </w:rPr>
        <w:t xml:space="preserve">is </w:t>
      </w:r>
      <w:r w:rsidR="00627D22" w:rsidRPr="00C30018">
        <w:rPr>
          <w:noProof/>
        </w:rPr>
        <w:t xml:space="preserve">not </w:t>
      </w:r>
      <w:r w:rsidR="00A821EB" w:rsidRPr="00C30018">
        <w:rPr>
          <w:noProof/>
        </w:rPr>
        <w:t xml:space="preserve">sufficiently </w:t>
      </w:r>
      <w:r w:rsidR="000B053E" w:rsidRPr="00C30018">
        <w:rPr>
          <w:noProof/>
        </w:rPr>
        <w:t xml:space="preserve">clear </w:t>
      </w:r>
      <w:r w:rsidR="00627D22" w:rsidRPr="00C30018">
        <w:rPr>
          <w:noProof/>
        </w:rPr>
        <w:t xml:space="preserve">and does not </w:t>
      </w:r>
      <w:r w:rsidR="00600A08" w:rsidRPr="00C30018">
        <w:rPr>
          <w:noProof/>
        </w:rPr>
        <w:t xml:space="preserve">ensure </w:t>
      </w:r>
      <w:r w:rsidR="001117FA" w:rsidRPr="00C30018">
        <w:rPr>
          <w:noProof/>
        </w:rPr>
        <w:t xml:space="preserve">adequate and rapid exchange </w:t>
      </w:r>
      <w:r w:rsidR="000B053E" w:rsidRPr="00C30018">
        <w:rPr>
          <w:noProof/>
        </w:rPr>
        <w:t xml:space="preserve">of relevant information </w:t>
      </w:r>
      <w:r w:rsidR="001117FA" w:rsidRPr="00C30018">
        <w:rPr>
          <w:noProof/>
        </w:rPr>
        <w:t>between Member States</w:t>
      </w:r>
      <w:r w:rsidR="000B053E" w:rsidRPr="00C30018">
        <w:rPr>
          <w:noProof/>
        </w:rPr>
        <w:t xml:space="preserve">. </w:t>
      </w:r>
      <w:r w:rsidR="00600A08" w:rsidRPr="00C30018">
        <w:rPr>
          <w:noProof/>
        </w:rPr>
        <w:t>Evaluations also indicate</w:t>
      </w:r>
      <w:r w:rsidR="00627D22" w:rsidRPr="00C30018">
        <w:rPr>
          <w:noProof/>
        </w:rPr>
        <w:t>d</w:t>
      </w:r>
      <w:r w:rsidR="00600A08" w:rsidRPr="00C30018">
        <w:rPr>
          <w:noProof/>
        </w:rPr>
        <w:t xml:space="preserve"> </w:t>
      </w:r>
      <w:r w:rsidR="001117FA" w:rsidRPr="00C30018">
        <w:rPr>
          <w:noProof/>
        </w:rPr>
        <w:t xml:space="preserve">that </w:t>
      </w:r>
      <w:r w:rsidR="00CC06CF">
        <w:rPr>
          <w:noProof/>
        </w:rPr>
        <w:t>that</w:t>
      </w:r>
      <w:r w:rsidR="00CC06CF" w:rsidRPr="00C30018">
        <w:rPr>
          <w:noProof/>
        </w:rPr>
        <w:t xml:space="preserve"> </w:t>
      </w:r>
      <w:r w:rsidR="001117FA" w:rsidRPr="00C30018">
        <w:rPr>
          <w:noProof/>
        </w:rPr>
        <w:t>F</w:t>
      </w:r>
      <w:r w:rsidR="008C529B" w:rsidRPr="00C30018">
        <w:rPr>
          <w:noProof/>
        </w:rPr>
        <w:t xml:space="preserve">ramework Decision </w:t>
      </w:r>
      <w:r w:rsidR="000B053E" w:rsidRPr="00C30018">
        <w:rPr>
          <w:noProof/>
        </w:rPr>
        <w:t>is</w:t>
      </w:r>
      <w:r w:rsidR="001117FA" w:rsidRPr="00C30018">
        <w:rPr>
          <w:noProof/>
        </w:rPr>
        <w:t xml:space="preserve"> </w:t>
      </w:r>
      <w:r w:rsidR="00DD4ADB" w:rsidRPr="00C30018">
        <w:rPr>
          <w:noProof/>
        </w:rPr>
        <w:t xml:space="preserve">scarcely </w:t>
      </w:r>
      <w:r w:rsidR="000B053E" w:rsidRPr="00C30018">
        <w:rPr>
          <w:noProof/>
        </w:rPr>
        <w:t>used</w:t>
      </w:r>
      <w:r w:rsidR="001117FA" w:rsidRPr="00C30018">
        <w:rPr>
          <w:noProof/>
        </w:rPr>
        <w:t xml:space="preserve"> in practice</w:t>
      </w:r>
      <w:r w:rsidR="000B053E" w:rsidRPr="00C30018">
        <w:rPr>
          <w:noProof/>
        </w:rPr>
        <w:t xml:space="preserve">, </w:t>
      </w:r>
      <w:r w:rsidR="001117FA" w:rsidRPr="00C30018">
        <w:rPr>
          <w:noProof/>
        </w:rPr>
        <w:t>in part due to</w:t>
      </w:r>
      <w:r w:rsidR="000B053E" w:rsidRPr="00C30018">
        <w:rPr>
          <w:noProof/>
        </w:rPr>
        <w:t xml:space="preserve"> </w:t>
      </w:r>
      <w:r w:rsidR="00E835F0" w:rsidRPr="00C30018">
        <w:rPr>
          <w:noProof/>
        </w:rPr>
        <w:t xml:space="preserve">the lack of clarity experienced in practice between the scope of the </w:t>
      </w:r>
      <w:r w:rsidR="00CC06CF" w:rsidRPr="00C30018">
        <w:rPr>
          <w:noProof/>
        </w:rPr>
        <w:t>Convention Implementing the Schengen Agreement</w:t>
      </w:r>
      <w:r w:rsidR="00CC06CF" w:rsidRPr="00C30018" w:rsidDel="00CC06CF">
        <w:rPr>
          <w:noProof/>
        </w:rPr>
        <w:t xml:space="preserve"> </w:t>
      </w:r>
      <w:r w:rsidR="00E835F0" w:rsidRPr="00C30018">
        <w:rPr>
          <w:noProof/>
        </w:rPr>
        <w:t xml:space="preserve">and of </w:t>
      </w:r>
      <w:r w:rsidR="00CC06CF">
        <w:rPr>
          <w:noProof/>
        </w:rPr>
        <w:t>that</w:t>
      </w:r>
      <w:r w:rsidR="00CC06CF" w:rsidRPr="00C30018">
        <w:rPr>
          <w:noProof/>
        </w:rPr>
        <w:t xml:space="preserve"> </w:t>
      </w:r>
      <w:r w:rsidR="00E835F0" w:rsidRPr="00C30018">
        <w:rPr>
          <w:noProof/>
        </w:rPr>
        <w:t>Framework Decision.</w:t>
      </w:r>
      <w:r w:rsidR="00876785" w:rsidRPr="00C30018">
        <w:rPr>
          <w:noProof/>
        </w:rPr>
        <w:t xml:space="preserve"> </w:t>
      </w:r>
    </w:p>
    <w:p w14:paraId="2A900686" w14:textId="6257A5D3" w:rsidR="000D7302" w:rsidRDefault="002E4C52" w:rsidP="002E4C52">
      <w:pPr>
        <w:pStyle w:val="ManualConsidrant"/>
        <w:rPr>
          <w:noProof/>
        </w:rPr>
      </w:pPr>
      <w:r w:rsidRPr="002E4C52">
        <w:t>(5)</w:t>
      </w:r>
      <w:r w:rsidRPr="002E4C52">
        <w:tab/>
      </w:r>
      <w:r w:rsidR="000D7302">
        <w:rPr>
          <w:noProof/>
        </w:rPr>
        <w:t>Therefore, t</w:t>
      </w:r>
      <w:r w:rsidR="000B053E" w:rsidRPr="00C30018">
        <w:rPr>
          <w:noProof/>
        </w:rPr>
        <w:t>h</w:t>
      </w:r>
      <w:r w:rsidR="001117FA" w:rsidRPr="00C30018">
        <w:rPr>
          <w:noProof/>
        </w:rPr>
        <w:t xml:space="preserve">e existing legal framework consisting of the relevant provisions of the </w:t>
      </w:r>
      <w:r w:rsidR="00CC06CF" w:rsidRPr="00C30018">
        <w:rPr>
          <w:noProof/>
        </w:rPr>
        <w:t>Convention Implementing the Schengen Agreement</w:t>
      </w:r>
      <w:r w:rsidR="00CC06CF" w:rsidRPr="00C30018" w:rsidDel="00CC06CF">
        <w:rPr>
          <w:noProof/>
        </w:rPr>
        <w:t xml:space="preserve"> </w:t>
      </w:r>
      <w:r w:rsidR="001117FA" w:rsidRPr="00C30018">
        <w:rPr>
          <w:noProof/>
        </w:rPr>
        <w:t xml:space="preserve">and Framework Decision 2006/960/JHA </w:t>
      </w:r>
      <w:r w:rsidR="00CC06CF">
        <w:rPr>
          <w:noProof/>
        </w:rPr>
        <w:t>should be</w:t>
      </w:r>
      <w:r w:rsidR="00CC06CF" w:rsidRPr="00C30018">
        <w:rPr>
          <w:noProof/>
        </w:rPr>
        <w:t xml:space="preserve"> </w:t>
      </w:r>
      <w:r w:rsidR="001117FA" w:rsidRPr="00C30018">
        <w:rPr>
          <w:noProof/>
        </w:rPr>
        <w:t>updated and replaced, so as to</w:t>
      </w:r>
      <w:r w:rsidR="000B053E" w:rsidRPr="00C30018">
        <w:rPr>
          <w:noProof/>
        </w:rPr>
        <w:t xml:space="preserve"> facilitate</w:t>
      </w:r>
      <w:r w:rsidR="00600A08" w:rsidRPr="00C30018">
        <w:rPr>
          <w:noProof/>
        </w:rPr>
        <w:t xml:space="preserve"> and ensure</w:t>
      </w:r>
      <w:r w:rsidR="000B053E" w:rsidRPr="00C30018">
        <w:rPr>
          <w:noProof/>
        </w:rPr>
        <w:t xml:space="preserve">, </w:t>
      </w:r>
      <w:r w:rsidR="001117FA" w:rsidRPr="00C30018">
        <w:rPr>
          <w:noProof/>
        </w:rPr>
        <w:t>through the establishment of</w:t>
      </w:r>
      <w:r w:rsidR="000B053E" w:rsidRPr="00C30018">
        <w:rPr>
          <w:noProof/>
        </w:rPr>
        <w:t xml:space="preserve"> </w:t>
      </w:r>
      <w:r w:rsidR="002076AB" w:rsidRPr="00C30018">
        <w:rPr>
          <w:noProof/>
        </w:rPr>
        <w:t>clear</w:t>
      </w:r>
      <w:r w:rsidR="00487F2E">
        <w:rPr>
          <w:noProof/>
        </w:rPr>
        <w:t xml:space="preserve"> and</w:t>
      </w:r>
      <w:r w:rsidR="002076AB" w:rsidRPr="00C30018">
        <w:rPr>
          <w:noProof/>
        </w:rPr>
        <w:t xml:space="preserve"> harmonised </w:t>
      </w:r>
      <w:r w:rsidR="000B053E" w:rsidRPr="00C30018">
        <w:rPr>
          <w:noProof/>
        </w:rPr>
        <w:t xml:space="preserve">rules, the </w:t>
      </w:r>
      <w:r w:rsidR="001117FA" w:rsidRPr="00C30018">
        <w:rPr>
          <w:noProof/>
        </w:rPr>
        <w:t xml:space="preserve">adequate and rapid exchange of information between the </w:t>
      </w:r>
      <w:r w:rsidR="00600A08" w:rsidRPr="00C30018">
        <w:rPr>
          <w:noProof/>
        </w:rPr>
        <w:t xml:space="preserve">competent </w:t>
      </w:r>
      <w:r w:rsidR="001117FA" w:rsidRPr="00C30018">
        <w:rPr>
          <w:noProof/>
        </w:rPr>
        <w:t xml:space="preserve">law enforcement authorities of </w:t>
      </w:r>
      <w:r w:rsidR="00600A08" w:rsidRPr="00C30018">
        <w:rPr>
          <w:noProof/>
        </w:rPr>
        <w:t xml:space="preserve">different </w:t>
      </w:r>
      <w:r w:rsidR="001117FA" w:rsidRPr="00C30018">
        <w:rPr>
          <w:noProof/>
        </w:rPr>
        <w:t>Member States</w:t>
      </w:r>
      <w:r w:rsidR="000B053E" w:rsidRPr="00C30018">
        <w:rPr>
          <w:noProof/>
        </w:rPr>
        <w:t xml:space="preserve">. </w:t>
      </w:r>
    </w:p>
    <w:p w14:paraId="023EF92B" w14:textId="61ED2956" w:rsidR="000D7302" w:rsidRPr="00C30018" w:rsidRDefault="002E4C52" w:rsidP="002E4C52">
      <w:pPr>
        <w:pStyle w:val="ManualConsidrant"/>
        <w:rPr>
          <w:noProof/>
        </w:rPr>
      </w:pPr>
      <w:r w:rsidRPr="002E4C52">
        <w:t>(6)</w:t>
      </w:r>
      <w:r w:rsidRPr="002E4C52">
        <w:tab/>
      </w:r>
      <w:r w:rsidR="00CB2B9F">
        <w:rPr>
          <w:noProof/>
        </w:rPr>
        <w:t xml:space="preserve">In particular, the </w:t>
      </w:r>
      <w:r w:rsidR="00CB2B9F" w:rsidRPr="00C30018">
        <w:rPr>
          <w:noProof/>
        </w:rPr>
        <w:t>discrepanc</w:t>
      </w:r>
      <w:r w:rsidR="00CB2B9F">
        <w:rPr>
          <w:noProof/>
        </w:rPr>
        <w:t>ies</w:t>
      </w:r>
      <w:r w:rsidR="00CB2B9F" w:rsidRPr="00C30018">
        <w:rPr>
          <w:noProof/>
        </w:rPr>
        <w:t xml:space="preserve"> between</w:t>
      </w:r>
      <w:r w:rsidR="00CB2B9F">
        <w:rPr>
          <w:noProof/>
        </w:rPr>
        <w:t xml:space="preserve"> the </w:t>
      </w:r>
      <w:r w:rsidR="00A013C3" w:rsidRPr="00747D4D">
        <w:rPr>
          <w:noProof/>
        </w:rPr>
        <w:t>relevant provisions of the</w:t>
      </w:r>
      <w:r w:rsidR="000D7302" w:rsidRPr="00C30018">
        <w:rPr>
          <w:noProof/>
        </w:rPr>
        <w:t xml:space="preserve"> </w:t>
      </w:r>
      <w:r w:rsidR="000D7302" w:rsidRPr="000D7302">
        <w:rPr>
          <w:noProof/>
        </w:rPr>
        <w:t>Convention Implementing the Schengen Agreement</w:t>
      </w:r>
      <w:r w:rsidR="000D7302" w:rsidRPr="000D7302" w:rsidDel="00CC06CF">
        <w:rPr>
          <w:noProof/>
        </w:rPr>
        <w:t xml:space="preserve"> </w:t>
      </w:r>
      <w:r w:rsidR="000D7302">
        <w:rPr>
          <w:noProof/>
        </w:rPr>
        <w:t xml:space="preserve">and </w:t>
      </w:r>
      <w:r w:rsidR="000D7302" w:rsidRPr="00C30018">
        <w:rPr>
          <w:noProof/>
        </w:rPr>
        <w:t>Framework Decision</w:t>
      </w:r>
      <w:r w:rsidR="00BE4374">
        <w:rPr>
          <w:noProof/>
        </w:rPr>
        <w:t xml:space="preserve"> </w:t>
      </w:r>
      <w:r w:rsidR="000D7302" w:rsidRPr="000D7302">
        <w:rPr>
          <w:noProof/>
        </w:rPr>
        <w:t>2006/960/JHA</w:t>
      </w:r>
      <w:r w:rsidR="000D7302" w:rsidRPr="00C30018">
        <w:rPr>
          <w:noProof/>
        </w:rPr>
        <w:t xml:space="preserve"> </w:t>
      </w:r>
      <w:r w:rsidR="000D7302">
        <w:rPr>
          <w:noProof/>
        </w:rPr>
        <w:t xml:space="preserve">should be addressed </w:t>
      </w:r>
      <w:r w:rsidR="000D7302" w:rsidRPr="00C30018">
        <w:rPr>
          <w:noProof/>
        </w:rPr>
        <w:t xml:space="preserve">by </w:t>
      </w:r>
      <w:r w:rsidR="000D7302">
        <w:rPr>
          <w:noProof/>
        </w:rPr>
        <w:t xml:space="preserve">covering information exchanges for the purpose of </w:t>
      </w:r>
      <w:r w:rsidR="000D7302" w:rsidRPr="00C30018">
        <w:rPr>
          <w:noProof/>
        </w:rPr>
        <w:t>preventing, detecting or investigating criminal offences, thereby fully superseding</w:t>
      </w:r>
      <w:r w:rsidR="00A013C3" w:rsidRPr="00747D4D">
        <w:rPr>
          <w:bCs/>
          <w:noProof/>
        </w:rPr>
        <w:t>, insofar as such exchange</w:t>
      </w:r>
      <w:r w:rsidR="0075644C" w:rsidRPr="00747D4D">
        <w:rPr>
          <w:bCs/>
          <w:noProof/>
        </w:rPr>
        <w:t>s</w:t>
      </w:r>
      <w:r w:rsidR="00A013C3" w:rsidRPr="00747D4D">
        <w:rPr>
          <w:bCs/>
          <w:noProof/>
        </w:rPr>
        <w:t xml:space="preserve"> </w:t>
      </w:r>
      <w:r w:rsidR="0075644C" w:rsidRPr="00747D4D">
        <w:rPr>
          <w:bCs/>
          <w:noProof/>
        </w:rPr>
        <w:t>are</w:t>
      </w:r>
      <w:r w:rsidR="00A013C3" w:rsidRPr="00747D4D">
        <w:rPr>
          <w:bCs/>
          <w:noProof/>
        </w:rPr>
        <w:t xml:space="preserve"> concerned, </w:t>
      </w:r>
      <w:r w:rsidR="000D7302" w:rsidRPr="00747D4D">
        <w:rPr>
          <w:noProof/>
        </w:rPr>
        <w:t>Article</w:t>
      </w:r>
      <w:r w:rsidR="00A013C3" w:rsidRPr="00747D4D">
        <w:rPr>
          <w:noProof/>
        </w:rPr>
        <w:t>s</w:t>
      </w:r>
      <w:r w:rsidR="000D7302" w:rsidRPr="00747D4D">
        <w:rPr>
          <w:noProof/>
        </w:rPr>
        <w:t xml:space="preserve"> 39 and 46</w:t>
      </w:r>
      <w:r w:rsidR="000D7302" w:rsidRPr="00C30018">
        <w:rPr>
          <w:noProof/>
        </w:rPr>
        <w:t xml:space="preserve"> </w:t>
      </w:r>
      <w:r w:rsidR="000D7302">
        <w:rPr>
          <w:noProof/>
        </w:rPr>
        <w:t>of that Convention</w:t>
      </w:r>
      <w:r w:rsidR="000D7302" w:rsidRPr="00C30018">
        <w:rPr>
          <w:noProof/>
        </w:rPr>
        <w:t xml:space="preserve"> and hence providing the necessary legal certainty.</w:t>
      </w:r>
      <w:r w:rsidR="00CB2B9F" w:rsidRPr="00CB2B9F">
        <w:rPr>
          <w:noProof/>
        </w:rPr>
        <w:t xml:space="preserve"> </w:t>
      </w:r>
      <w:r w:rsidR="00CB2B9F">
        <w:rPr>
          <w:noProof/>
        </w:rPr>
        <w:t>In addition, the relevant rules should be simplified and clarified, so as to facilitate their effective application in practice</w:t>
      </w:r>
      <w:r w:rsidR="00CD27BA">
        <w:rPr>
          <w:noProof/>
        </w:rPr>
        <w:t xml:space="preserve">. </w:t>
      </w:r>
    </w:p>
    <w:p w14:paraId="0E4C1838" w14:textId="5BF85BF8" w:rsidR="000B053E" w:rsidRPr="00C30018" w:rsidRDefault="002E4C52" w:rsidP="002E4C52">
      <w:pPr>
        <w:pStyle w:val="ManualConsidrant"/>
        <w:rPr>
          <w:noProof/>
        </w:rPr>
      </w:pPr>
      <w:r w:rsidRPr="002E4C52">
        <w:t>(7)</w:t>
      </w:r>
      <w:r w:rsidRPr="002E4C52">
        <w:tab/>
      </w:r>
      <w:r w:rsidR="00D83310">
        <w:rPr>
          <w:noProof/>
        </w:rPr>
        <w:t xml:space="preserve">It is necessary to lay down rules governing </w:t>
      </w:r>
      <w:r w:rsidR="000B053E" w:rsidRPr="00C30018">
        <w:rPr>
          <w:noProof/>
        </w:rPr>
        <w:t xml:space="preserve">the cross-cutting aspects of </w:t>
      </w:r>
      <w:r w:rsidR="00600A08" w:rsidRPr="00C30018">
        <w:rPr>
          <w:noProof/>
        </w:rPr>
        <w:t xml:space="preserve">such </w:t>
      </w:r>
      <w:r w:rsidR="000B053E" w:rsidRPr="00C30018">
        <w:rPr>
          <w:noProof/>
        </w:rPr>
        <w:t xml:space="preserve">information exchange between Member States. </w:t>
      </w:r>
      <w:r w:rsidR="00D83310">
        <w:rPr>
          <w:noProof/>
        </w:rPr>
        <w:t>Th</w:t>
      </w:r>
      <w:r w:rsidR="000D7302">
        <w:rPr>
          <w:noProof/>
        </w:rPr>
        <w:t xml:space="preserve">e </w:t>
      </w:r>
      <w:r w:rsidR="00CB2B9F">
        <w:rPr>
          <w:noProof/>
        </w:rPr>
        <w:t xml:space="preserve">rules of this Directive </w:t>
      </w:r>
      <w:r w:rsidR="00D83310">
        <w:rPr>
          <w:noProof/>
        </w:rPr>
        <w:t>should</w:t>
      </w:r>
      <w:r w:rsidR="00B425E8" w:rsidRPr="00C30018">
        <w:rPr>
          <w:noProof/>
        </w:rPr>
        <w:t xml:space="preserve"> </w:t>
      </w:r>
      <w:r w:rsidR="000B053E" w:rsidRPr="00C30018">
        <w:rPr>
          <w:noProof/>
        </w:rPr>
        <w:t xml:space="preserve">not </w:t>
      </w:r>
      <w:r w:rsidR="00600A08" w:rsidRPr="00C30018">
        <w:rPr>
          <w:noProof/>
        </w:rPr>
        <w:t xml:space="preserve">affect the application of rules of Union law on specific </w:t>
      </w:r>
      <w:r w:rsidR="000B053E" w:rsidRPr="00C30018">
        <w:rPr>
          <w:noProof/>
        </w:rPr>
        <w:t>systems or frameworks</w:t>
      </w:r>
      <w:r w:rsidR="00554CF7" w:rsidRPr="00C30018">
        <w:rPr>
          <w:noProof/>
        </w:rPr>
        <w:t xml:space="preserve"> </w:t>
      </w:r>
      <w:r w:rsidR="00600A08" w:rsidRPr="00C30018">
        <w:rPr>
          <w:noProof/>
        </w:rPr>
        <w:t xml:space="preserve">for </w:t>
      </w:r>
      <w:r w:rsidR="00554CF7" w:rsidRPr="00C30018">
        <w:rPr>
          <w:noProof/>
        </w:rPr>
        <w:t>such exchanges</w:t>
      </w:r>
      <w:r w:rsidR="001117FA" w:rsidRPr="00C30018">
        <w:rPr>
          <w:noProof/>
        </w:rPr>
        <w:t xml:space="preserve">, </w:t>
      </w:r>
      <w:r w:rsidR="000B053E" w:rsidRPr="00C30018">
        <w:rPr>
          <w:noProof/>
        </w:rPr>
        <w:t xml:space="preserve">such as </w:t>
      </w:r>
      <w:r w:rsidR="0039682B" w:rsidRPr="00C30018">
        <w:rPr>
          <w:noProof/>
        </w:rPr>
        <w:t xml:space="preserve">under </w:t>
      </w:r>
      <w:r w:rsidR="00C358A0" w:rsidRPr="00AA6EF9">
        <w:rPr>
          <w:noProof/>
        </w:rPr>
        <w:t>Regulation</w:t>
      </w:r>
      <w:r w:rsidR="00C358A0">
        <w:rPr>
          <w:noProof/>
        </w:rPr>
        <w:t>s</w:t>
      </w:r>
      <w:r w:rsidR="00C358A0" w:rsidRPr="00AA6EF9">
        <w:rPr>
          <w:noProof/>
        </w:rPr>
        <w:t xml:space="preserve"> </w:t>
      </w:r>
      <w:r w:rsidR="00C358A0">
        <w:rPr>
          <w:noProof/>
          <w:szCs w:val="24"/>
          <w:lang w:eastAsia="nl-NL"/>
        </w:rPr>
        <w:t xml:space="preserve">(EU) </w:t>
      </w:r>
      <w:r w:rsidR="00C358A0" w:rsidRPr="00AA6EF9">
        <w:rPr>
          <w:noProof/>
        </w:rPr>
        <w:t>2018/1860</w:t>
      </w:r>
      <w:r w:rsidR="00C97864" w:rsidRPr="00174219">
        <w:rPr>
          <w:rStyle w:val="FootnoteReference0"/>
          <w:noProof/>
        </w:rPr>
        <w:footnoteReference w:id="51"/>
      </w:r>
      <w:r w:rsidR="000B053E" w:rsidRPr="00174219">
        <w:rPr>
          <w:noProof/>
        </w:rPr>
        <w:t xml:space="preserve">, </w:t>
      </w:r>
      <w:r w:rsidR="00C358A0">
        <w:rPr>
          <w:noProof/>
          <w:szCs w:val="24"/>
          <w:lang w:eastAsia="nl-NL"/>
        </w:rPr>
        <w:t xml:space="preserve">(EU) </w:t>
      </w:r>
      <w:r w:rsidR="00C358A0" w:rsidRPr="00AA6EF9">
        <w:rPr>
          <w:noProof/>
        </w:rPr>
        <w:t>2018/1861</w:t>
      </w:r>
      <w:r w:rsidR="00C358A0">
        <w:rPr>
          <w:rStyle w:val="FootnoteReference0"/>
          <w:noProof/>
        </w:rPr>
        <w:footnoteReference w:id="52"/>
      </w:r>
      <w:r w:rsidR="007B72BC">
        <w:rPr>
          <w:noProof/>
        </w:rPr>
        <w:t>,</w:t>
      </w:r>
      <w:r w:rsidR="00C358A0" w:rsidRPr="00AA6EF9">
        <w:rPr>
          <w:noProof/>
        </w:rPr>
        <w:t xml:space="preserve"> </w:t>
      </w:r>
      <w:r w:rsidR="00C358A0">
        <w:rPr>
          <w:noProof/>
          <w:szCs w:val="24"/>
          <w:lang w:eastAsia="nl-NL"/>
        </w:rPr>
        <w:t xml:space="preserve">(EU) </w:t>
      </w:r>
      <w:r w:rsidR="00C358A0" w:rsidRPr="00AA6EF9">
        <w:rPr>
          <w:noProof/>
        </w:rPr>
        <w:t>2018/1862</w:t>
      </w:r>
      <w:r w:rsidR="00C358A0">
        <w:rPr>
          <w:rStyle w:val="FootnoteReference0"/>
          <w:noProof/>
        </w:rPr>
        <w:footnoteReference w:id="53"/>
      </w:r>
      <w:r w:rsidR="007B72BC">
        <w:rPr>
          <w:noProof/>
        </w:rPr>
        <w:t xml:space="preserve">, and (EU) </w:t>
      </w:r>
      <w:r w:rsidR="007B72BC" w:rsidRPr="007B72BC">
        <w:rPr>
          <w:noProof/>
          <w:color w:val="000000" w:themeColor="text1"/>
          <w:szCs w:val="24"/>
          <w:shd w:val="clear" w:color="auto" w:fill="FFFFFF"/>
        </w:rPr>
        <w:t>2016/794</w:t>
      </w:r>
      <w:r w:rsidR="007B72BC">
        <w:rPr>
          <w:rStyle w:val="FootnoteReference0"/>
          <w:noProof/>
          <w:color w:val="000000" w:themeColor="text1"/>
          <w:szCs w:val="24"/>
        </w:rPr>
        <w:footnoteReference w:id="54"/>
      </w:r>
      <w:r w:rsidR="007B72BC" w:rsidRPr="007B72BC">
        <w:rPr>
          <w:rFonts w:ascii="Roboto" w:hAnsi="Roboto"/>
          <w:noProof/>
          <w:color w:val="000000" w:themeColor="text1"/>
          <w:sz w:val="23"/>
          <w:szCs w:val="21"/>
          <w:shd w:val="clear" w:color="auto" w:fill="FFFFFF"/>
        </w:rPr>
        <w:t> </w:t>
      </w:r>
      <w:r w:rsidR="00C358A0">
        <w:rPr>
          <w:noProof/>
        </w:rPr>
        <w:t xml:space="preserve">of the European Parliament and of the Council, </w:t>
      </w:r>
      <w:r w:rsidR="0039682B" w:rsidRPr="00B72149">
        <w:rPr>
          <w:noProof/>
        </w:rPr>
        <w:t>Directive</w:t>
      </w:r>
      <w:r w:rsidR="00E6684F">
        <w:rPr>
          <w:noProof/>
        </w:rPr>
        <w:t>s</w:t>
      </w:r>
      <w:r w:rsidR="00B72149" w:rsidRPr="006D0A07">
        <w:rPr>
          <w:noProof/>
        </w:rPr>
        <w:t xml:space="preserve"> (EU) 2016/681</w:t>
      </w:r>
      <w:r w:rsidR="00C97864" w:rsidRPr="00B72149">
        <w:rPr>
          <w:rStyle w:val="FootnoteReference0"/>
          <w:noProof/>
        </w:rPr>
        <w:footnoteReference w:id="55"/>
      </w:r>
      <w:r w:rsidR="00E6684F">
        <w:rPr>
          <w:noProof/>
        </w:rPr>
        <w:t xml:space="preserve"> and </w:t>
      </w:r>
      <w:r w:rsidR="00E6684F" w:rsidRPr="00E6684F">
        <w:rPr>
          <w:noProof/>
        </w:rPr>
        <w:t>2019/1153</w:t>
      </w:r>
      <w:r w:rsidR="00E6684F" w:rsidRPr="00AC7C45">
        <w:rPr>
          <w:rStyle w:val="FootnoteReference0"/>
          <w:noProof/>
        </w:rPr>
        <w:footnoteReference w:id="56"/>
      </w:r>
      <w:r w:rsidR="00E6684F" w:rsidRPr="00E6684F">
        <w:rPr>
          <w:noProof/>
        </w:rPr>
        <w:t xml:space="preserve"> of the European Parliament and of the Council</w:t>
      </w:r>
      <w:r w:rsidR="00A013C3" w:rsidRPr="00747D4D">
        <w:rPr>
          <w:noProof/>
        </w:rPr>
        <w:t>,</w:t>
      </w:r>
      <w:r w:rsidR="00E6684F">
        <w:rPr>
          <w:noProof/>
        </w:rPr>
        <w:t xml:space="preserve"> and</w:t>
      </w:r>
      <w:r w:rsidR="000B053E" w:rsidRPr="00E234F0">
        <w:rPr>
          <w:noProof/>
        </w:rPr>
        <w:t xml:space="preserve"> </w:t>
      </w:r>
      <w:r w:rsidR="00E234F0" w:rsidRPr="00CE3F2A">
        <w:rPr>
          <w:noProof/>
        </w:rPr>
        <w:t>Council Decision</w:t>
      </w:r>
      <w:r w:rsidR="00E234F0">
        <w:rPr>
          <w:noProof/>
        </w:rPr>
        <w:t>s</w:t>
      </w:r>
      <w:r w:rsidR="00E234F0" w:rsidRPr="00CE3F2A">
        <w:rPr>
          <w:noProof/>
        </w:rPr>
        <w:t xml:space="preserve"> 2008/615/JHA</w:t>
      </w:r>
      <w:r w:rsidR="00E234F0" w:rsidRPr="009F56E6">
        <w:rPr>
          <w:rStyle w:val="FootnoteReference0"/>
          <w:noProof/>
        </w:rPr>
        <w:footnoteReference w:id="57"/>
      </w:r>
      <w:r w:rsidR="00E234F0" w:rsidRPr="00CE3F2A">
        <w:rPr>
          <w:noProof/>
        </w:rPr>
        <w:t xml:space="preserve"> and 2008/616/JHA</w:t>
      </w:r>
      <w:r w:rsidR="00E234F0" w:rsidRPr="009F56E6">
        <w:rPr>
          <w:rStyle w:val="FootnoteReference0"/>
          <w:noProof/>
        </w:rPr>
        <w:footnoteReference w:id="58"/>
      </w:r>
      <w:r w:rsidR="00885E1F" w:rsidRPr="00C30018">
        <w:rPr>
          <w:noProof/>
        </w:rPr>
        <w:t>.</w:t>
      </w:r>
    </w:p>
    <w:p w14:paraId="3F1A635E" w14:textId="0D930375" w:rsidR="00A670B6" w:rsidRPr="00BE4374" w:rsidRDefault="002E4C52" w:rsidP="002E4C52">
      <w:pPr>
        <w:pStyle w:val="ManualConsidrant"/>
        <w:rPr>
          <w:noProof/>
        </w:rPr>
      </w:pPr>
      <w:r w:rsidRPr="002E4C52">
        <w:t>(8)</w:t>
      </w:r>
      <w:r w:rsidRPr="002E4C52">
        <w:tab/>
      </w:r>
      <w:r w:rsidR="00CB2B9F" w:rsidRPr="006D0A07">
        <w:rPr>
          <w:noProof/>
        </w:rPr>
        <w:t xml:space="preserve">This Directive does not govern the </w:t>
      </w:r>
      <w:r w:rsidR="00CB2B9F">
        <w:rPr>
          <w:noProof/>
        </w:rPr>
        <w:t xml:space="preserve">provision and </w:t>
      </w:r>
      <w:r w:rsidR="00CB2B9F" w:rsidRPr="006D0A07">
        <w:rPr>
          <w:noProof/>
        </w:rPr>
        <w:t xml:space="preserve">use of information as evidence in judicial proceedings. In particular, it should not be understood as establishing a right to use the information provided under this Directive as evidence and, consequently, </w:t>
      </w:r>
      <w:r w:rsidR="00CB2B9F" w:rsidRPr="00232257">
        <w:rPr>
          <w:noProof/>
        </w:rPr>
        <w:t>it</w:t>
      </w:r>
      <w:r w:rsidR="00CB2B9F">
        <w:rPr>
          <w:noProof/>
        </w:rPr>
        <w:t xml:space="preserve"> </w:t>
      </w:r>
      <w:r w:rsidR="00CB2B9F" w:rsidRPr="006D0A07">
        <w:rPr>
          <w:noProof/>
        </w:rPr>
        <w:t xml:space="preserve">leaves </w:t>
      </w:r>
      <w:r w:rsidR="00CB2B9F" w:rsidRPr="00BE25F5">
        <w:rPr>
          <w:noProof/>
        </w:rPr>
        <w:t>unaffected</w:t>
      </w:r>
      <w:r w:rsidR="00CB2B9F" w:rsidRPr="00BE4374">
        <w:rPr>
          <w:noProof/>
        </w:rPr>
        <w:t xml:space="preserve"> </w:t>
      </w:r>
      <w:r w:rsidR="00CB2B9F" w:rsidRPr="006D0A07">
        <w:rPr>
          <w:noProof/>
        </w:rPr>
        <w:t>any requirement provided for in the applicable law to obtain the consent from the Member State providing the information for such use</w:t>
      </w:r>
      <w:r w:rsidR="00CB2B9F" w:rsidRPr="00BE4374">
        <w:rPr>
          <w:noProof/>
        </w:rPr>
        <w:t>.</w:t>
      </w:r>
      <w:r w:rsidR="00CB2B9F" w:rsidRPr="006D0A07">
        <w:rPr>
          <w:noProof/>
        </w:rPr>
        <w:t xml:space="preserve"> This Directive leaves acts of Union law on evidence, </w:t>
      </w:r>
      <w:r w:rsidR="00CB2B9F">
        <w:rPr>
          <w:noProof/>
        </w:rPr>
        <w:t>such as R</w:t>
      </w:r>
      <w:r w:rsidR="00CB2B9F" w:rsidRPr="00334177">
        <w:rPr>
          <w:noProof/>
        </w:rPr>
        <w:t>egulation (EU) …/…</w:t>
      </w:r>
      <w:r w:rsidR="00CB2B9F">
        <w:rPr>
          <w:rStyle w:val="FootnoteReference0"/>
          <w:noProof/>
        </w:rPr>
        <w:footnoteReference w:id="59"/>
      </w:r>
      <w:r w:rsidR="00CB2B9F" w:rsidRPr="00334177">
        <w:rPr>
          <w:noProof/>
        </w:rPr>
        <w:t xml:space="preserve"> [</w:t>
      </w:r>
      <w:r w:rsidR="00CB2B9F" w:rsidRPr="00334177">
        <w:rPr>
          <w:i/>
          <w:noProof/>
        </w:rPr>
        <w:t>on European Production and Preservation Orders for electronic evidence in criminal matters</w:t>
      </w:r>
      <w:r w:rsidR="00CB2B9F" w:rsidRPr="00334177">
        <w:rPr>
          <w:noProof/>
        </w:rPr>
        <w:t>]</w:t>
      </w:r>
      <w:r w:rsidR="00CB2B9F">
        <w:rPr>
          <w:noProof/>
        </w:rPr>
        <w:t xml:space="preserve"> and </w:t>
      </w:r>
      <w:r w:rsidR="00CB2B9F" w:rsidRPr="00334177">
        <w:rPr>
          <w:noProof/>
        </w:rPr>
        <w:t>Directive (EU) …/…</w:t>
      </w:r>
      <w:r w:rsidR="00CB2B9F">
        <w:rPr>
          <w:rStyle w:val="FootnoteReference0"/>
          <w:noProof/>
        </w:rPr>
        <w:footnoteReference w:id="60"/>
      </w:r>
      <w:r w:rsidR="00CB2B9F" w:rsidRPr="00334177">
        <w:rPr>
          <w:noProof/>
        </w:rPr>
        <w:t xml:space="preserve"> [</w:t>
      </w:r>
      <w:r w:rsidR="00CB2B9F" w:rsidRPr="00334177">
        <w:rPr>
          <w:i/>
          <w:noProof/>
        </w:rPr>
        <w:t>laying down harmonised rules on the appointment of legal representatives for the purpose of gathering evidence in criminal proceedings</w:t>
      </w:r>
      <w:r w:rsidR="00CB2B9F" w:rsidRPr="00334177">
        <w:rPr>
          <w:noProof/>
        </w:rPr>
        <w:t>]</w:t>
      </w:r>
      <w:r w:rsidR="00CB2B9F">
        <w:rPr>
          <w:noProof/>
        </w:rPr>
        <w:t>,</w:t>
      </w:r>
      <w:r w:rsidR="00CB2B9F" w:rsidRPr="006D0A07">
        <w:rPr>
          <w:noProof/>
        </w:rPr>
        <w:t xml:space="preserve"> unaffected</w:t>
      </w:r>
      <w:r w:rsidR="0046195B" w:rsidRPr="006D0A07">
        <w:rPr>
          <w:noProof/>
        </w:rPr>
        <w:t>.</w:t>
      </w:r>
    </w:p>
    <w:p w14:paraId="55FFE970" w14:textId="5AD3E207" w:rsidR="00275458" w:rsidRPr="00275458" w:rsidRDefault="002E4C52" w:rsidP="002E4C52">
      <w:pPr>
        <w:pStyle w:val="ManualConsidrant"/>
        <w:rPr>
          <w:noProof/>
        </w:rPr>
      </w:pPr>
      <w:r w:rsidRPr="002E4C52">
        <w:t>(9)</w:t>
      </w:r>
      <w:r w:rsidRPr="002E4C52">
        <w:tab/>
      </w:r>
      <w:r w:rsidR="00CB2B9F">
        <w:rPr>
          <w:noProof/>
        </w:rPr>
        <w:t xml:space="preserve">All exchanges of information under this Directive should be subject to three general </w:t>
      </w:r>
      <w:r w:rsidR="00CB2B9F" w:rsidRPr="00C30018">
        <w:rPr>
          <w:noProof/>
        </w:rPr>
        <w:t>principles</w:t>
      </w:r>
      <w:r w:rsidR="00CB2B9F">
        <w:rPr>
          <w:noProof/>
        </w:rPr>
        <w:t xml:space="preserve">, namely those of availability, </w:t>
      </w:r>
      <w:r w:rsidR="00CB2B9F" w:rsidRPr="00C30018">
        <w:rPr>
          <w:noProof/>
        </w:rPr>
        <w:t>equivalent access</w:t>
      </w:r>
      <w:r w:rsidR="00CB2B9F">
        <w:rPr>
          <w:noProof/>
        </w:rPr>
        <w:t xml:space="preserve"> and </w:t>
      </w:r>
      <w:r w:rsidR="00CB2B9F" w:rsidRPr="00C30018">
        <w:rPr>
          <w:noProof/>
        </w:rPr>
        <w:t>confidentiality.</w:t>
      </w:r>
      <w:r w:rsidR="00CB2B9F">
        <w:rPr>
          <w:i/>
          <w:noProof/>
        </w:rPr>
        <w:t xml:space="preserve"> </w:t>
      </w:r>
      <w:r w:rsidR="00CB2B9F">
        <w:rPr>
          <w:noProof/>
        </w:rPr>
        <w:t xml:space="preserve">While those principles are without prejudice to the more specific provisions of this Directive, they should guide its interpretation and application where relevant. For example, the </w:t>
      </w:r>
      <w:r w:rsidR="00CB2B9F" w:rsidRPr="00275458">
        <w:rPr>
          <w:noProof/>
        </w:rPr>
        <w:t>principle of availability</w:t>
      </w:r>
      <w:r w:rsidR="00CB2B9F">
        <w:rPr>
          <w:noProof/>
        </w:rPr>
        <w:t xml:space="preserve"> should be understood as indicating that relevant information available to the Single Point of Contact or the law enforcement authorities of one Member State should also be available, to the largest extent possible, to those of other Member States. However, the principle should not affect the application, where justified, of specific provisions of this Directive restricting the availability </w:t>
      </w:r>
      <w:r w:rsidR="00CB2B9F" w:rsidRPr="00232257">
        <w:rPr>
          <w:noProof/>
        </w:rPr>
        <w:t>of information,</w:t>
      </w:r>
      <w:r w:rsidR="00CB2B9F">
        <w:rPr>
          <w:noProof/>
        </w:rPr>
        <w:t xml:space="preserve"> such as those on the grounds for refusal of requests for information and judicial authorisation. In addition, pursuant to the principle of equivalent access, the access of the Single Point of Contact and the law enforcement authorities of other Member States to relevant information should be substantially the same as, and thus be neither stricter nor less strict than, the access of those of one and the same Member State, subject to the Directive’s more specific provisions</w:t>
      </w:r>
      <w:r w:rsidR="00334177">
        <w:rPr>
          <w:noProof/>
        </w:rPr>
        <w:t>.</w:t>
      </w:r>
    </w:p>
    <w:p w14:paraId="1AFA6846" w14:textId="384F71F7" w:rsidR="003F4A54" w:rsidRPr="00C30018" w:rsidRDefault="002E4C52" w:rsidP="002E4C52">
      <w:pPr>
        <w:pStyle w:val="ManualConsidrant"/>
        <w:rPr>
          <w:noProof/>
        </w:rPr>
      </w:pPr>
      <w:r w:rsidRPr="002E4C52">
        <w:t>(10)</w:t>
      </w:r>
      <w:r w:rsidRPr="002E4C52">
        <w:tab/>
      </w:r>
      <w:r w:rsidR="00CB2B9F">
        <w:rPr>
          <w:noProof/>
        </w:rPr>
        <w:t xml:space="preserve">In order to achieve the objective to facilitate and ensure </w:t>
      </w:r>
      <w:r w:rsidR="00CB2B9F" w:rsidRPr="002204C5">
        <w:rPr>
          <w:noProof/>
        </w:rPr>
        <w:t>the adequate and rapid exchange of information</w:t>
      </w:r>
      <w:r w:rsidR="00CB2B9F">
        <w:rPr>
          <w:noProof/>
        </w:rPr>
        <w:t xml:space="preserve"> between Member States, provision should be made for obtaining such information by addressing a request for information to the Single Point of Contact of the other Member State concerned, in accordance with certain clear, simplified and harmonised requirements. Concerning the content of such requests for information, it should in particular be specified, in an exhaustive and sufficiently detailed manner and without prejudice to the need for a case-by-case assessment, when they are to be considered as urgent and which explanations they are to contain as minimum</w:t>
      </w:r>
      <w:r w:rsidR="003F4A54" w:rsidRPr="00C30018">
        <w:rPr>
          <w:noProof/>
        </w:rPr>
        <w:t xml:space="preserve">. </w:t>
      </w:r>
    </w:p>
    <w:p w14:paraId="5F6CD587" w14:textId="625D81F5" w:rsidR="000B053E" w:rsidRPr="00C30018" w:rsidRDefault="002E4C52" w:rsidP="002E4C52">
      <w:pPr>
        <w:pStyle w:val="ManualConsidrant"/>
        <w:rPr>
          <w:noProof/>
        </w:rPr>
      </w:pPr>
      <w:r w:rsidRPr="002E4C52">
        <w:t>(11)</w:t>
      </w:r>
      <w:r w:rsidRPr="002E4C52">
        <w:tab/>
      </w:r>
      <w:r w:rsidR="00CB2B9F">
        <w:rPr>
          <w:noProof/>
        </w:rPr>
        <w:t xml:space="preserve">Whilst the Single Points of Contact of each Member State should in any event have the possibility to submit requests for information to the Single Point of Contact of another Member State, in the interest of flexibility, Member States should be allowed to decide that, in addition, their law enforcement authorities may also submit such requests. </w:t>
      </w:r>
      <w:r w:rsidR="00CB2B9F" w:rsidRPr="00C30018">
        <w:rPr>
          <w:noProof/>
        </w:rPr>
        <w:t>I</w:t>
      </w:r>
      <w:r w:rsidR="00CB2B9F">
        <w:rPr>
          <w:noProof/>
        </w:rPr>
        <w:t>n order for Single Points of Contact to be able to perform their coordinating functions under this Directive, i</w:t>
      </w:r>
      <w:r w:rsidR="00CB2B9F" w:rsidRPr="00C30018">
        <w:rPr>
          <w:noProof/>
        </w:rPr>
        <w:t>t is however necessary that</w:t>
      </w:r>
      <w:r w:rsidR="00CB2B9F">
        <w:rPr>
          <w:noProof/>
        </w:rPr>
        <w:t>, where a Member State takes such a decision, its</w:t>
      </w:r>
      <w:r w:rsidR="00CB2B9F" w:rsidRPr="00C30018">
        <w:rPr>
          <w:noProof/>
        </w:rPr>
        <w:t xml:space="preserve"> Single Point of Contact</w:t>
      </w:r>
      <w:r w:rsidR="00CB2B9F">
        <w:rPr>
          <w:noProof/>
        </w:rPr>
        <w:t xml:space="preserve"> is</w:t>
      </w:r>
      <w:r w:rsidR="00CB2B9F" w:rsidRPr="00C30018">
        <w:rPr>
          <w:noProof/>
        </w:rPr>
        <w:t xml:space="preserve"> </w:t>
      </w:r>
      <w:r w:rsidR="00CB2B9F">
        <w:rPr>
          <w:noProof/>
        </w:rPr>
        <w:t xml:space="preserve">made </w:t>
      </w:r>
      <w:r w:rsidR="00CB2B9F" w:rsidRPr="00C30018">
        <w:rPr>
          <w:noProof/>
        </w:rPr>
        <w:t>aware of all</w:t>
      </w:r>
      <w:r w:rsidR="00CB2B9F">
        <w:rPr>
          <w:noProof/>
        </w:rPr>
        <w:t xml:space="preserve"> such outgoing</w:t>
      </w:r>
      <w:r w:rsidR="00CB2B9F" w:rsidRPr="00C30018">
        <w:rPr>
          <w:noProof/>
        </w:rPr>
        <w:t xml:space="preserve"> requests</w:t>
      </w:r>
      <w:r w:rsidR="00CB2B9F">
        <w:rPr>
          <w:noProof/>
        </w:rPr>
        <w:t xml:space="preserve">, </w:t>
      </w:r>
      <w:r w:rsidR="00CB2B9F" w:rsidRPr="003C1FF2">
        <w:rPr>
          <w:noProof/>
        </w:rPr>
        <w:t>as well as of any communications relating thereto</w:t>
      </w:r>
      <w:r w:rsidR="00CB2B9F">
        <w:rPr>
          <w:noProof/>
        </w:rPr>
        <w:t>, by always being put in copy</w:t>
      </w:r>
      <w:r w:rsidR="00291B26" w:rsidRPr="00C30018">
        <w:rPr>
          <w:noProof/>
        </w:rPr>
        <w:t xml:space="preserve">. </w:t>
      </w:r>
    </w:p>
    <w:p w14:paraId="4A9386C0" w14:textId="648F23CE" w:rsidR="00AB72C0" w:rsidRPr="00C30018" w:rsidRDefault="002E4C52" w:rsidP="002E4C52">
      <w:pPr>
        <w:pStyle w:val="ManualConsidrant"/>
        <w:rPr>
          <w:noProof/>
        </w:rPr>
      </w:pPr>
      <w:r w:rsidRPr="002E4C52">
        <w:t>(12)</w:t>
      </w:r>
      <w:r w:rsidRPr="002E4C52">
        <w:tab/>
      </w:r>
      <w:r w:rsidR="000B053E" w:rsidRPr="00C30018">
        <w:rPr>
          <w:noProof/>
        </w:rPr>
        <w:t xml:space="preserve">Time limits are necessary to ensure </w:t>
      </w:r>
      <w:r w:rsidR="00CB2B9F">
        <w:rPr>
          <w:noProof/>
        </w:rPr>
        <w:t>rapid processing of requests for information</w:t>
      </w:r>
      <w:r w:rsidR="00CB2B9F" w:rsidRPr="00C30018">
        <w:rPr>
          <w:noProof/>
        </w:rPr>
        <w:t xml:space="preserve"> </w:t>
      </w:r>
      <w:r w:rsidR="00CB2B9F">
        <w:rPr>
          <w:noProof/>
        </w:rPr>
        <w:t>submitted to a Single Point of Contact</w:t>
      </w:r>
      <w:r w:rsidR="00CB2B9F" w:rsidRPr="00C30018">
        <w:rPr>
          <w:noProof/>
        </w:rPr>
        <w:t xml:space="preserve">. </w:t>
      </w:r>
      <w:r w:rsidR="00CB2B9F">
        <w:rPr>
          <w:noProof/>
        </w:rPr>
        <w:t xml:space="preserve">Such </w:t>
      </w:r>
      <w:r w:rsidR="000E024D">
        <w:rPr>
          <w:noProof/>
        </w:rPr>
        <w:t>t</w:t>
      </w:r>
      <w:r w:rsidR="002B7006" w:rsidRPr="00C30018">
        <w:rPr>
          <w:noProof/>
        </w:rPr>
        <w:t xml:space="preserve">ime limits </w:t>
      </w:r>
      <w:r w:rsidR="00C64D90" w:rsidRPr="004A4598">
        <w:rPr>
          <w:noProof/>
        </w:rPr>
        <w:t>should</w:t>
      </w:r>
      <w:r w:rsidR="002B7006" w:rsidRPr="00C30018">
        <w:rPr>
          <w:noProof/>
        </w:rPr>
        <w:t xml:space="preserve"> be</w:t>
      </w:r>
      <w:r w:rsidR="000E024D">
        <w:rPr>
          <w:noProof/>
        </w:rPr>
        <w:t xml:space="preserve"> </w:t>
      </w:r>
      <w:r w:rsidR="00CB2B9F">
        <w:rPr>
          <w:noProof/>
        </w:rPr>
        <w:t>clear and</w:t>
      </w:r>
      <w:r w:rsidR="00CB2B9F" w:rsidRPr="00C30018">
        <w:rPr>
          <w:noProof/>
        </w:rPr>
        <w:t xml:space="preserve"> </w:t>
      </w:r>
      <w:r w:rsidR="002B7006" w:rsidRPr="00C30018">
        <w:rPr>
          <w:noProof/>
        </w:rPr>
        <w:t>proportionate and take into</w:t>
      </w:r>
      <w:r w:rsidR="00CB2B9F">
        <w:rPr>
          <w:noProof/>
        </w:rPr>
        <w:t xml:space="preserve"> account</w:t>
      </w:r>
      <w:r w:rsidR="00CB2B9F" w:rsidRPr="00C30018">
        <w:rPr>
          <w:noProof/>
        </w:rPr>
        <w:t xml:space="preserve"> </w:t>
      </w:r>
      <w:r w:rsidR="00CB2B9F">
        <w:rPr>
          <w:noProof/>
        </w:rPr>
        <w:t>whether the request for information is urgent and whether a prior judicial authorisation is required</w:t>
      </w:r>
      <w:r w:rsidR="002B7006" w:rsidRPr="00C30018">
        <w:rPr>
          <w:noProof/>
        </w:rPr>
        <w:t>.</w:t>
      </w:r>
      <w:r w:rsidR="00291B26" w:rsidRPr="00C30018">
        <w:rPr>
          <w:noProof/>
        </w:rPr>
        <w:t xml:space="preserve"> </w:t>
      </w:r>
      <w:r w:rsidR="002B7006" w:rsidRPr="00C30018">
        <w:rPr>
          <w:noProof/>
        </w:rPr>
        <w:t xml:space="preserve">In order to ensure compliance with the </w:t>
      </w:r>
      <w:r w:rsidR="00CB2B9F" w:rsidRPr="00C30018">
        <w:rPr>
          <w:noProof/>
        </w:rPr>
        <w:t>applicable</w:t>
      </w:r>
      <w:r w:rsidR="00CB2B9F" w:rsidRPr="00C30018" w:rsidDel="00CB2B9F">
        <w:rPr>
          <w:noProof/>
        </w:rPr>
        <w:t xml:space="preserve"> </w:t>
      </w:r>
      <w:r w:rsidR="002B7006" w:rsidRPr="00C30018">
        <w:rPr>
          <w:noProof/>
        </w:rPr>
        <w:t>time limits</w:t>
      </w:r>
      <w:r w:rsidR="00CB2B9F">
        <w:rPr>
          <w:noProof/>
        </w:rPr>
        <w:t xml:space="preserve"> whilst nonetheless allowing for a degree of flexibility where objectively justified</w:t>
      </w:r>
      <w:r w:rsidR="00432664">
        <w:rPr>
          <w:noProof/>
        </w:rPr>
        <w:t>,</w:t>
      </w:r>
      <w:r w:rsidR="002B7006" w:rsidRPr="00C30018">
        <w:rPr>
          <w:noProof/>
        </w:rPr>
        <w:t xml:space="preserve"> it is necessary to</w:t>
      </w:r>
      <w:r w:rsidR="00CB2B9F">
        <w:rPr>
          <w:noProof/>
        </w:rPr>
        <w:t xml:space="preserve"> allow, on an exceptional basis, for deviations only where, and in as far as</w:t>
      </w:r>
      <w:r w:rsidR="00F60D49">
        <w:rPr>
          <w:noProof/>
        </w:rPr>
        <w:t>,</w:t>
      </w:r>
      <w:r w:rsidR="00432664">
        <w:rPr>
          <w:noProof/>
        </w:rPr>
        <w:t xml:space="preserve"> </w:t>
      </w:r>
      <w:r w:rsidR="00AB72C0" w:rsidRPr="00C30018">
        <w:rPr>
          <w:noProof/>
        </w:rPr>
        <w:t xml:space="preserve">the competent judicial authority </w:t>
      </w:r>
      <w:r w:rsidR="00A26155" w:rsidRPr="00C30018">
        <w:rPr>
          <w:noProof/>
        </w:rPr>
        <w:t xml:space="preserve">of the requested Member State </w:t>
      </w:r>
      <w:r w:rsidR="00AB72C0" w:rsidRPr="00C30018">
        <w:rPr>
          <w:noProof/>
        </w:rPr>
        <w:t xml:space="preserve">needs additional time to </w:t>
      </w:r>
      <w:r w:rsidR="00CB2B9F">
        <w:rPr>
          <w:noProof/>
        </w:rPr>
        <w:t>decide on</w:t>
      </w:r>
      <w:r w:rsidR="00CB2B9F" w:rsidRPr="00C30018">
        <w:rPr>
          <w:noProof/>
        </w:rPr>
        <w:t xml:space="preserve"> </w:t>
      </w:r>
      <w:r w:rsidR="00AB72C0" w:rsidRPr="00C30018">
        <w:rPr>
          <w:noProof/>
        </w:rPr>
        <w:t>granting the necessary judicial authorisation</w:t>
      </w:r>
      <w:r w:rsidR="00C64D90">
        <w:rPr>
          <w:noProof/>
        </w:rPr>
        <w:t xml:space="preserve">. </w:t>
      </w:r>
      <w:r w:rsidR="00C64D90" w:rsidRPr="004A4598">
        <w:rPr>
          <w:noProof/>
        </w:rPr>
        <w:t>Such a need could arise</w:t>
      </w:r>
      <w:r w:rsidR="00230AF6" w:rsidRPr="004A4598">
        <w:rPr>
          <w:noProof/>
        </w:rPr>
        <w:t>,</w:t>
      </w:r>
      <w:r w:rsidR="00230AF6" w:rsidRPr="00C30018">
        <w:rPr>
          <w:noProof/>
        </w:rPr>
        <w:t xml:space="preserve"> for example</w:t>
      </w:r>
      <w:r w:rsidR="00C64D90">
        <w:rPr>
          <w:noProof/>
        </w:rPr>
        <w:t>,</w:t>
      </w:r>
      <w:r w:rsidR="00230AF6" w:rsidRPr="00C30018">
        <w:rPr>
          <w:noProof/>
        </w:rPr>
        <w:t xml:space="preserve"> </w:t>
      </w:r>
      <w:r w:rsidR="00E923F1" w:rsidRPr="00C30018">
        <w:rPr>
          <w:noProof/>
        </w:rPr>
        <w:t>because of the</w:t>
      </w:r>
      <w:r w:rsidR="00230AF6" w:rsidRPr="00C30018">
        <w:rPr>
          <w:noProof/>
        </w:rPr>
        <w:t xml:space="preserve"> broad scope or the complexity of the matters raised by the request for information</w:t>
      </w:r>
      <w:r w:rsidR="00291B26" w:rsidRPr="00C30018">
        <w:rPr>
          <w:noProof/>
        </w:rPr>
        <w:t xml:space="preserve">. </w:t>
      </w:r>
    </w:p>
    <w:p w14:paraId="7CEC8368" w14:textId="67773DEA" w:rsidR="000B053E" w:rsidRPr="00C30018" w:rsidRDefault="002E4C52" w:rsidP="002E4C52">
      <w:pPr>
        <w:pStyle w:val="ManualConsidrant"/>
        <w:rPr>
          <w:noProof/>
        </w:rPr>
      </w:pPr>
      <w:r w:rsidRPr="002E4C52">
        <w:t>(13)</w:t>
      </w:r>
      <w:r w:rsidRPr="002E4C52">
        <w:tab/>
      </w:r>
      <w:r w:rsidR="00F60D49">
        <w:rPr>
          <w:noProof/>
        </w:rPr>
        <w:t>I</w:t>
      </w:r>
      <w:r w:rsidR="00B741EC" w:rsidRPr="00C30018">
        <w:rPr>
          <w:noProof/>
        </w:rPr>
        <w:t>n exceptional</w:t>
      </w:r>
      <w:r w:rsidR="00291B26" w:rsidRPr="00C30018">
        <w:rPr>
          <w:noProof/>
        </w:rPr>
        <w:t xml:space="preserve"> cases</w:t>
      </w:r>
      <w:r w:rsidR="00F60D49">
        <w:rPr>
          <w:noProof/>
        </w:rPr>
        <w:t>,</w:t>
      </w:r>
      <w:r w:rsidR="00291B26" w:rsidRPr="00C30018">
        <w:rPr>
          <w:noProof/>
        </w:rPr>
        <w:t xml:space="preserve"> </w:t>
      </w:r>
      <w:r w:rsidR="00B741EC" w:rsidRPr="00C30018">
        <w:rPr>
          <w:noProof/>
        </w:rPr>
        <w:t>it may be</w:t>
      </w:r>
      <w:r w:rsidR="00F60D49">
        <w:rPr>
          <w:noProof/>
        </w:rPr>
        <w:t xml:space="preserve"> </w:t>
      </w:r>
      <w:r w:rsidR="00CB2B9F">
        <w:rPr>
          <w:noProof/>
        </w:rPr>
        <w:t>objectively</w:t>
      </w:r>
      <w:r w:rsidR="00CB2B9F" w:rsidDel="00CB2B9F">
        <w:rPr>
          <w:noProof/>
        </w:rPr>
        <w:t xml:space="preserve"> </w:t>
      </w:r>
      <w:r w:rsidR="00B741EC" w:rsidRPr="00C30018">
        <w:rPr>
          <w:noProof/>
        </w:rPr>
        <w:t xml:space="preserve">justified for a Member State to </w:t>
      </w:r>
      <w:r w:rsidR="00CB2B9F">
        <w:rPr>
          <w:noProof/>
        </w:rPr>
        <w:t>refuse a request for information submitted to a Single Point of Contact</w:t>
      </w:r>
      <w:r w:rsidR="00CB2B9F" w:rsidRPr="00C30018">
        <w:rPr>
          <w:noProof/>
        </w:rPr>
        <w:t xml:space="preserve">. </w:t>
      </w:r>
      <w:r w:rsidR="00CB2B9F">
        <w:rPr>
          <w:noProof/>
        </w:rPr>
        <w:t xml:space="preserve">In order to ensure the effective functioning of the system created by this Directive, </w:t>
      </w:r>
      <w:r w:rsidR="00F60D49">
        <w:rPr>
          <w:noProof/>
        </w:rPr>
        <w:t>t</w:t>
      </w:r>
      <w:r w:rsidR="00B741EC" w:rsidRPr="00C30018">
        <w:rPr>
          <w:noProof/>
        </w:rPr>
        <w:t>h</w:t>
      </w:r>
      <w:r w:rsidR="00F60D49">
        <w:rPr>
          <w:noProof/>
        </w:rPr>
        <w:t>os</w:t>
      </w:r>
      <w:r w:rsidR="00B741EC" w:rsidRPr="00C30018">
        <w:rPr>
          <w:noProof/>
        </w:rPr>
        <w:t xml:space="preserve">e cases should </w:t>
      </w:r>
      <w:r w:rsidR="00F60D49">
        <w:rPr>
          <w:noProof/>
        </w:rPr>
        <w:t xml:space="preserve">be </w:t>
      </w:r>
      <w:r w:rsidR="00B741EC" w:rsidRPr="00C30018">
        <w:rPr>
          <w:noProof/>
        </w:rPr>
        <w:t xml:space="preserve">exhaustively </w:t>
      </w:r>
      <w:r w:rsidR="00CB2B9F">
        <w:rPr>
          <w:noProof/>
        </w:rPr>
        <w:t>specified</w:t>
      </w:r>
      <w:r w:rsidR="00CB2B9F" w:rsidDel="00CB2B9F">
        <w:rPr>
          <w:noProof/>
        </w:rPr>
        <w:t xml:space="preserve"> </w:t>
      </w:r>
      <w:r w:rsidR="00B741EC" w:rsidRPr="00C30018">
        <w:rPr>
          <w:noProof/>
        </w:rPr>
        <w:t>and interpreted</w:t>
      </w:r>
      <w:r w:rsidR="00F861B1" w:rsidRPr="00C30018">
        <w:rPr>
          <w:noProof/>
        </w:rPr>
        <w:t xml:space="preserve"> restrictively. </w:t>
      </w:r>
      <w:r w:rsidR="00B741EC" w:rsidRPr="00C30018">
        <w:rPr>
          <w:noProof/>
        </w:rPr>
        <w:t>W</w:t>
      </w:r>
      <w:r w:rsidR="00F861B1" w:rsidRPr="00C30018">
        <w:rPr>
          <w:noProof/>
        </w:rPr>
        <w:t>hen only parts of the information concerned by</w:t>
      </w:r>
      <w:r w:rsidR="00F60D49">
        <w:rPr>
          <w:noProof/>
        </w:rPr>
        <w:t xml:space="preserve"> such a </w:t>
      </w:r>
      <w:r w:rsidR="00F861B1" w:rsidRPr="00C30018">
        <w:rPr>
          <w:noProof/>
        </w:rPr>
        <w:t>request</w:t>
      </w:r>
      <w:r w:rsidR="00F60D49">
        <w:rPr>
          <w:noProof/>
        </w:rPr>
        <w:t xml:space="preserve"> for information</w:t>
      </w:r>
      <w:r w:rsidR="00F861B1" w:rsidRPr="00C30018">
        <w:rPr>
          <w:noProof/>
        </w:rPr>
        <w:t xml:space="preserve"> </w:t>
      </w:r>
      <w:r w:rsidR="00711B1F" w:rsidRPr="00711B1F">
        <w:rPr>
          <w:noProof/>
        </w:rPr>
        <w:t xml:space="preserve">relate to the reasons for </w:t>
      </w:r>
      <w:r w:rsidR="00F32509">
        <w:rPr>
          <w:noProof/>
        </w:rPr>
        <w:t xml:space="preserve">refusing the </w:t>
      </w:r>
      <w:r w:rsidR="00711B1F" w:rsidRPr="00711B1F">
        <w:rPr>
          <w:noProof/>
        </w:rPr>
        <w:t>request</w:t>
      </w:r>
      <w:r w:rsidR="00F861B1" w:rsidRPr="00C30018">
        <w:rPr>
          <w:noProof/>
        </w:rPr>
        <w:t>, the remaining information is to be provided</w:t>
      </w:r>
      <w:r w:rsidR="00CB2B9F">
        <w:rPr>
          <w:noProof/>
        </w:rPr>
        <w:t xml:space="preserve"> within the time limits set by this Directive</w:t>
      </w:r>
      <w:r w:rsidR="00CB2B9F" w:rsidRPr="00C30018">
        <w:rPr>
          <w:noProof/>
        </w:rPr>
        <w:t>.</w:t>
      </w:r>
      <w:r w:rsidR="00CB2B9F">
        <w:rPr>
          <w:noProof/>
        </w:rPr>
        <w:t xml:space="preserve"> Provision should be made for the possibility to ask for clarifications, which should suspend the applicable time limits. However, such possibility should only exist where the clarifications are objectively necessary and proportionate, in that the request for information would otherwise have to be refused for one of the reasons listed in this Directive. In the interest of effective cooperation, it should remain possible to request necessary clarifications also in other situations, without this however leading to suspension of the time limits</w:t>
      </w:r>
      <w:r w:rsidR="00F32509">
        <w:rPr>
          <w:noProof/>
        </w:rPr>
        <w:t xml:space="preserve">.  </w:t>
      </w:r>
      <w:r w:rsidR="00F60D49">
        <w:rPr>
          <w:noProof/>
        </w:rPr>
        <w:t xml:space="preserve">  </w:t>
      </w:r>
      <w:r w:rsidR="00F861B1" w:rsidRPr="00C30018">
        <w:rPr>
          <w:noProof/>
        </w:rPr>
        <w:t xml:space="preserve"> </w:t>
      </w:r>
      <w:r w:rsidR="000B053E" w:rsidRPr="00C30018">
        <w:rPr>
          <w:noProof/>
        </w:rPr>
        <w:t xml:space="preserve"> </w:t>
      </w:r>
    </w:p>
    <w:p w14:paraId="73BD9F32" w14:textId="52AA39C6" w:rsidR="008F5737" w:rsidRPr="00C30018" w:rsidRDefault="002E4C52" w:rsidP="002E4C52">
      <w:pPr>
        <w:pStyle w:val="ManualConsidrant"/>
        <w:rPr>
          <w:noProof/>
        </w:rPr>
      </w:pPr>
      <w:r w:rsidRPr="002E4C52">
        <w:t>(14)</w:t>
      </w:r>
      <w:r w:rsidRPr="002E4C52">
        <w:tab/>
      </w:r>
      <w:r w:rsidR="00CB2B9F">
        <w:rPr>
          <w:noProof/>
        </w:rPr>
        <w:t xml:space="preserve">In order to allow for the </w:t>
      </w:r>
      <w:r w:rsidR="00CB2B9F" w:rsidRPr="00E474B4">
        <w:rPr>
          <w:noProof/>
        </w:rPr>
        <w:t>necessary flexibility</w:t>
      </w:r>
      <w:r w:rsidR="00CB2B9F" w:rsidRPr="007B46C8">
        <w:rPr>
          <w:noProof/>
        </w:rPr>
        <w:t xml:space="preserve"> in view of operational needs that may vary in practice</w:t>
      </w:r>
      <w:r w:rsidR="00CB2B9F">
        <w:rPr>
          <w:noProof/>
        </w:rPr>
        <w:t xml:space="preserve">, provision should be made for two other means of exchanging information, in addition to requests for information submitted to the Single Points of Contact. The first one is </w:t>
      </w:r>
      <w:r w:rsidR="00901585">
        <w:rPr>
          <w:noProof/>
        </w:rPr>
        <w:t>t</w:t>
      </w:r>
      <w:r w:rsidR="004E600C" w:rsidRPr="00C30018">
        <w:rPr>
          <w:noProof/>
        </w:rPr>
        <w:t>he spontaneous provision of information</w:t>
      </w:r>
      <w:r w:rsidR="00F32509">
        <w:rPr>
          <w:noProof/>
        </w:rPr>
        <w:t xml:space="preserve">, </w:t>
      </w:r>
      <w:r w:rsidR="00CB2B9F">
        <w:rPr>
          <w:noProof/>
        </w:rPr>
        <w:t>that is, on the own initiative of either the Single Point of Contact or the law enforcement authorities</w:t>
      </w:r>
      <w:r w:rsidR="00CB2B9F" w:rsidRPr="004A4598">
        <w:rPr>
          <w:noProof/>
          <w:highlight w:val="yellow"/>
        </w:rPr>
        <w:t xml:space="preserve"> </w:t>
      </w:r>
      <w:r w:rsidR="00A821B4" w:rsidRPr="00232257">
        <w:rPr>
          <w:noProof/>
        </w:rPr>
        <w:t>without a prior request</w:t>
      </w:r>
      <w:r w:rsidR="004E600C" w:rsidRPr="00C30018">
        <w:rPr>
          <w:noProof/>
        </w:rPr>
        <w:t>.</w:t>
      </w:r>
      <w:r w:rsidR="008F19F9">
        <w:rPr>
          <w:noProof/>
        </w:rPr>
        <w:t xml:space="preserve"> The second one is the provision of information upon requests</w:t>
      </w:r>
      <w:r w:rsidR="008F19F9" w:rsidRPr="00A821B4">
        <w:rPr>
          <w:noProof/>
        </w:rPr>
        <w:t xml:space="preserve"> </w:t>
      </w:r>
      <w:r w:rsidR="008F19F9">
        <w:rPr>
          <w:noProof/>
        </w:rPr>
        <w:t>for information submitted</w:t>
      </w:r>
      <w:r w:rsidR="00A821B4" w:rsidRPr="00232257">
        <w:rPr>
          <w:noProof/>
        </w:rPr>
        <w:t xml:space="preserve"> either by Single Points of Contact or by law enforcement authorities</w:t>
      </w:r>
      <w:r w:rsidR="008F19F9">
        <w:rPr>
          <w:noProof/>
        </w:rPr>
        <w:t xml:space="preserve"> not to the Single Point of Contact, but rather directly to the law enforcement authorities of another Member State. In respect of both means, </w:t>
      </w:r>
      <w:r w:rsidR="008F19F9" w:rsidRPr="00232257">
        <w:rPr>
          <w:noProof/>
        </w:rPr>
        <w:t>only a</w:t>
      </w:r>
      <w:r w:rsidR="008F19F9">
        <w:rPr>
          <w:noProof/>
        </w:rPr>
        <w:t xml:space="preserve"> limited number of minimum requirements </w:t>
      </w:r>
      <w:r w:rsidR="008F19F9" w:rsidRPr="00232257">
        <w:rPr>
          <w:noProof/>
        </w:rPr>
        <w:t>should be set</w:t>
      </w:r>
      <w:r w:rsidR="008F19F9">
        <w:rPr>
          <w:noProof/>
        </w:rPr>
        <w:t>, in particular on keeping the Single Point</w:t>
      </w:r>
      <w:r w:rsidR="008F19F9" w:rsidRPr="00232257">
        <w:rPr>
          <w:noProof/>
        </w:rPr>
        <w:t>s</w:t>
      </w:r>
      <w:r w:rsidR="008F19F9">
        <w:rPr>
          <w:noProof/>
        </w:rPr>
        <w:t xml:space="preserve"> of Contact informed and, as regards own-initiative provision of information, the situations in which information is to be provided and the language to be used</w:t>
      </w:r>
      <w:r w:rsidR="00C554B5">
        <w:rPr>
          <w:noProof/>
        </w:rPr>
        <w:t xml:space="preserve">.      </w:t>
      </w:r>
    </w:p>
    <w:p w14:paraId="187A2D23" w14:textId="213A3FB1" w:rsidR="000B053E" w:rsidRPr="00C30018" w:rsidRDefault="002E4C52" w:rsidP="002E4C52">
      <w:pPr>
        <w:pStyle w:val="ManualConsidrant"/>
        <w:rPr>
          <w:noProof/>
        </w:rPr>
      </w:pPr>
      <w:r w:rsidRPr="002E4C52">
        <w:t>(15)</w:t>
      </w:r>
      <w:r w:rsidRPr="002E4C52">
        <w:tab/>
      </w:r>
      <w:r w:rsidR="008F19F9">
        <w:rPr>
          <w:noProof/>
        </w:rPr>
        <w:t>The requirement of a prior judicial authorisation for the provision of information can be an important safeguard</w:t>
      </w:r>
      <w:r w:rsidR="00B94C17">
        <w:rPr>
          <w:noProof/>
        </w:rPr>
        <w:t xml:space="preserve">. </w:t>
      </w:r>
      <w:r w:rsidR="00085D32" w:rsidRPr="00C30018">
        <w:rPr>
          <w:noProof/>
        </w:rPr>
        <w:t>The Member State</w:t>
      </w:r>
      <w:r w:rsidR="00B94C17">
        <w:rPr>
          <w:noProof/>
        </w:rPr>
        <w:t>s</w:t>
      </w:r>
      <w:r w:rsidR="00085D32" w:rsidRPr="00C30018">
        <w:rPr>
          <w:noProof/>
        </w:rPr>
        <w:t>'</w:t>
      </w:r>
      <w:r w:rsidR="00B94C17">
        <w:rPr>
          <w:noProof/>
        </w:rPr>
        <w:t xml:space="preserve"> legal</w:t>
      </w:r>
      <w:r w:rsidR="00085D32" w:rsidRPr="00C30018">
        <w:rPr>
          <w:noProof/>
        </w:rPr>
        <w:t xml:space="preserve"> systems ar</w:t>
      </w:r>
      <w:r w:rsidR="008A6FDD" w:rsidRPr="00C30018">
        <w:rPr>
          <w:noProof/>
        </w:rPr>
        <w:t>e different in th</w:t>
      </w:r>
      <w:r w:rsidR="00B94C17">
        <w:rPr>
          <w:noProof/>
        </w:rPr>
        <w:t>is</w:t>
      </w:r>
      <w:r w:rsidR="008A6FDD" w:rsidRPr="00C30018">
        <w:rPr>
          <w:noProof/>
        </w:rPr>
        <w:t xml:space="preserve"> respect</w:t>
      </w:r>
      <w:r w:rsidR="00B94C17">
        <w:rPr>
          <w:noProof/>
        </w:rPr>
        <w:t xml:space="preserve"> and </w:t>
      </w:r>
      <w:r w:rsidR="00085D32" w:rsidRPr="00C30018">
        <w:rPr>
          <w:noProof/>
        </w:rPr>
        <w:t xml:space="preserve">this Directive </w:t>
      </w:r>
      <w:r w:rsidR="008F19F9">
        <w:rPr>
          <w:noProof/>
        </w:rPr>
        <w:t xml:space="preserve">should not be understood as affecting such requirements established under national law, other than subjecting them to the condition that domestic exchanges and exchanges between Member States are treated in an equivalent manner, both on the substance and procedurally. Furthermore, in order to keep any delays and complications relating to the application of such a requirement to a minimum, </w:t>
      </w:r>
      <w:r w:rsidR="008F19F9" w:rsidRPr="00C30018">
        <w:rPr>
          <w:noProof/>
        </w:rPr>
        <w:t>the</w:t>
      </w:r>
      <w:r w:rsidR="008F19F9">
        <w:rPr>
          <w:noProof/>
        </w:rPr>
        <w:t xml:space="preserve"> Single Point of Contact or the law enforcement authorities, as applicable, of the Member State of the competent judicial authority </w:t>
      </w:r>
      <w:r w:rsidR="00CC06CF">
        <w:rPr>
          <w:noProof/>
        </w:rPr>
        <w:t>should</w:t>
      </w:r>
      <w:r w:rsidR="002D2D4E" w:rsidRPr="00C30018">
        <w:rPr>
          <w:noProof/>
        </w:rPr>
        <w:t xml:space="preserve"> </w:t>
      </w:r>
      <w:r w:rsidR="008A6FDD" w:rsidRPr="00C30018">
        <w:rPr>
          <w:noProof/>
        </w:rPr>
        <w:t>take all</w:t>
      </w:r>
      <w:r w:rsidR="008F19F9">
        <w:rPr>
          <w:noProof/>
        </w:rPr>
        <w:t xml:space="preserve"> practical and legal </w:t>
      </w:r>
      <w:r w:rsidR="008F19F9" w:rsidRPr="00C30018">
        <w:rPr>
          <w:noProof/>
        </w:rPr>
        <w:t>steps</w:t>
      </w:r>
      <w:r w:rsidR="008F19F9">
        <w:rPr>
          <w:noProof/>
        </w:rPr>
        <w:t>,</w:t>
      </w:r>
      <w:r w:rsidR="008F19F9" w:rsidRPr="00C30018">
        <w:rPr>
          <w:noProof/>
        </w:rPr>
        <w:t xml:space="preserve"> </w:t>
      </w:r>
      <w:r w:rsidR="008F19F9">
        <w:rPr>
          <w:noProof/>
        </w:rPr>
        <w:t>where relevant in cooperation with the Single Point of Contact or the law enforcement authority of another Member State that requested the information,</w:t>
      </w:r>
      <w:r w:rsidR="008F19F9" w:rsidRPr="00D735F0">
        <w:rPr>
          <w:noProof/>
        </w:rPr>
        <w:t xml:space="preserve"> </w:t>
      </w:r>
      <w:r w:rsidR="008F19F9" w:rsidRPr="00C30018">
        <w:rPr>
          <w:noProof/>
        </w:rPr>
        <w:t xml:space="preserve">to obtain </w:t>
      </w:r>
      <w:r w:rsidR="008F19F9">
        <w:rPr>
          <w:noProof/>
        </w:rPr>
        <w:t>the judicial authorisation as soon as possible</w:t>
      </w:r>
      <w:r w:rsidR="00B94C17">
        <w:rPr>
          <w:noProof/>
        </w:rPr>
        <w:t>.</w:t>
      </w:r>
    </w:p>
    <w:p w14:paraId="3A0442E5" w14:textId="1A5A9CB3" w:rsidR="008C0A00" w:rsidRDefault="002E4C52" w:rsidP="002E4C52">
      <w:pPr>
        <w:pStyle w:val="ManualConsidrant"/>
        <w:rPr>
          <w:noProof/>
        </w:rPr>
      </w:pPr>
      <w:r w:rsidRPr="002E4C52">
        <w:t>(16)</w:t>
      </w:r>
      <w:r w:rsidRPr="002E4C52">
        <w:tab/>
      </w:r>
      <w:r w:rsidR="00DD3F0E">
        <w:rPr>
          <w:noProof/>
        </w:rPr>
        <w:t xml:space="preserve">It is particularly important that the protection of personal data, in accordance with Union law, is ensured in connection to </w:t>
      </w:r>
      <w:r w:rsidR="00DD3F0E" w:rsidRPr="00232257">
        <w:rPr>
          <w:noProof/>
        </w:rPr>
        <w:t>all</w:t>
      </w:r>
      <w:r w:rsidR="00DD3F0E">
        <w:rPr>
          <w:noProof/>
        </w:rPr>
        <w:t xml:space="preserve"> exchanges of information under this Directive. To that aim, the rules of this Directive should be aligned with </w:t>
      </w:r>
      <w:r w:rsidR="00DD3F0E" w:rsidRPr="00431BF9">
        <w:rPr>
          <w:noProof/>
        </w:rPr>
        <w:t>Directive (EU) 2016/680 of the European Parliament and of the Council</w:t>
      </w:r>
      <w:r w:rsidR="00DD3F0E" w:rsidRPr="00AC7C45">
        <w:rPr>
          <w:rStyle w:val="FootnoteReference0"/>
          <w:noProof/>
        </w:rPr>
        <w:footnoteReference w:id="61"/>
      </w:r>
      <w:r w:rsidR="00DD3F0E" w:rsidRPr="00232257">
        <w:rPr>
          <w:noProof/>
        </w:rPr>
        <w:t>.</w:t>
      </w:r>
      <w:r w:rsidR="00DD3F0E">
        <w:rPr>
          <w:noProof/>
        </w:rPr>
        <w:t xml:space="preserve"> In particular</w:t>
      </w:r>
      <w:r w:rsidR="009623EE">
        <w:rPr>
          <w:noProof/>
        </w:rPr>
        <w:t xml:space="preserve">, </w:t>
      </w:r>
      <w:r w:rsidR="009623EE" w:rsidRPr="00232257">
        <w:rPr>
          <w:noProof/>
        </w:rPr>
        <w:t xml:space="preserve">it </w:t>
      </w:r>
      <w:r w:rsidR="00655238" w:rsidRPr="00232257">
        <w:rPr>
          <w:noProof/>
        </w:rPr>
        <w:t xml:space="preserve">should be </w:t>
      </w:r>
      <w:r w:rsidR="009623EE" w:rsidRPr="00232257">
        <w:rPr>
          <w:noProof/>
        </w:rPr>
        <w:t>specif</w:t>
      </w:r>
      <w:r w:rsidR="00655238" w:rsidRPr="00232257">
        <w:rPr>
          <w:noProof/>
        </w:rPr>
        <w:t>ied</w:t>
      </w:r>
      <w:r w:rsidR="009623EE" w:rsidRPr="00232257">
        <w:rPr>
          <w:noProof/>
        </w:rPr>
        <w:t xml:space="preserve"> that any</w:t>
      </w:r>
      <w:r w:rsidR="009623EE">
        <w:rPr>
          <w:noProof/>
        </w:rPr>
        <w:t xml:space="preserve"> personal data exchanged by Single Poin</w:t>
      </w:r>
      <w:r w:rsidR="009623EE" w:rsidRPr="00232257">
        <w:rPr>
          <w:noProof/>
        </w:rPr>
        <w:t>ts</w:t>
      </w:r>
      <w:r w:rsidR="009623EE">
        <w:rPr>
          <w:noProof/>
        </w:rPr>
        <w:t xml:space="preserve"> of Contacts </w:t>
      </w:r>
      <w:r w:rsidR="00033768" w:rsidRPr="00232257">
        <w:rPr>
          <w:noProof/>
        </w:rPr>
        <w:t>and</w:t>
      </w:r>
      <w:r w:rsidR="009623EE">
        <w:rPr>
          <w:noProof/>
        </w:rPr>
        <w:t xml:space="preserve"> law enforcement authorities </w:t>
      </w:r>
      <w:r w:rsidR="00655238" w:rsidRPr="00232257">
        <w:rPr>
          <w:noProof/>
        </w:rPr>
        <w:t>is to remain</w:t>
      </w:r>
      <w:r w:rsidR="009623EE">
        <w:rPr>
          <w:noProof/>
        </w:rPr>
        <w:t xml:space="preserve"> limited to the categories of data listed in Section B point 2, of Annex II to </w:t>
      </w:r>
      <w:r w:rsidR="00033768" w:rsidRPr="00232257">
        <w:rPr>
          <w:noProof/>
        </w:rPr>
        <w:t>Regulation (EU) 2016/794 of the European Parliament and of the Council</w:t>
      </w:r>
      <w:r w:rsidR="00033768" w:rsidRPr="00AC7C45">
        <w:rPr>
          <w:rStyle w:val="FootnoteReference0"/>
          <w:noProof/>
        </w:rPr>
        <w:footnoteReference w:id="62"/>
      </w:r>
      <w:r w:rsidR="009623EE" w:rsidRPr="00232257">
        <w:rPr>
          <w:noProof/>
        </w:rPr>
        <w:t>.</w:t>
      </w:r>
      <w:r w:rsidR="009623EE">
        <w:rPr>
          <w:noProof/>
        </w:rPr>
        <w:t xml:space="preserve"> Furthermore, a</w:t>
      </w:r>
      <w:r w:rsidR="00410F4C">
        <w:rPr>
          <w:noProof/>
        </w:rPr>
        <w:t xml:space="preserve">s far as possible, </w:t>
      </w:r>
      <w:r w:rsidR="00C64D90" w:rsidRPr="00232257">
        <w:rPr>
          <w:noProof/>
        </w:rPr>
        <w:t xml:space="preserve">any </w:t>
      </w:r>
      <w:r w:rsidR="00DB5D12" w:rsidRPr="00232257">
        <w:rPr>
          <w:noProof/>
        </w:rPr>
        <w:t>such</w:t>
      </w:r>
      <w:r w:rsidR="00DB5D12">
        <w:rPr>
          <w:noProof/>
        </w:rPr>
        <w:t xml:space="preserve"> </w:t>
      </w:r>
      <w:r w:rsidR="00410F4C">
        <w:rPr>
          <w:noProof/>
        </w:rPr>
        <w:t>personal data</w:t>
      </w:r>
      <w:r w:rsidR="00C64D90">
        <w:rPr>
          <w:noProof/>
        </w:rPr>
        <w:t xml:space="preserve"> </w:t>
      </w:r>
      <w:r w:rsidR="00410F4C">
        <w:rPr>
          <w:noProof/>
        </w:rPr>
        <w:t>should be distinguished according to their degree of accuracy and reliability</w:t>
      </w:r>
      <w:r w:rsidR="00DB5D12">
        <w:rPr>
          <w:noProof/>
        </w:rPr>
        <w:t xml:space="preserve">, </w:t>
      </w:r>
      <w:r w:rsidR="00DB5D12" w:rsidRPr="00232257">
        <w:rPr>
          <w:noProof/>
        </w:rPr>
        <w:t>whereby</w:t>
      </w:r>
      <w:r w:rsidR="009623EE" w:rsidRPr="00232257">
        <w:rPr>
          <w:noProof/>
        </w:rPr>
        <w:t xml:space="preserve"> f</w:t>
      </w:r>
      <w:r w:rsidR="00410F4C" w:rsidRPr="00232257">
        <w:rPr>
          <w:noProof/>
        </w:rPr>
        <w:t>acts</w:t>
      </w:r>
      <w:r w:rsidR="00410F4C">
        <w:rPr>
          <w:noProof/>
        </w:rPr>
        <w:t xml:space="preserve"> should be distinguished from personal assessments, in order to ensure both the protection of individuals and the quality and reliability of the information exchanged. </w:t>
      </w:r>
      <w:r w:rsidR="00DB5D12" w:rsidRPr="00232257">
        <w:rPr>
          <w:noProof/>
        </w:rPr>
        <w:t>If</w:t>
      </w:r>
      <w:r w:rsidR="00410F4C" w:rsidRPr="00232257">
        <w:rPr>
          <w:noProof/>
        </w:rPr>
        <w:t xml:space="preserve"> it appears that </w:t>
      </w:r>
      <w:r w:rsidR="00DB5D12" w:rsidRPr="00232257">
        <w:rPr>
          <w:noProof/>
        </w:rPr>
        <w:t xml:space="preserve">the personal data are </w:t>
      </w:r>
      <w:r w:rsidR="00410F4C" w:rsidRPr="00232257">
        <w:rPr>
          <w:noProof/>
        </w:rPr>
        <w:t>incorrect, the</w:t>
      </w:r>
      <w:r w:rsidR="00DB5D12" w:rsidRPr="00232257">
        <w:rPr>
          <w:noProof/>
        </w:rPr>
        <w:t>y</w:t>
      </w:r>
      <w:r w:rsidR="00410F4C" w:rsidRPr="00232257">
        <w:rPr>
          <w:noProof/>
        </w:rPr>
        <w:t xml:space="preserve"> </w:t>
      </w:r>
      <w:r w:rsidR="009623EE" w:rsidRPr="00232257">
        <w:rPr>
          <w:noProof/>
        </w:rPr>
        <w:t>should be</w:t>
      </w:r>
      <w:r w:rsidR="00410F4C">
        <w:rPr>
          <w:noProof/>
        </w:rPr>
        <w:t xml:space="preserve"> rectified or erased without delay.</w:t>
      </w:r>
      <w:r w:rsidR="00DD3F0E">
        <w:rPr>
          <w:noProof/>
        </w:rPr>
        <w:t xml:space="preserve"> </w:t>
      </w:r>
      <w:r w:rsidR="00DD3F0E" w:rsidRPr="00232257">
        <w:rPr>
          <w:noProof/>
        </w:rPr>
        <w:t>Such rectification or erasure, as well as any other processing of personal data in connection to the activities under this Directive, should be carried out</w:t>
      </w:r>
      <w:r w:rsidR="00DD3F0E">
        <w:rPr>
          <w:noProof/>
        </w:rPr>
        <w:t xml:space="preserve"> in compliance with the applicable rules of Union law, in particular </w:t>
      </w:r>
      <w:r w:rsidR="00DD3F0E" w:rsidRPr="00431BF9">
        <w:rPr>
          <w:noProof/>
        </w:rPr>
        <w:t>Directive (EU) 2016/680 </w:t>
      </w:r>
      <w:r w:rsidR="00DD3F0E">
        <w:rPr>
          <w:noProof/>
        </w:rPr>
        <w:t xml:space="preserve">and </w:t>
      </w:r>
      <w:r w:rsidR="00DD3F0E" w:rsidRPr="00431BF9">
        <w:rPr>
          <w:noProof/>
        </w:rPr>
        <w:t>Regulation (EU) 2016/679 of the European Parliament and of the Council</w:t>
      </w:r>
      <w:r w:rsidR="00DD3F0E" w:rsidRPr="00AC7C45">
        <w:rPr>
          <w:rStyle w:val="FootnoteReference0"/>
          <w:noProof/>
        </w:rPr>
        <w:footnoteReference w:id="63"/>
      </w:r>
      <w:r w:rsidR="00DD3F0E">
        <w:rPr>
          <w:noProof/>
        </w:rPr>
        <w:t>, which rules this Directive leaves unaffected</w:t>
      </w:r>
      <w:r w:rsidR="009623EE">
        <w:rPr>
          <w:noProof/>
        </w:rPr>
        <w:t xml:space="preserve">. </w:t>
      </w:r>
    </w:p>
    <w:p w14:paraId="2CC04807" w14:textId="5FCEC4A3" w:rsidR="009F2DBD" w:rsidRPr="00C30018" w:rsidRDefault="002E4C52" w:rsidP="002E4C52">
      <w:pPr>
        <w:pStyle w:val="ManualConsidrant"/>
        <w:rPr>
          <w:noProof/>
        </w:rPr>
      </w:pPr>
      <w:r w:rsidRPr="002E4C52">
        <w:t>(17)</w:t>
      </w:r>
      <w:r w:rsidRPr="002E4C52">
        <w:tab/>
      </w:r>
      <w:r w:rsidR="00DD3F0E">
        <w:rPr>
          <w:noProof/>
        </w:rPr>
        <w:t xml:space="preserve">In order to allow for adequate and rapid provision of information by Single Points of Contact, either upon request or on their own initiative, it is important that </w:t>
      </w:r>
      <w:r w:rsidR="00DD3F0E" w:rsidRPr="00C30018">
        <w:rPr>
          <w:noProof/>
        </w:rPr>
        <w:t>the</w:t>
      </w:r>
      <w:r w:rsidR="00DD3F0E">
        <w:rPr>
          <w:noProof/>
        </w:rPr>
        <w:t xml:space="preserve"> relevant officials of the</w:t>
      </w:r>
      <w:r w:rsidR="00DD3F0E" w:rsidRPr="00C30018">
        <w:rPr>
          <w:noProof/>
        </w:rPr>
        <w:t xml:space="preserve"> </w:t>
      </w:r>
      <w:r w:rsidR="002D474C">
        <w:rPr>
          <w:noProof/>
        </w:rPr>
        <w:t>M</w:t>
      </w:r>
      <w:r w:rsidR="00662FEB" w:rsidRPr="00C30018">
        <w:rPr>
          <w:noProof/>
        </w:rPr>
        <w:t>ember States</w:t>
      </w:r>
      <w:r w:rsidR="009E24A6">
        <w:rPr>
          <w:noProof/>
        </w:rPr>
        <w:t xml:space="preserve"> concerned understand each other</w:t>
      </w:r>
      <w:r w:rsidR="00662FEB" w:rsidRPr="00C30018">
        <w:rPr>
          <w:noProof/>
        </w:rPr>
        <w:t xml:space="preserve">. </w:t>
      </w:r>
      <w:r w:rsidR="002D474C">
        <w:rPr>
          <w:noProof/>
        </w:rPr>
        <w:t>L</w:t>
      </w:r>
      <w:r w:rsidR="00662FEB" w:rsidRPr="00C30018">
        <w:rPr>
          <w:noProof/>
        </w:rPr>
        <w:t>anguage barriers</w:t>
      </w:r>
      <w:r w:rsidR="002D474C">
        <w:rPr>
          <w:noProof/>
        </w:rPr>
        <w:t xml:space="preserve"> often</w:t>
      </w:r>
      <w:r w:rsidR="00662FEB" w:rsidRPr="00C30018">
        <w:rPr>
          <w:noProof/>
        </w:rPr>
        <w:t xml:space="preserve"> hamper the cross-border exchange of information. For this reason,</w:t>
      </w:r>
      <w:r w:rsidR="009E24A6">
        <w:rPr>
          <w:noProof/>
        </w:rPr>
        <w:t xml:space="preserve"> </w:t>
      </w:r>
      <w:r w:rsidR="00DD3F0E">
        <w:rPr>
          <w:noProof/>
        </w:rPr>
        <w:t xml:space="preserve">rules should be established on the use of languages in which requests for information submitted to the Single Points of Contact, the information to be provided by Single Points of Contact as well as any other communications relating thereto, such as on refusals and clarifications, are to be provided. Those rules should strike a balance between, on the one hand, respecting the linguistic diversity within the Union and keeping costs of translation as limited as possible and, on the other hand, operational needs associated with adequate and rapid exchanges of information across borders. Therefore, Member States should establish a list containing one or more official languages of the Union of their choice, but containing also one language that is broadly understood and used in practice, namely, </w:t>
      </w:r>
      <w:r w:rsidR="00A81AFA" w:rsidRPr="00C30018">
        <w:rPr>
          <w:noProof/>
        </w:rPr>
        <w:t>English</w:t>
      </w:r>
      <w:r w:rsidR="00662FEB" w:rsidRPr="00C30018">
        <w:rPr>
          <w:noProof/>
        </w:rPr>
        <w:t>.</w:t>
      </w:r>
      <w:r w:rsidR="00E72489">
        <w:rPr>
          <w:noProof/>
        </w:rPr>
        <w:t xml:space="preserve"> </w:t>
      </w:r>
    </w:p>
    <w:p w14:paraId="33AEC735" w14:textId="5BFEFA22" w:rsidR="00F600C9" w:rsidRDefault="002E4C52" w:rsidP="002E4C52">
      <w:pPr>
        <w:pStyle w:val="ManualConsidrant"/>
        <w:rPr>
          <w:noProof/>
        </w:rPr>
      </w:pPr>
      <w:r w:rsidRPr="002E4C52">
        <w:t>(18)</w:t>
      </w:r>
      <w:r w:rsidRPr="002E4C52">
        <w:tab/>
      </w:r>
      <w:r w:rsidR="00F600C9" w:rsidRPr="00C30018">
        <w:rPr>
          <w:noProof/>
        </w:rPr>
        <w:t xml:space="preserve">The </w:t>
      </w:r>
      <w:r w:rsidR="00DD3F0E">
        <w:rPr>
          <w:noProof/>
        </w:rPr>
        <w:t>further</w:t>
      </w:r>
      <w:r w:rsidR="00DD3F0E" w:rsidDel="00DD3F0E">
        <w:rPr>
          <w:noProof/>
        </w:rPr>
        <w:t xml:space="preserve"> </w:t>
      </w:r>
      <w:r w:rsidR="00F600C9" w:rsidRPr="00C30018">
        <w:rPr>
          <w:noProof/>
        </w:rPr>
        <w:t xml:space="preserve">development of </w:t>
      </w:r>
      <w:r w:rsidR="008C0A00" w:rsidRPr="008C0A00">
        <w:rPr>
          <w:noProof/>
        </w:rPr>
        <w:t xml:space="preserve">the </w:t>
      </w:r>
      <w:r w:rsidR="00DD3F0E" w:rsidRPr="008C0A00">
        <w:rPr>
          <w:noProof/>
        </w:rPr>
        <w:t xml:space="preserve">European Union Agency for Law Enforcement Cooperation </w:t>
      </w:r>
      <w:r w:rsidR="008C0A00" w:rsidRPr="008C0A00">
        <w:rPr>
          <w:noProof/>
        </w:rPr>
        <w:t>(</w:t>
      </w:r>
      <w:r w:rsidR="00F600C9" w:rsidRPr="00C30018">
        <w:rPr>
          <w:noProof/>
        </w:rPr>
        <w:t>Europol</w:t>
      </w:r>
      <w:r w:rsidR="008C0A00">
        <w:rPr>
          <w:noProof/>
        </w:rPr>
        <w:t>)</w:t>
      </w:r>
      <w:r w:rsidR="00F600C9" w:rsidRPr="00C30018">
        <w:rPr>
          <w:noProof/>
        </w:rPr>
        <w:t xml:space="preserve"> as the </w:t>
      </w:r>
      <w:r w:rsidR="00175EA1" w:rsidRPr="00C30018">
        <w:rPr>
          <w:noProof/>
        </w:rPr>
        <w:t>Union</w:t>
      </w:r>
      <w:r w:rsidR="008C0A00">
        <w:rPr>
          <w:noProof/>
        </w:rPr>
        <w:t>’s</w:t>
      </w:r>
      <w:r w:rsidR="00175EA1" w:rsidRPr="00C30018">
        <w:rPr>
          <w:noProof/>
        </w:rPr>
        <w:t xml:space="preserve"> </w:t>
      </w:r>
      <w:r w:rsidR="00F600C9" w:rsidRPr="00C30018">
        <w:rPr>
          <w:noProof/>
        </w:rPr>
        <w:t>criminal information hub is a priority. That is why, when information</w:t>
      </w:r>
      <w:r w:rsidR="009623EE">
        <w:rPr>
          <w:noProof/>
        </w:rPr>
        <w:t xml:space="preserve"> </w:t>
      </w:r>
      <w:r w:rsidR="009623EE" w:rsidRPr="00232257">
        <w:rPr>
          <w:noProof/>
        </w:rPr>
        <w:t>or</w:t>
      </w:r>
      <w:r w:rsidR="00DB5D12" w:rsidRPr="00232257">
        <w:rPr>
          <w:noProof/>
        </w:rPr>
        <w:t xml:space="preserve"> any</w:t>
      </w:r>
      <w:r w:rsidR="009623EE" w:rsidRPr="00232257">
        <w:rPr>
          <w:noProof/>
        </w:rPr>
        <w:t xml:space="preserve"> related communications are</w:t>
      </w:r>
      <w:r w:rsidR="00F600C9" w:rsidRPr="00C30018">
        <w:rPr>
          <w:noProof/>
        </w:rPr>
        <w:t xml:space="preserve"> </w:t>
      </w:r>
      <w:r w:rsidR="00DD3F0E" w:rsidRPr="00C30018">
        <w:rPr>
          <w:noProof/>
        </w:rPr>
        <w:t xml:space="preserve">exchanged, </w:t>
      </w:r>
      <w:r w:rsidR="00DD3F0E">
        <w:rPr>
          <w:noProof/>
        </w:rPr>
        <w:t xml:space="preserve">irrespective of whether that is done pursuant to a request for information submitted to a Single Point of Contact or law enforcement authority, or on their own-imitative, a copy should </w:t>
      </w:r>
      <w:r w:rsidR="00F600C9" w:rsidRPr="00C30018">
        <w:rPr>
          <w:noProof/>
        </w:rPr>
        <w:t xml:space="preserve">be </w:t>
      </w:r>
      <w:r w:rsidR="00DB5D12" w:rsidRPr="00232257">
        <w:rPr>
          <w:noProof/>
        </w:rPr>
        <w:t>sen</w:t>
      </w:r>
      <w:r w:rsidR="00187618" w:rsidRPr="00232257">
        <w:rPr>
          <w:noProof/>
        </w:rPr>
        <w:t>t</w:t>
      </w:r>
      <w:r w:rsidR="00DB5D12" w:rsidRPr="00C30018">
        <w:rPr>
          <w:noProof/>
        </w:rPr>
        <w:t xml:space="preserve"> </w:t>
      </w:r>
      <w:r w:rsidR="00F600C9" w:rsidRPr="00C30018">
        <w:rPr>
          <w:noProof/>
        </w:rPr>
        <w:t xml:space="preserve">to </w:t>
      </w:r>
      <w:r w:rsidR="00F600C9" w:rsidRPr="008C0A00">
        <w:rPr>
          <w:noProof/>
        </w:rPr>
        <w:t>Europol</w:t>
      </w:r>
      <w:r w:rsidR="004F7B78" w:rsidRPr="008C0A00">
        <w:rPr>
          <w:noProof/>
        </w:rPr>
        <w:t>,</w:t>
      </w:r>
      <w:r w:rsidR="004F7B78">
        <w:rPr>
          <w:noProof/>
        </w:rPr>
        <w:t xml:space="preserve"> however only</w:t>
      </w:r>
      <w:r w:rsidR="00F600C9" w:rsidRPr="00C30018">
        <w:rPr>
          <w:noProof/>
        </w:rPr>
        <w:t xml:space="preserve"> insofar as it concerns </w:t>
      </w:r>
      <w:r w:rsidR="00A81AFA" w:rsidRPr="004F7B78">
        <w:rPr>
          <w:noProof/>
        </w:rPr>
        <w:t xml:space="preserve">offences </w:t>
      </w:r>
      <w:r w:rsidR="00F600C9" w:rsidRPr="004F7B78">
        <w:rPr>
          <w:noProof/>
        </w:rPr>
        <w:t>falling within the scope of the objectives of Europol.</w:t>
      </w:r>
      <w:r w:rsidR="00F600C9" w:rsidRPr="00C30018">
        <w:rPr>
          <w:noProof/>
        </w:rPr>
        <w:t xml:space="preserve"> </w:t>
      </w:r>
      <w:r w:rsidR="00A5596A" w:rsidRPr="00C30018">
        <w:rPr>
          <w:noProof/>
        </w:rPr>
        <w:t>In practice, this can be done through the ticking by default of the corresponding SIENA box.</w:t>
      </w:r>
      <w:r w:rsidR="004F7B78">
        <w:rPr>
          <w:noProof/>
        </w:rPr>
        <w:t xml:space="preserve"> </w:t>
      </w:r>
    </w:p>
    <w:p w14:paraId="2C05C71A" w14:textId="2C5BE222" w:rsidR="003B062F" w:rsidRPr="00F421A8" w:rsidRDefault="002E4C52" w:rsidP="002E4C52">
      <w:pPr>
        <w:pStyle w:val="ManualConsidrant"/>
        <w:rPr>
          <w:noProof/>
        </w:rPr>
      </w:pPr>
      <w:r w:rsidRPr="002E4C52">
        <w:t>(19)</w:t>
      </w:r>
      <w:r w:rsidRPr="002E4C52">
        <w:tab/>
      </w:r>
      <w:r w:rsidR="003B062F" w:rsidRPr="00232257">
        <w:rPr>
          <w:noProof/>
        </w:rPr>
        <w:t xml:space="preserve">The proliferation of communication channels used for the transmission of </w:t>
      </w:r>
      <w:r w:rsidR="00235B35" w:rsidRPr="00232257">
        <w:rPr>
          <w:noProof/>
        </w:rPr>
        <w:t xml:space="preserve">law enforcement </w:t>
      </w:r>
      <w:r w:rsidR="003B062F" w:rsidRPr="00232257">
        <w:rPr>
          <w:noProof/>
        </w:rPr>
        <w:t xml:space="preserve">information </w:t>
      </w:r>
      <w:r w:rsidR="00235B35" w:rsidRPr="00232257">
        <w:rPr>
          <w:noProof/>
        </w:rPr>
        <w:t xml:space="preserve">between Member States </w:t>
      </w:r>
      <w:r w:rsidR="003B062F" w:rsidRPr="00232257">
        <w:rPr>
          <w:noProof/>
        </w:rPr>
        <w:t xml:space="preserve">and </w:t>
      </w:r>
      <w:r w:rsidR="00235B35" w:rsidRPr="00232257">
        <w:rPr>
          <w:noProof/>
        </w:rPr>
        <w:t xml:space="preserve">of </w:t>
      </w:r>
      <w:r w:rsidR="003B062F" w:rsidRPr="00232257">
        <w:rPr>
          <w:noProof/>
        </w:rPr>
        <w:t>communications relating thereto should be remedied, as it hinders the adequate and rapid exchange of such information. Therefore, the use of the secure information exchange network application called SIENA, managed by Europol in accordance with Regulation (EU) 2016/794, should be made mandatory for a</w:t>
      </w:r>
      <w:r w:rsidR="00235B35" w:rsidRPr="00232257">
        <w:rPr>
          <w:noProof/>
        </w:rPr>
        <w:t>ll</w:t>
      </w:r>
      <w:r w:rsidR="003B062F" w:rsidRPr="00232257">
        <w:rPr>
          <w:noProof/>
        </w:rPr>
        <w:t xml:space="preserve"> such transmissions</w:t>
      </w:r>
      <w:r w:rsidR="00235B35" w:rsidRPr="00232257">
        <w:rPr>
          <w:noProof/>
        </w:rPr>
        <w:t xml:space="preserve"> and communications</w:t>
      </w:r>
      <w:r w:rsidR="003B062F" w:rsidRPr="00232257">
        <w:rPr>
          <w:noProof/>
        </w:rPr>
        <w:t xml:space="preserve"> under this Directive, including</w:t>
      </w:r>
      <w:r w:rsidR="00235B35" w:rsidRPr="00232257">
        <w:rPr>
          <w:noProof/>
        </w:rPr>
        <w:t xml:space="preserve"> the sending of requests for information submitted to Single Points of Contact and directly to law enforcement authorities, the provision of information upon such requests and on their own initiative, communications on refusals and clarifications</w:t>
      </w:r>
      <w:r w:rsidR="00A013C3">
        <w:rPr>
          <w:noProof/>
        </w:rPr>
        <w:t>,</w:t>
      </w:r>
      <w:r w:rsidR="00235B35" w:rsidRPr="00232257">
        <w:rPr>
          <w:noProof/>
        </w:rPr>
        <w:t xml:space="preserve"> as well as </w:t>
      </w:r>
      <w:r w:rsidR="003B062F" w:rsidRPr="00232257">
        <w:rPr>
          <w:noProof/>
        </w:rPr>
        <w:t>copies to</w:t>
      </w:r>
      <w:r w:rsidR="00235B35" w:rsidRPr="00232257">
        <w:rPr>
          <w:noProof/>
        </w:rPr>
        <w:t xml:space="preserve"> Single Points of Contact and</w:t>
      </w:r>
      <w:r w:rsidR="003B062F" w:rsidRPr="00232257">
        <w:rPr>
          <w:noProof/>
        </w:rPr>
        <w:t xml:space="preserve"> Europol. </w:t>
      </w:r>
      <w:r w:rsidR="00655238" w:rsidRPr="00232257">
        <w:rPr>
          <w:noProof/>
        </w:rPr>
        <w:t xml:space="preserve">To that aim, </w:t>
      </w:r>
      <w:r w:rsidR="003B062F" w:rsidRPr="00232257">
        <w:rPr>
          <w:noProof/>
        </w:rPr>
        <w:t>all Single Points of Contact</w:t>
      </w:r>
      <w:r w:rsidR="00235B35" w:rsidRPr="00232257">
        <w:rPr>
          <w:noProof/>
        </w:rPr>
        <w:t>, as well as</w:t>
      </w:r>
      <w:r w:rsidR="003B062F" w:rsidRPr="00232257">
        <w:rPr>
          <w:noProof/>
        </w:rPr>
        <w:t xml:space="preserve"> </w:t>
      </w:r>
      <w:r w:rsidR="00235B35" w:rsidRPr="00232257">
        <w:rPr>
          <w:noProof/>
        </w:rPr>
        <w:t>all</w:t>
      </w:r>
      <w:r w:rsidR="003B062F" w:rsidRPr="00232257">
        <w:rPr>
          <w:noProof/>
        </w:rPr>
        <w:t xml:space="preserve"> law enforcement authorities that may be involved in such exchanges</w:t>
      </w:r>
      <w:r w:rsidR="00235B35" w:rsidRPr="00232257">
        <w:rPr>
          <w:noProof/>
        </w:rPr>
        <w:t>,</w:t>
      </w:r>
      <w:r w:rsidR="003B062F" w:rsidRPr="00232257">
        <w:rPr>
          <w:noProof/>
        </w:rPr>
        <w:t xml:space="preserve"> </w:t>
      </w:r>
      <w:r w:rsidR="00655238" w:rsidRPr="00232257">
        <w:rPr>
          <w:noProof/>
        </w:rPr>
        <w:t>should be</w:t>
      </w:r>
      <w:r w:rsidR="003B062F" w:rsidRPr="00232257">
        <w:rPr>
          <w:noProof/>
        </w:rPr>
        <w:t xml:space="preserve"> directly connected to SIENA. In th</w:t>
      </w:r>
      <w:r w:rsidR="00235B35" w:rsidRPr="00232257">
        <w:rPr>
          <w:noProof/>
        </w:rPr>
        <w:t>is</w:t>
      </w:r>
      <w:r w:rsidR="003B062F" w:rsidRPr="00232257">
        <w:rPr>
          <w:noProof/>
        </w:rPr>
        <w:t xml:space="preserve"> regard, a transition period should be provided for</w:t>
      </w:r>
      <w:r w:rsidR="00235B35" w:rsidRPr="00232257">
        <w:rPr>
          <w:noProof/>
        </w:rPr>
        <w:t>, however,</w:t>
      </w:r>
      <w:r w:rsidR="003B062F" w:rsidRPr="00F421A8">
        <w:rPr>
          <w:noProof/>
        </w:rPr>
        <w:t xml:space="preserve"> in order to allow for the full roll-out of SIENA.</w:t>
      </w:r>
    </w:p>
    <w:p w14:paraId="01A473FA" w14:textId="4416738E" w:rsidR="00F36DE5" w:rsidRDefault="002E4C52" w:rsidP="002E4C52">
      <w:pPr>
        <w:pStyle w:val="ManualConsidrant"/>
        <w:rPr>
          <w:noProof/>
        </w:rPr>
      </w:pPr>
      <w:r w:rsidRPr="002E4C52">
        <w:t>(20)</w:t>
      </w:r>
      <w:r w:rsidRPr="002E4C52">
        <w:tab/>
      </w:r>
      <w:r w:rsidR="00040CF2" w:rsidRPr="00C30018">
        <w:rPr>
          <w:noProof/>
        </w:rPr>
        <w:t xml:space="preserve">In order to </w:t>
      </w:r>
      <w:r w:rsidR="00DD3F0E">
        <w:rPr>
          <w:noProof/>
        </w:rPr>
        <w:t xml:space="preserve">simplify, </w:t>
      </w:r>
      <w:r w:rsidR="00DD3F0E" w:rsidRPr="00C30018">
        <w:rPr>
          <w:noProof/>
        </w:rPr>
        <w:t>facilitate</w:t>
      </w:r>
      <w:r w:rsidR="00DD3F0E">
        <w:rPr>
          <w:noProof/>
        </w:rPr>
        <w:t xml:space="preserve"> </w:t>
      </w:r>
      <w:r w:rsidR="009623EE" w:rsidRPr="00F421A8">
        <w:rPr>
          <w:noProof/>
        </w:rPr>
        <w:t>and better manage</w:t>
      </w:r>
      <w:r w:rsidR="00040CF2" w:rsidRPr="00C30018">
        <w:rPr>
          <w:noProof/>
        </w:rPr>
        <w:t xml:space="preserve"> information flows, </w:t>
      </w:r>
      <w:r w:rsidR="00B475C0" w:rsidRPr="00C30018">
        <w:rPr>
          <w:noProof/>
        </w:rPr>
        <w:t xml:space="preserve">Member States </w:t>
      </w:r>
      <w:r w:rsidR="00CC06CF">
        <w:rPr>
          <w:noProof/>
        </w:rPr>
        <w:t>should</w:t>
      </w:r>
      <w:r w:rsidR="009F3E94" w:rsidRPr="00C30018">
        <w:rPr>
          <w:noProof/>
        </w:rPr>
        <w:t xml:space="preserve"> </w:t>
      </w:r>
      <w:r w:rsidR="00A000DD">
        <w:rPr>
          <w:noProof/>
        </w:rPr>
        <w:t xml:space="preserve">each </w:t>
      </w:r>
      <w:r w:rsidR="00B475C0" w:rsidRPr="00C30018">
        <w:rPr>
          <w:noProof/>
        </w:rPr>
        <w:t xml:space="preserve">establish or designate </w:t>
      </w:r>
      <w:r w:rsidR="008C0A00">
        <w:rPr>
          <w:noProof/>
        </w:rPr>
        <w:t>one</w:t>
      </w:r>
      <w:r w:rsidR="00B475C0" w:rsidRPr="00C30018">
        <w:rPr>
          <w:noProof/>
        </w:rPr>
        <w:t xml:space="preserve"> Single Point of Contact competent for </w:t>
      </w:r>
      <w:r w:rsidR="002737C4">
        <w:rPr>
          <w:noProof/>
        </w:rPr>
        <w:t xml:space="preserve">coordinating </w:t>
      </w:r>
      <w:r w:rsidR="00B475C0" w:rsidRPr="00C30018">
        <w:rPr>
          <w:noProof/>
        </w:rPr>
        <w:t>information exchange</w:t>
      </w:r>
      <w:r w:rsidR="002737C4">
        <w:rPr>
          <w:noProof/>
        </w:rPr>
        <w:t>s</w:t>
      </w:r>
      <w:r w:rsidR="00A000DD" w:rsidRPr="00A000DD">
        <w:rPr>
          <w:noProof/>
        </w:rPr>
        <w:t xml:space="preserve"> </w:t>
      </w:r>
      <w:r w:rsidR="00A000DD">
        <w:rPr>
          <w:noProof/>
        </w:rPr>
        <w:t>under this Directive</w:t>
      </w:r>
      <w:r w:rsidR="00B475C0" w:rsidRPr="00C30018">
        <w:rPr>
          <w:noProof/>
        </w:rPr>
        <w:t>.</w:t>
      </w:r>
      <w:r w:rsidR="002737C4">
        <w:rPr>
          <w:noProof/>
        </w:rPr>
        <w:t xml:space="preserve"> T</w:t>
      </w:r>
      <w:r w:rsidR="00040CF2" w:rsidRPr="00C30018">
        <w:rPr>
          <w:noProof/>
        </w:rPr>
        <w:t>he Single Point</w:t>
      </w:r>
      <w:r w:rsidR="002737C4">
        <w:rPr>
          <w:noProof/>
        </w:rPr>
        <w:t>s</w:t>
      </w:r>
      <w:r w:rsidR="00040CF2" w:rsidRPr="00C30018">
        <w:rPr>
          <w:noProof/>
        </w:rPr>
        <w:t xml:space="preserve"> of Contact </w:t>
      </w:r>
      <w:r w:rsidR="00815190">
        <w:rPr>
          <w:noProof/>
        </w:rPr>
        <w:t>should</w:t>
      </w:r>
      <w:r w:rsidR="002737C4">
        <w:rPr>
          <w:noProof/>
        </w:rPr>
        <w:t>, in particular,</w:t>
      </w:r>
      <w:r w:rsidR="00815190" w:rsidRPr="00C30018">
        <w:rPr>
          <w:noProof/>
        </w:rPr>
        <w:t xml:space="preserve"> </w:t>
      </w:r>
      <w:r w:rsidR="002737C4">
        <w:rPr>
          <w:noProof/>
        </w:rPr>
        <w:t xml:space="preserve">contribute </w:t>
      </w:r>
      <w:r w:rsidR="00040CF2" w:rsidRPr="00C30018">
        <w:rPr>
          <w:noProof/>
        </w:rPr>
        <w:t>to mitigat</w:t>
      </w:r>
      <w:r w:rsidR="002737C4">
        <w:rPr>
          <w:noProof/>
        </w:rPr>
        <w:t>ing</w:t>
      </w:r>
      <w:r w:rsidR="00040CF2" w:rsidRPr="00C30018">
        <w:rPr>
          <w:noProof/>
        </w:rPr>
        <w:t xml:space="preserve"> the fragmentation of the </w:t>
      </w:r>
      <w:r w:rsidR="00B475C0" w:rsidRPr="00C30018">
        <w:rPr>
          <w:noProof/>
        </w:rPr>
        <w:t>law enforcement authorities' landscape</w:t>
      </w:r>
      <w:r w:rsidR="002737C4">
        <w:rPr>
          <w:noProof/>
        </w:rPr>
        <w:t xml:space="preserve">, </w:t>
      </w:r>
      <w:r w:rsidR="00DD3F0E">
        <w:rPr>
          <w:noProof/>
        </w:rPr>
        <w:t>specifically in relation to information flows</w:t>
      </w:r>
      <w:r w:rsidR="002737C4">
        <w:rPr>
          <w:noProof/>
        </w:rPr>
        <w:t>,</w:t>
      </w:r>
      <w:r w:rsidR="00B475C0" w:rsidRPr="00C30018">
        <w:rPr>
          <w:noProof/>
        </w:rPr>
        <w:t xml:space="preserve"> </w:t>
      </w:r>
      <w:r w:rsidR="00040CF2" w:rsidRPr="00C30018">
        <w:rPr>
          <w:noProof/>
        </w:rPr>
        <w:t xml:space="preserve">in response to </w:t>
      </w:r>
      <w:r w:rsidR="00B475C0" w:rsidRPr="00C30018">
        <w:rPr>
          <w:noProof/>
        </w:rPr>
        <w:t xml:space="preserve">the growing need to jointly tackle cross-border </w:t>
      </w:r>
      <w:r w:rsidR="002737C4">
        <w:rPr>
          <w:noProof/>
        </w:rPr>
        <w:t>crime, such as</w:t>
      </w:r>
      <w:r w:rsidR="002D4EA0" w:rsidRPr="00C30018">
        <w:rPr>
          <w:noProof/>
        </w:rPr>
        <w:t xml:space="preserve"> </w:t>
      </w:r>
      <w:r w:rsidR="00B475C0" w:rsidRPr="00C30018">
        <w:rPr>
          <w:noProof/>
        </w:rPr>
        <w:t>drug trafficking</w:t>
      </w:r>
      <w:r w:rsidR="002737C4">
        <w:rPr>
          <w:noProof/>
        </w:rPr>
        <w:t xml:space="preserve"> and </w:t>
      </w:r>
      <w:r w:rsidR="002737C4" w:rsidRPr="00BF5625">
        <w:rPr>
          <w:noProof/>
        </w:rPr>
        <w:t>terrorism</w:t>
      </w:r>
      <w:r w:rsidR="00BF5625" w:rsidRPr="00BF5625">
        <w:rPr>
          <w:noProof/>
        </w:rPr>
        <w:t>.</w:t>
      </w:r>
      <w:r w:rsidR="00DD3F0E">
        <w:rPr>
          <w:noProof/>
        </w:rPr>
        <w:t xml:space="preserve"> For the Single Points of Contact to be able to effectively fulfil their coordinating functions</w:t>
      </w:r>
      <w:r w:rsidR="00DD3F0E" w:rsidRPr="008C0A00">
        <w:rPr>
          <w:noProof/>
        </w:rPr>
        <w:t xml:space="preserve"> in respect of the cross-border exchange of information for law enforcement purposes</w:t>
      </w:r>
      <w:r w:rsidR="00DD3F0E">
        <w:rPr>
          <w:noProof/>
        </w:rPr>
        <w:t xml:space="preserve"> under this Directive, they should be assigned a number of specific, minimum tasks and also have certain minimum capabilities</w:t>
      </w:r>
      <w:r w:rsidR="002737C4">
        <w:rPr>
          <w:noProof/>
        </w:rPr>
        <w:t xml:space="preserve">. </w:t>
      </w:r>
    </w:p>
    <w:p w14:paraId="17DEB245" w14:textId="6DD29E79" w:rsidR="00AB08AF" w:rsidRPr="00C30018" w:rsidRDefault="002E4C52" w:rsidP="002E4C52">
      <w:pPr>
        <w:pStyle w:val="ManualConsidrant"/>
        <w:rPr>
          <w:noProof/>
        </w:rPr>
      </w:pPr>
      <w:r w:rsidRPr="002E4C52">
        <w:t>(21)</w:t>
      </w:r>
      <w:r w:rsidRPr="002E4C52">
        <w:tab/>
      </w:r>
      <w:r w:rsidR="00DD3F0E" w:rsidRPr="00187618">
        <w:rPr>
          <w:noProof/>
        </w:rPr>
        <w:t>Those capabilities of the Single Points of Contact should include having access to all inform</w:t>
      </w:r>
      <w:r w:rsidR="00DD3F0E" w:rsidRPr="00C24F69">
        <w:rPr>
          <w:noProof/>
        </w:rPr>
        <w:t>ation available within its own Member State, including by having</w:t>
      </w:r>
      <w:r w:rsidR="00DD3F0E" w:rsidRPr="003B062F">
        <w:rPr>
          <w:noProof/>
        </w:rPr>
        <w:t xml:space="preserve"> user</w:t>
      </w:r>
      <w:r w:rsidR="00E80991" w:rsidRPr="003B062F">
        <w:rPr>
          <w:noProof/>
        </w:rPr>
        <w:t xml:space="preserve">-friendly access to all relevant </w:t>
      </w:r>
      <w:r w:rsidR="00175EA1" w:rsidRPr="003F5417">
        <w:rPr>
          <w:noProof/>
        </w:rPr>
        <w:t xml:space="preserve">Union </w:t>
      </w:r>
      <w:r w:rsidR="00E80991" w:rsidRPr="003F5417">
        <w:rPr>
          <w:noProof/>
        </w:rPr>
        <w:t>and international databases and platforms</w:t>
      </w:r>
      <w:r w:rsidR="00F36DE5" w:rsidRPr="003746BF">
        <w:rPr>
          <w:noProof/>
        </w:rPr>
        <w:t>,</w:t>
      </w:r>
      <w:r w:rsidR="00F36DE5" w:rsidRPr="00FD6E4A">
        <w:rPr>
          <w:noProof/>
        </w:rPr>
        <w:t xml:space="preserve"> </w:t>
      </w:r>
      <w:r w:rsidR="00DD3F0E" w:rsidRPr="00FD6E4A">
        <w:rPr>
          <w:noProof/>
        </w:rPr>
        <w:t>in accordance with the modalities specified in the applicable Union and national law</w:t>
      </w:r>
      <w:r w:rsidR="00DD3F0E">
        <w:rPr>
          <w:i/>
          <w:noProof/>
        </w:rPr>
        <w:t xml:space="preserve">. </w:t>
      </w:r>
      <w:r w:rsidR="00DD3F0E">
        <w:rPr>
          <w:noProof/>
        </w:rPr>
        <w:t xml:space="preserve">In order to be able to meet the requirements of this Directive, especially those on the time limits, the </w:t>
      </w:r>
      <w:r w:rsidR="00DD3F0E" w:rsidRPr="00C30018">
        <w:rPr>
          <w:noProof/>
        </w:rPr>
        <w:t xml:space="preserve">Single Points of Contact </w:t>
      </w:r>
      <w:r w:rsidR="00DD3F0E">
        <w:rPr>
          <w:noProof/>
        </w:rPr>
        <w:t>should</w:t>
      </w:r>
      <w:r w:rsidR="00DD3F0E" w:rsidRPr="00C30018">
        <w:rPr>
          <w:noProof/>
        </w:rPr>
        <w:t xml:space="preserve"> be provided with adequate resources, including adequate translation capabilities</w:t>
      </w:r>
      <w:r w:rsidR="00DD3F0E">
        <w:rPr>
          <w:noProof/>
        </w:rPr>
        <w:t xml:space="preserve">, and </w:t>
      </w:r>
      <w:r w:rsidR="00DD3F0E" w:rsidRPr="00C30018">
        <w:rPr>
          <w:noProof/>
        </w:rPr>
        <w:t xml:space="preserve">function </w:t>
      </w:r>
      <w:r w:rsidR="00DD3F0E">
        <w:rPr>
          <w:noProof/>
        </w:rPr>
        <w:t>around the clock</w:t>
      </w:r>
      <w:r w:rsidR="00DD3F0E" w:rsidRPr="00C30018">
        <w:rPr>
          <w:noProof/>
        </w:rPr>
        <w:t xml:space="preserve">. </w:t>
      </w:r>
      <w:r w:rsidR="00DD3F0E">
        <w:rPr>
          <w:noProof/>
        </w:rPr>
        <w:t>In that regard, having a</w:t>
      </w:r>
      <w:r w:rsidR="00DD3F0E" w:rsidRPr="00C30018">
        <w:rPr>
          <w:noProof/>
        </w:rPr>
        <w:t xml:space="preserve"> front desk</w:t>
      </w:r>
      <w:r w:rsidR="00DD3F0E">
        <w:rPr>
          <w:noProof/>
        </w:rPr>
        <w:t xml:space="preserve"> that is</w:t>
      </w:r>
      <w:r w:rsidR="00DD3F0E" w:rsidRPr="00C30018">
        <w:rPr>
          <w:noProof/>
        </w:rPr>
        <w:t xml:space="preserve"> able to screen</w:t>
      </w:r>
      <w:r w:rsidR="00DD3F0E">
        <w:rPr>
          <w:noProof/>
        </w:rPr>
        <w:t>, process</w:t>
      </w:r>
      <w:r w:rsidR="00DD3F0E" w:rsidRPr="00C30018">
        <w:rPr>
          <w:noProof/>
        </w:rPr>
        <w:t xml:space="preserve"> and channel incoming requests</w:t>
      </w:r>
      <w:r w:rsidR="00DD3F0E">
        <w:rPr>
          <w:noProof/>
        </w:rPr>
        <w:t xml:space="preserve"> for information </w:t>
      </w:r>
      <w:r w:rsidR="00DD3F0E" w:rsidRPr="00C30018">
        <w:rPr>
          <w:noProof/>
        </w:rPr>
        <w:t>may increase the</w:t>
      </w:r>
      <w:r w:rsidR="00DD3F0E">
        <w:rPr>
          <w:noProof/>
        </w:rPr>
        <w:t>ir</w:t>
      </w:r>
      <w:r w:rsidR="00DD3F0E" w:rsidRPr="00C30018">
        <w:rPr>
          <w:noProof/>
        </w:rPr>
        <w:t xml:space="preserve"> efficiency</w:t>
      </w:r>
      <w:r w:rsidR="00DD3F0E">
        <w:rPr>
          <w:noProof/>
        </w:rPr>
        <w:t xml:space="preserve"> and effectiveness</w:t>
      </w:r>
      <w:r w:rsidR="00DD3F0E" w:rsidRPr="00C30018">
        <w:rPr>
          <w:noProof/>
        </w:rPr>
        <w:t>.</w:t>
      </w:r>
      <w:r w:rsidR="00DD3F0E">
        <w:rPr>
          <w:noProof/>
        </w:rPr>
        <w:t xml:space="preserve"> Those capabilities should also include having at their disposition, at all times</w:t>
      </w:r>
      <w:r w:rsidR="008C0A00">
        <w:rPr>
          <w:noProof/>
        </w:rPr>
        <w:t>,</w:t>
      </w:r>
      <w:r w:rsidR="00F36DE5">
        <w:rPr>
          <w:noProof/>
        </w:rPr>
        <w:t xml:space="preserve"> </w:t>
      </w:r>
      <w:r w:rsidR="00AB08AF" w:rsidRPr="00C30018">
        <w:rPr>
          <w:noProof/>
        </w:rPr>
        <w:t>judicial authorities competent to grant necessary judicial authorisations</w:t>
      </w:r>
      <w:r w:rsidR="00F55DFA" w:rsidRPr="00C30018">
        <w:rPr>
          <w:noProof/>
        </w:rPr>
        <w:t>.</w:t>
      </w:r>
      <w:r w:rsidR="009666BD" w:rsidRPr="00C30018">
        <w:rPr>
          <w:noProof/>
        </w:rPr>
        <w:t xml:space="preserve"> </w:t>
      </w:r>
      <w:r w:rsidR="00AB08AF" w:rsidRPr="00C30018">
        <w:rPr>
          <w:noProof/>
        </w:rPr>
        <w:t xml:space="preserve">In practice, </w:t>
      </w:r>
      <w:r w:rsidR="00F36DE5">
        <w:rPr>
          <w:noProof/>
        </w:rPr>
        <w:t>this</w:t>
      </w:r>
      <w:r w:rsidR="00577716">
        <w:rPr>
          <w:noProof/>
        </w:rPr>
        <w:t xml:space="preserve"> can be done</w:t>
      </w:r>
      <w:r w:rsidR="00F36DE5">
        <w:rPr>
          <w:noProof/>
        </w:rPr>
        <w:t>, for example,</w:t>
      </w:r>
      <w:r w:rsidR="00577716">
        <w:rPr>
          <w:noProof/>
        </w:rPr>
        <w:t xml:space="preserve"> by</w:t>
      </w:r>
      <w:r w:rsidR="00AB08AF" w:rsidRPr="00C30018">
        <w:rPr>
          <w:noProof/>
        </w:rPr>
        <w:t xml:space="preserve"> ensur</w:t>
      </w:r>
      <w:r w:rsidR="00577716">
        <w:rPr>
          <w:noProof/>
        </w:rPr>
        <w:t>ing</w:t>
      </w:r>
      <w:r w:rsidR="00AB08AF" w:rsidRPr="00C30018">
        <w:rPr>
          <w:noProof/>
        </w:rPr>
        <w:t xml:space="preserve"> the physical presence or the functional availability of </w:t>
      </w:r>
      <w:r w:rsidR="00F36DE5">
        <w:rPr>
          <w:noProof/>
        </w:rPr>
        <w:t xml:space="preserve">such </w:t>
      </w:r>
      <w:r w:rsidR="00AB08AF" w:rsidRPr="00C30018">
        <w:rPr>
          <w:noProof/>
        </w:rPr>
        <w:t>judicial authorit</w:t>
      </w:r>
      <w:r w:rsidR="00A000DD">
        <w:rPr>
          <w:noProof/>
        </w:rPr>
        <w:t>ies</w:t>
      </w:r>
      <w:r w:rsidR="00AB08AF" w:rsidRPr="00C30018">
        <w:rPr>
          <w:noProof/>
        </w:rPr>
        <w:t xml:space="preserve">, either within </w:t>
      </w:r>
      <w:r w:rsidR="00DD3F0E" w:rsidRPr="00C30018">
        <w:rPr>
          <w:noProof/>
        </w:rPr>
        <w:t xml:space="preserve">the premises </w:t>
      </w:r>
      <w:r w:rsidR="00DD3F0E">
        <w:rPr>
          <w:noProof/>
        </w:rPr>
        <w:t xml:space="preserve">of the </w:t>
      </w:r>
      <w:r w:rsidR="00AB08AF" w:rsidRPr="00C30018">
        <w:rPr>
          <w:noProof/>
        </w:rPr>
        <w:t xml:space="preserve">Single Point </w:t>
      </w:r>
      <w:r w:rsidR="00577716">
        <w:rPr>
          <w:noProof/>
        </w:rPr>
        <w:t>o</w:t>
      </w:r>
      <w:r w:rsidR="00AB08AF" w:rsidRPr="00C30018">
        <w:rPr>
          <w:noProof/>
        </w:rPr>
        <w:t xml:space="preserve">f Contact or directly available on call. </w:t>
      </w:r>
    </w:p>
    <w:p w14:paraId="7B6E413A" w14:textId="5116AC08" w:rsidR="008A6FDD" w:rsidRPr="00C30018" w:rsidRDefault="002E4C52" w:rsidP="002E4C52">
      <w:pPr>
        <w:pStyle w:val="ManualConsidrant"/>
        <w:rPr>
          <w:noProof/>
        </w:rPr>
      </w:pPr>
      <w:r w:rsidRPr="002E4C52">
        <w:t>(22)</w:t>
      </w:r>
      <w:r w:rsidRPr="002E4C52">
        <w:tab/>
      </w:r>
      <w:r w:rsidR="00DD3F0E">
        <w:rPr>
          <w:noProof/>
        </w:rPr>
        <w:t>In order for them to be able to effectively perform their coordinating functions under this Directive, the</w:t>
      </w:r>
      <w:r w:rsidR="00DD3F0E" w:rsidRPr="00C30018">
        <w:rPr>
          <w:noProof/>
        </w:rPr>
        <w:t xml:space="preserve"> Single Point</w:t>
      </w:r>
      <w:r w:rsidR="00DD3F0E">
        <w:rPr>
          <w:noProof/>
        </w:rPr>
        <w:t>s</w:t>
      </w:r>
      <w:r w:rsidR="00DD3F0E" w:rsidRPr="00C30018">
        <w:rPr>
          <w:noProof/>
        </w:rPr>
        <w:t xml:space="preserve"> of Contact </w:t>
      </w:r>
      <w:r w:rsidR="00CC06CF">
        <w:rPr>
          <w:noProof/>
        </w:rPr>
        <w:t>should</w:t>
      </w:r>
      <w:r w:rsidR="008A6FDD" w:rsidRPr="00C30018">
        <w:rPr>
          <w:noProof/>
        </w:rPr>
        <w:t xml:space="preserve"> be composed of representatives of national law enforcement authorities whose involvement is necessary for the adequate and rapid exchange of information under this Directive</w:t>
      </w:r>
      <w:r w:rsidR="00F36DE5">
        <w:rPr>
          <w:noProof/>
        </w:rPr>
        <w:t xml:space="preserve">. </w:t>
      </w:r>
      <w:r w:rsidR="00DD3F0E">
        <w:rPr>
          <w:noProof/>
        </w:rPr>
        <w:t>While it is for each Member State to decide on the precise organisation and composition needed to meet that requirement</w:t>
      </w:r>
      <w:r w:rsidR="00DD3F0E" w:rsidRPr="00C30018">
        <w:rPr>
          <w:noProof/>
        </w:rPr>
        <w:t>,</w:t>
      </w:r>
      <w:r w:rsidR="00DD3F0E">
        <w:rPr>
          <w:noProof/>
        </w:rPr>
        <w:t xml:space="preserve"> such representatives may include </w:t>
      </w:r>
      <w:r w:rsidR="008A6FDD" w:rsidRPr="00C30018">
        <w:rPr>
          <w:noProof/>
        </w:rPr>
        <w:t xml:space="preserve">police, customs and other law enforcement authorities competent for preventing, detecting </w:t>
      </w:r>
      <w:r w:rsidR="00A81AFA" w:rsidRPr="00C30018">
        <w:rPr>
          <w:noProof/>
        </w:rPr>
        <w:t>or</w:t>
      </w:r>
      <w:r w:rsidR="008A6FDD" w:rsidRPr="00C30018">
        <w:rPr>
          <w:noProof/>
        </w:rPr>
        <w:t xml:space="preserve"> investigating criminal offences</w:t>
      </w:r>
      <w:r w:rsidR="00071B3A">
        <w:rPr>
          <w:noProof/>
        </w:rPr>
        <w:t xml:space="preserve">, as well as possible </w:t>
      </w:r>
      <w:r w:rsidR="008A6FDD" w:rsidRPr="00C30018">
        <w:rPr>
          <w:noProof/>
        </w:rPr>
        <w:t>contact point</w:t>
      </w:r>
      <w:r w:rsidR="00071B3A">
        <w:rPr>
          <w:noProof/>
        </w:rPr>
        <w:t>s</w:t>
      </w:r>
      <w:r w:rsidR="008A6FDD" w:rsidRPr="00C30018">
        <w:rPr>
          <w:noProof/>
        </w:rPr>
        <w:t xml:space="preserve"> for the regional and bilateral offices</w:t>
      </w:r>
      <w:r w:rsidR="00071B3A">
        <w:rPr>
          <w:noProof/>
        </w:rPr>
        <w:t xml:space="preserve">, </w:t>
      </w:r>
      <w:r w:rsidR="008A6FDD" w:rsidRPr="00C30018">
        <w:rPr>
          <w:noProof/>
        </w:rPr>
        <w:t xml:space="preserve">such as liaison officers and attachés seconded or posted in other Member States and relevant </w:t>
      </w:r>
      <w:r w:rsidR="00577716">
        <w:rPr>
          <w:noProof/>
        </w:rPr>
        <w:t xml:space="preserve">Union </w:t>
      </w:r>
      <w:r w:rsidR="008A6FDD" w:rsidRPr="00C30018">
        <w:rPr>
          <w:noProof/>
        </w:rPr>
        <w:t>law enforcement agencies</w:t>
      </w:r>
      <w:r w:rsidR="00577716">
        <w:rPr>
          <w:noProof/>
        </w:rPr>
        <w:t>, such as</w:t>
      </w:r>
      <w:r w:rsidR="008A6FDD" w:rsidRPr="00C30018">
        <w:rPr>
          <w:noProof/>
        </w:rPr>
        <w:t xml:space="preserve"> Europol. </w:t>
      </w:r>
      <w:r w:rsidR="00DD3F0E">
        <w:rPr>
          <w:noProof/>
        </w:rPr>
        <w:t>However, in the interest of effective coordination, a</w:t>
      </w:r>
      <w:r w:rsidR="00DD3F0E" w:rsidRPr="00C30018">
        <w:rPr>
          <w:noProof/>
        </w:rPr>
        <w:t xml:space="preserve">t minimum, </w:t>
      </w:r>
      <w:r w:rsidR="00DD3F0E">
        <w:rPr>
          <w:noProof/>
        </w:rPr>
        <w:t xml:space="preserve">the Single Points of Contact should be composed of </w:t>
      </w:r>
      <w:r w:rsidR="008A6FDD" w:rsidRPr="00C30018">
        <w:rPr>
          <w:noProof/>
        </w:rPr>
        <w:t xml:space="preserve">representatives of the Europol </w:t>
      </w:r>
      <w:r w:rsidR="00B72149">
        <w:rPr>
          <w:noProof/>
        </w:rPr>
        <w:t>n</w:t>
      </w:r>
      <w:r w:rsidR="008A6FDD" w:rsidRPr="00C30018">
        <w:rPr>
          <w:noProof/>
        </w:rPr>
        <w:t xml:space="preserve">ational </w:t>
      </w:r>
      <w:r w:rsidR="00B72149">
        <w:rPr>
          <w:noProof/>
        </w:rPr>
        <w:t>u</w:t>
      </w:r>
      <w:r w:rsidR="008A6FDD" w:rsidRPr="00C30018">
        <w:rPr>
          <w:noProof/>
        </w:rPr>
        <w:t xml:space="preserve">nit, the SIRENE Bureau, the </w:t>
      </w:r>
      <w:r w:rsidR="00B72149">
        <w:rPr>
          <w:noProof/>
        </w:rPr>
        <w:t>p</w:t>
      </w:r>
      <w:r w:rsidR="008A6FDD" w:rsidRPr="00C30018">
        <w:rPr>
          <w:noProof/>
        </w:rPr>
        <w:t xml:space="preserve">assenger </w:t>
      </w:r>
      <w:r w:rsidR="00B72149">
        <w:rPr>
          <w:noProof/>
        </w:rPr>
        <w:t>i</w:t>
      </w:r>
      <w:r w:rsidR="008A6FDD" w:rsidRPr="00C30018">
        <w:rPr>
          <w:noProof/>
        </w:rPr>
        <w:t xml:space="preserve">nformation </w:t>
      </w:r>
      <w:r w:rsidR="00B72149">
        <w:rPr>
          <w:noProof/>
        </w:rPr>
        <w:t>u</w:t>
      </w:r>
      <w:r w:rsidR="008A6FDD" w:rsidRPr="00C30018">
        <w:rPr>
          <w:noProof/>
        </w:rPr>
        <w:t>nit and the Interpol National Central Bureau</w:t>
      </w:r>
      <w:r w:rsidR="00E921DB">
        <w:rPr>
          <w:noProof/>
        </w:rPr>
        <w:t>,</w:t>
      </w:r>
      <w:r w:rsidR="00706C60">
        <w:rPr>
          <w:noProof/>
        </w:rPr>
        <w:t xml:space="preserve"> as established under the relevant legislation and notwithstanding this Directive not being applicable to information exchanges specifically regulated by such Union legislation</w:t>
      </w:r>
      <w:r w:rsidR="008A6FDD" w:rsidRPr="00C30018">
        <w:rPr>
          <w:noProof/>
        </w:rPr>
        <w:t>.</w:t>
      </w:r>
    </w:p>
    <w:p w14:paraId="757E2B95" w14:textId="7D20096E" w:rsidR="000B053E" w:rsidRPr="00C30018" w:rsidRDefault="002E4C52" w:rsidP="002E4C52">
      <w:pPr>
        <w:pStyle w:val="ManualConsidrant"/>
        <w:rPr>
          <w:noProof/>
        </w:rPr>
      </w:pPr>
      <w:r w:rsidRPr="002E4C52">
        <w:t>(23)</w:t>
      </w:r>
      <w:r w:rsidRPr="002E4C52">
        <w:tab/>
      </w:r>
      <w:r w:rsidR="005302DC" w:rsidRPr="00C30018">
        <w:rPr>
          <w:noProof/>
        </w:rPr>
        <w:t xml:space="preserve">The </w:t>
      </w:r>
      <w:r w:rsidR="000B053E" w:rsidRPr="00C30018">
        <w:rPr>
          <w:noProof/>
        </w:rPr>
        <w:t xml:space="preserve">deployment </w:t>
      </w:r>
      <w:r w:rsidR="00706C60">
        <w:rPr>
          <w:noProof/>
        </w:rPr>
        <w:t xml:space="preserve">and operation </w:t>
      </w:r>
      <w:r w:rsidR="000B053E" w:rsidRPr="00C30018">
        <w:rPr>
          <w:noProof/>
        </w:rPr>
        <w:t>of an electronic single Case Management System</w:t>
      </w:r>
      <w:r w:rsidR="00805F13">
        <w:rPr>
          <w:noProof/>
        </w:rPr>
        <w:t xml:space="preserve"> </w:t>
      </w:r>
      <w:r w:rsidR="00706C60">
        <w:rPr>
          <w:noProof/>
        </w:rPr>
        <w:t xml:space="preserve">having certain minimum functions and capabilities by the Single Points of Contact is necessary to allow them to carry out their tasks under this Directive in </w:t>
      </w:r>
      <w:r w:rsidR="00805F13">
        <w:rPr>
          <w:noProof/>
        </w:rPr>
        <w:t xml:space="preserve">an </w:t>
      </w:r>
      <w:r w:rsidR="005302DC" w:rsidRPr="00C30018">
        <w:rPr>
          <w:noProof/>
        </w:rPr>
        <w:t>effective and efficient</w:t>
      </w:r>
      <w:r w:rsidR="00805F13">
        <w:rPr>
          <w:noProof/>
        </w:rPr>
        <w:t xml:space="preserve"> </w:t>
      </w:r>
      <w:r w:rsidR="00706C60">
        <w:rPr>
          <w:noProof/>
        </w:rPr>
        <w:t>manner, in particular as regards</w:t>
      </w:r>
      <w:r w:rsidR="00706C60" w:rsidRPr="00C30018">
        <w:rPr>
          <w:noProof/>
        </w:rPr>
        <w:t xml:space="preserve"> </w:t>
      </w:r>
      <w:r w:rsidR="005302DC" w:rsidRPr="00C30018">
        <w:rPr>
          <w:noProof/>
        </w:rPr>
        <w:t>information management.</w:t>
      </w:r>
    </w:p>
    <w:p w14:paraId="272637BF" w14:textId="45B2F2F9" w:rsidR="00241DFD" w:rsidRPr="00C30018" w:rsidRDefault="002E4C52" w:rsidP="002E4C52">
      <w:pPr>
        <w:pStyle w:val="ManualConsidrant"/>
        <w:rPr>
          <w:noProof/>
        </w:rPr>
      </w:pPr>
      <w:r w:rsidRPr="002E4C52">
        <w:t>(24)</w:t>
      </w:r>
      <w:r w:rsidRPr="002E4C52">
        <w:tab/>
      </w:r>
      <w:r w:rsidR="00241DFD" w:rsidRPr="00C30018">
        <w:rPr>
          <w:noProof/>
        </w:rPr>
        <w:t xml:space="preserve">To enable the necessary monitoring and evaluation of the application of this Directive, Member States </w:t>
      </w:r>
      <w:r w:rsidR="00CC06CF">
        <w:rPr>
          <w:noProof/>
        </w:rPr>
        <w:t>should</w:t>
      </w:r>
      <w:r w:rsidR="00B425E8" w:rsidRPr="00C30018">
        <w:rPr>
          <w:noProof/>
        </w:rPr>
        <w:t xml:space="preserve"> </w:t>
      </w:r>
      <w:r w:rsidR="00241DFD" w:rsidRPr="00C30018">
        <w:rPr>
          <w:noProof/>
        </w:rPr>
        <w:t xml:space="preserve">be required to collect and annually provide to the Commission certain data. </w:t>
      </w:r>
      <w:r w:rsidR="0025170A">
        <w:rPr>
          <w:noProof/>
        </w:rPr>
        <w:t>This</w:t>
      </w:r>
      <w:r w:rsidR="0025170A" w:rsidRPr="00C30018">
        <w:rPr>
          <w:noProof/>
        </w:rPr>
        <w:t xml:space="preserve"> </w:t>
      </w:r>
      <w:r w:rsidR="00241DFD" w:rsidRPr="00C30018">
        <w:rPr>
          <w:noProof/>
        </w:rPr>
        <w:t xml:space="preserve">requirement </w:t>
      </w:r>
      <w:r w:rsidR="00706C60">
        <w:rPr>
          <w:noProof/>
        </w:rPr>
        <w:t xml:space="preserve">is necessary, in particular, </w:t>
      </w:r>
      <w:r w:rsidR="0025170A">
        <w:rPr>
          <w:noProof/>
        </w:rPr>
        <w:t>to</w:t>
      </w:r>
      <w:r w:rsidR="0025170A" w:rsidRPr="00C30018">
        <w:rPr>
          <w:noProof/>
        </w:rPr>
        <w:t xml:space="preserve"> </w:t>
      </w:r>
      <w:r w:rsidR="00241DFD" w:rsidRPr="00C30018">
        <w:rPr>
          <w:noProof/>
        </w:rPr>
        <w:t xml:space="preserve">remedy the lack of comparable data quantifying </w:t>
      </w:r>
      <w:r w:rsidR="0025170A">
        <w:rPr>
          <w:noProof/>
        </w:rPr>
        <w:t xml:space="preserve">relevant </w:t>
      </w:r>
      <w:r w:rsidR="00241DFD" w:rsidRPr="00C30018">
        <w:rPr>
          <w:noProof/>
        </w:rPr>
        <w:t>information exchange</w:t>
      </w:r>
      <w:r w:rsidR="0025170A">
        <w:rPr>
          <w:noProof/>
        </w:rPr>
        <w:t xml:space="preserve">s and </w:t>
      </w:r>
      <w:r w:rsidR="00241DFD" w:rsidRPr="00C30018">
        <w:rPr>
          <w:noProof/>
        </w:rPr>
        <w:t>also facilitate</w:t>
      </w:r>
      <w:r w:rsidR="0025170A">
        <w:rPr>
          <w:noProof/>
        </w:rPr>
        <w:t>s</w:t>
      </w:r>
      <w:r w:rsidR="00241DFD" w:rsidRPr="00C30018">
        <w:rPr>
          <w:noProof/>
        </w:rPr>
        <w:t xml:space="preserve"> the reporting obligation of the Commission.</w:t>
      </w:r>
    </w:p>
    <w:p w14:paraId="59A1E55E" w14:textId="5FA485EE" w:rsidR="00D134A1" w:rsidRPr="00C30018" w:rsidRDefault="002E4C52" w:rsidP="002E4C52">
      <w:pPr>
        <w:pStyle w:val="ManualConsidrant"/>
        <w:rPr>
          <w:noProof/>
        </w:rPr>
      </w:pPr>
      <w:r w:rsidRPr="002E4C52">
        <w:t>(25)</w:t>
      </w:r>
      <w:r w:rsidRPr="002E4C52">
        <w:tab/>
      </w:r>
      <w:r w:rsidR="009E0F3A" w:rsidRPr="00C30018">
        <w:rPr>
          <w:noProof/>
        </w:rPr>
        <w:t>T</w:t>
      </w:r>
      <w:r w:rsidR="00D134A1" w:rsidRPr="00C30018">
        <w:rPr>
          <w:noProof/>
        </w:rPr>
        <w:t>he cross-border nature of crime and terrorism</w:t>
      </w:r>
      <w:r w:rsidR="009E0F3A" w:rsidRPr="00C30018">
        <w:rPr>
          <w:noProof/>
        </w:rPr>
        <w:t xml:space="preserve"> requires</w:t>
      </w:r>
      <w:r w:rsidR="00D134A1" w:rsidRPr="00C30018">
        <w:rPr>
          <w:noProof/>
        </w:rPr>
        <w:t xml:space="preserve"> Member States to rely on one another</w:t>
      </w:r>
      <w:r w:rsidR="009E0F3A" w:rsidRPr="00C30018">
        <w:rPr>
          <w:noProof/>
        </w:rPr>
        <w:t xml:space="preserve"> to tackle such criminal offences</w:t>
      </w:r>
      <w:r w:rsidR="00D134A1" w:rsidRPr="00C30018">
        <w:rPr>
          <w:noProof/>
        </w:rPr>
        <w:t xml:space="preserve">. </w:t>
      </w:r>
      <w:r w:rsidR="009E0F3A" w:rsidRPr="00C30018">
        <w:rPr>
          <w:noProof/>
        </w:rPr>
        <w:t>Adequate</w:t>
      </w:r>
      <w:r w:rsidR="008B2644">
        <w:rPr>
          <w:noProof/>
        </w:rPr>
        <w:t xml:space="preserve"> </w:t>
      </w:r>
      <w:r w:rsidR="008B2644" w:rsidRPr="00747D4D">
        <w:rPr>
          <w:noProof/>
        </w:rPr>
        <w:t>and rapid</w:t>
      </w:r>
      <w:r w:rsidR="00D134A1" w:rsidRPr="00C30018">
        <w:rPr>
          <w:noProof/>
        </w:rPr>
        <w:t xml:space="preserve"> information flow</w:t>
      </w:r>
      <w:r w:rsidR="0025170A">
        <w:rPr>
          <w:noProof/>
        </w:rPr>
        <w:t>s</w:t>
      </w:r>
      <w:r w:rsidR="00D134A1" w:rsidRPr="00C30018">
        <w:rPr>
          <w:noProof/>
        </w:rPr>
        <w:t xml:space="preserve"> between relevant law enforcement authorities and </w:t>
      </w:r>
      <w:r w:rsidR="008B2644" w:rsidRPr="00747D4D">
        <w:rPr>
          <w:noProof/>
        </w:rPr>
        <w:t>to</w:t>
      </w:r>
      <w:r w:rsidR="008B2644" w:rsidRPr="00C30018">
        <w:rPr>
          <w:noProof/>
        </w:rPr>
        <w:t xml:space="preserve"> </w:t>
      </w:r>
      <w:r w:rsidR="00D134A1" w:rsidRPr="00C30018">
        <w:rPr>
          <w:noProof/>
        </w:rPr>
        <w:t>Europol cannot be sufficiently achieved by the Member States acting alone</w:t>
      </w:r>
      <w:r w:rsidR="009E0F3A" w:rsidRPr="00C30018">
        <w:rPr>
          <w:noProof/>
        </w:rPr>
        <w:t>. Due to</w:t>
      </w:r>
      <w:r w:rsidR="00D134A1" w:rsidRPr="00C30018">
        <w:rPr>
          <w:noProof/>
        </w:rPr>
        <w:t xml:space="preserve"> the scale and effects of the action, </w:t>
      </w:r>
      <w:r w:rsidR="008B2644" w:rsidRPr="00747D4D">
        <w:rPr>
          <w:noProof/>
        </w:rPr>
        <w:t>this can</w:t>
      </w:r>
      <w:r w:rsidR="008B2644">
        <w:rPr>
          <w:noProof/>
        </w:rPr>
        <w:t xml:space="preserve"> </w:t>
      </w:r>
      <w:r w:rsidR="00D134A1" w:rsidRPr="00C30018">
        <w:rPr>
          <w:noProof/>
        </w:rPr>
        <w:t xml:space="preserve">be better achieved at Union level through the establishment of </w:t>
      </w:r>
      <w:r w:rsidR="008B2644" w:rsidRPr="00747D4D">
        <w:rPr>
          <w:noProof/>
        </w:rPr>
        <w:t>common</w:t>
      </w:r>
      <w:r w:rsidR="007614F6" w:rsidRPr="00747D4D">
        <w:rPr>
          <w:noProof/>
        </w:rPr>
        <w:t xml:space="preserve"> </w:t>
      </w:r>
      <w:r w:rsidR="00D134A1" w:rsidRPr="00747D4D">
        <w:rPr>
          <w:noProof/>
        </w:rPr>
        <w:t xml:space="preserve">rules </w:t>
      </w:r>
      <w:r w:rsidR="008B2644" w:rsidRPr="00747D4D">
        <w:rPr>
          <w:noProof/>
        </w:rPr>
        <w:t>on</w:t>
      </w:r>
      <w:r w:rsidR="008B2644" w:rsidRPr="00C30018">
        <w:rPr>
          <w:noProof/>
        </w:rPr>
        <w:t xml:space="preserve"> </w:t>
      </w:r>
      <w:r w:rsidR="00D134A1" w:rsidRPr="00C30018">
        <w:rPr>
          <w:noProof/>
        </w:rPr>
        <w:t>the exchange of information. Thus,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14:paraId="32E937C4" w14:textId="27AAD470" w:rsidR="00D134A1" w:rsidRPr="00C30018" w:rsidRDefault="002E4C52" w:rsidP="002E4C52">
      <w:pPr>
        <w:pStyle w:val="ManualConsidrant"/>
        <w:rPr>
          <w:noProof/>
        </w:rPr>
      </w:pPr>
      <w:r w:rsidRPr="002E4C52">
        <w:t>(26)</w:t>
      </w:r>
      <w:r w:rsidRPr="002E4C52">
        <w:tab/>
      </w:r>
      <w:r w:rsidR="00D134A1" w:rsidRPr="00C30018">
        <w:rPr>
          <w:noProof/>
        </w:rPr>
        <w:t xml:space="preserve">In accordance with Articles 1 and 2 of Protocol No 22 on the position of Denmark, annexed to the Treaty on European Union and to the Treaty on the Functioning of the European Union, Denmark is not taking part in the adoption of this Directive and is not bound by it or subject to its application. Given that this Directive builds upon the Schengen acquis, Denmark </w:t>
      </w:r>
      <w:r w:rsidR="00CC06CF">
        <w:rPr>
          <w:noProof/>
        </w:rPr>
        <w:t>should</w:t>
      </w:r>
      <w:r w:rsidR="00D134A1" w:rsidRPr="00C30018">
        <w:rPr>
          <w:noProof/>
        </w:rPr>
        <w:t>, in accordance with Article 4 of that Protocol, decide within a period of six months after the Council has decided on this Directive whether it will implement it in its national law.</w:t>
      </w:r>
    </w:p>
    <w:p w14:paraId="380D3445" w14:textId="0897191B" w:rsidR="00D134A1" w:rsidRPr="00C30018" w:rsidRDefault="002E4C52" w:rsidP="002E4C52">
      <w:pPr>
        <w:pStyle w:val="ManualConsidrant"/>
        <w:rPr>
          <w:noProof/>
        </w:rPr>
      </w:pPr>
      <w:r w:rsidRPr="002E4C52">
        <w:t>(27)</w:t>
      </w:r>
      <w:r w:rsidRPr="002E4C52">
        <w:tab/>
      </w:r>
      <w:r w:rsidR="00D134A1" w:rsidRPr="00C30018">
        <w:rPr>
          <w:noProof/>
        </w:rPr>
        <w:t>This Directive constitutes a development of the provisions of the Schengen </w:t>
      </w:r>
      <w:r w:rsidR="00D134A1" w:rsidRPr="00866442">
        <w:rPr>
          <w:i/>
          <w:noProof/>
        </w:rPr>
        <w:t>acquis</w:t>
      </w:r>
      <w:r w:rsidR="00D134A1" w:rsidRPr="00C30018">
        <w:rPr>
          <w:noProof/>
        </w:rPr>
        <w:t> in which Ireland takes part, in accordance with Council Decision 2002/192/EC</w:t>
      </w:r>
      <w:r w:rsidR="00D134A1" w:rsidRPr="00AC4331">
        <w:rPr>
          <w:rStyle w:val="FootnoteReference0"/>
          <w:noProof/>
        </w:rPr>
        <w:footnoteReference w:id="64"/>
      </w:r>
      <w:r w:rsidR="00D134A1" w:rsidRPr="00C30018">
        <w:rPr>
          <w:noProof/>
        </w:rPr>
        <w:t>; Ireland is therefore taking part in the adoption of this Directive and is bound by it.</w:t>
      </w:r>
    </w:p>
    <w:p w14:paraId="6D9AFB47" w14:textId="3FFDD9BE" w:rsidR="00D134A1" w:rsidRPr="00C30018" w:rsidRDefault="002E4C52" w:rsidP="002E4C52">
      <w:pPr>
        <w:pStyle w:val="ManualConsidrant"/>
        <w:rPr>
          <w:noProof/>
        </w:rPr>
      </w:pPr>
      <w:r w:rsidRPr="002E4C52">
        <w:t>(28)</w:t>
      </w:r>
      <w:r w:rsidRPr="002E4C52">
        <w:tab/>
      </w:r>
      <w:r w:rsidR="00D134A1" w:rsidRPr="00C30018">
        <w:rPr>
          <w:noProof/>
        </w:rPr>
        <w:t>As regards Iceland and Norway, this Directive constitutes a development of the provisions of the Schengen </w:t>
      </w:r>
      <w:r w:rsidR="00D134A1" w:rsidRPr="00866442">
        <w:rPr>
          <w:i/>
          <w:noProof/>
        </w:rPr>
        <w:t>acquis</w:t>
      </w:r>
      <w:r w:rsidR="00D134A1" w:rsidRPr="00C30018">
        <w:rPr>
          <w:noProof/>
        </w:rPr>
        <w:t> within the meaning of the Agreement concluded by the Council of the European Union and the Republic of Iceland and the Kingdom of Norway concerning the latter</w:t>
      </w:r>
      <w:r w:rsidR="00BF396C">
        <w:rPr>
          <w:noProof/>
        </w:rPr>
        <w:t>'</w:t>
      </w:r>
      <w:r w:rsidR="00D134A1" w:rsidRPr="00C30018">
        <w:rPr>
          <w:noProof/>
        </w:rPr>
        <w:t xml:space="preserve">s association with the implementation, application and development of the Schengen </w:t>
      </w:r>
      <w:r w:rsidR="00D134A1" w:rsidRPr="00866442">
        <w:rPr>
          <w:i/>
          <w:noProof/>
        </w:rPr>
        <w:t>acquis</w:t>
      </w:r>
      <w:r w:rsidR="00A435E4" w:rsidRPr="00866442">
        <w:rPr>
          <w:rStyle w:val="FootnoteReference0"/>
          <w:noProof/>
        </w:rPr>
        <w:footnoteReference w:id="65"/>
      </w:r>
      <w:r w:rsidR="00D134A1" w:rsidRPr="00A435E4">
        <w:rPr>
          <w:rStyle w:val="footnotereference"/>
          <w:noProof/>
        </w:rPr>
        <w:t> </w:t>
      </w:r>
      <w:r w:rsidR="00D134A1" w:rsidRPr="00C30018">
        <w:rPr>
          <w:noProof/>
        </w:rPr>
        <w:t xml:space="preserve">which fall within the area referred to in Article 1, point </w:t>
      </w:r>
      <w:r w:rsidR="00706C60">
        <w:rPr>
          <w:noProof/>
        </w:rPr>
        <w:t xml:space="preserve">H </w:t>
      </w:r>
      <w:r w:rsidR="00D134A1" w:rsidRPr="00C30018">
        <w:rPr>
          <w:noProof/>
        </w:rPr>
        <w:t>of Council Decision 1999/437/EC</w:t>
      </w:r>
      <w:r w:rsidR="00D134A1" w:rsidRPr="00AC4331">
        <w:rPr>
          <w:rStyle w:val="FootnoteReference0"/>
          <w:noProof/>
        </w:rPr>
        <w:footnoteReference w:id="66"/>
      </w:r>
      <w:r w:rsidR="00D134A1" w:rsidRPr="00C30018">
        <w:rPr>
          <w:noProof/>
        </w:rPr>
        <w:t>.</w:t>
      </w:r>
    </w:p>
    <w:p w14:paraId="6DA6C62E" w14:textId="202B80ED" w:rsidR="00D134A1" w:rsidRPr="00C30018" w:rsidRDefault="002E4C52" w:rsidP="002E4C52">
      <w:pPr>
        <w:pStyle w:val="ManualConsidrant"/>
        <w:rPr>
          <w:noProof/>
        </w:rPr>
      </w:pPr>
      <w:r w:rsidRPr="002E4C52">
        <w:t>(29)</w:t>
      </w:r>
      <w:r w:rsidRPr="002E4C52">
        <w:tab/>
      </w:r>
      <w:r w:rsidR="00D134A1" w:rsidRPr="00C30018">
        <w:rPr>
          <w:noProof/>
        </w:rPr>
        <w:t>As regards Switzerland, this Directive constitutes a development of the provisions of the Schengen </w:t>
      </w:r>
      <w:r w:rsidR="00D134A1" w:rsidRPr="00866442">
        <w:rPr>
          <w:i/>
          <w:noProof/>
        </w:rPr>
        <w:t>acquis</w:t>
      </w:r>
      <w:r w:rsidR="00D134A1" w:rsidRPr="00C30018">
        <w:rPr>
          <w:noProof/>
        </w:rPr>
        <w:t> within the meaning of the Agreement between the European Union, the European Community and the Swiss Confederation on the Swiss Confederation's association with the implementation, application and development of the Schengen </w:t>
      </w:r>
      <w:r w:rsidR="00D134A1" w:rsidRPr="00866442">
        <w:rPr>
          <w:i/>
          <w:noProof/>
        </w:rPr>
        <w:t>acquis</w:t>
      </w:r>
      <w:r w:rsidR="00A435E4" w:rsidRPr="003E4619">
        <w:rPr>
          <w:rStyle w:val="FootnoteReference0"/>
          <w:noProof/>
        </w:rPr>
        <w:footnoteReference w:id="67"/>
      </w:r>
      <w:r w:rsidR="00A435E4" w:rsidRPr="003E4619">
        <w:rPr>
          <w:rStyle w:val="footnotereference"/>
          <w:noProof/>
        </w:rPr>
        <w:t> </w:t>
      </w:r>
      <w:r w:rsidR="00D134A1" w:rsidRPr="00C30018">
        <w:rPr>
          <w:noProof/>
        </w:rPr>
        <w:t xml:space="preserve">which fall within the area referred to in Article 1, point </w:t>
      </w:r>
      <w:r w:rsidR="00280118">
        <w:rPr>
          <w:noProof/>
        </w:rPr>
        <w:t>H</w:t>
      </w:r>
      <w:r w:rsidR="00280118" w:rsidRPr="00C30018">
        <w:rPr>
          <w:noProof/>
        </w:rPr>
        <w:t xml:space="preserve"> </w:t>
      </w:r>
      <w:r w:rsidR="00D134A1" w:rsidRPr="00C30018">
        <w:rPr>
          <w:noProof/>
        </w:rPr>
        <w:t>of Decision 1999/437/EC read in conjunction with Article 3 of Council Decision 2008/146/EC</w:t>
      </w:r>
      <w:r w:rsidR="00D134A1" w:rsidRPr="00AC4331">
        <w:rPr>
          <w:rStyle w:val="FootnoteReference0"/>
          <w:noProof/>
        </w:rPr>
        <w:footnoteReference w:id="68"/>
      </w:r>
      <w:r w:rsidR="00D134A1" w:rsidRPr="00C30018">
        <w:rPr>
          <w:rStyle w:val="footnotereference"/>
          <w:noProof/>
        </w:rPr>
        <w:t> </w:t>
      </w:r>
      <w:r w:rsidR="00D134A1" w:rsidRPr="00C30018">
        <w:rPr>
          <w:noProof/>
        </w:rPr>
        <w:t>and with Article 3 of Council Decision 2008/149/JHA</w:t>
      </w:r>
      <w:r w:rsidR="00D134A1" w:rsidRPr="00AC4331">
        <w:rPr>
          <w:rStyle w:val="FootnoteReference0"/>
          <w:noProof/>
        </w:rPr>
        <w:footnoteReference w:id="69"/>
      </w:r>
      <w:r w:rsidR="00D134A1" w:rsidRPr="00C30018">
        <w:rPr>
          <w:noProof/>
        </w:rPr>
        <w:t>.</w:t>
      </w:r>
    </w:p>
    <w:p w14:paraId="320DC86D" w14:textId="7D6ED698" w:rsidR="00D134A1" w:rsidRPr="00C30018" w:rsidRDefault="002E4C52" w:rsidP="002E4C52">
      <w:pPr>
        <w:pStyle w:val="ManualConsidrant"/>
        <w:rPr>
          <w:noProof/>
        </w:rPr>
      </w:pPr>
      <w:r w:rsidRPr="002E4C52">
        <w:t>(30)</w:t>
      </w:r>
      <w:r w:rsidRPr="002E4C52">
        <w:tab/>
      </w:r>
      <w:r w:rsidR="00D134A1" w:rsidRPr="00C30018">
        <w:rPr>
          <w:noProof/>
        </w:rPr>
        <w:t>As regards Liechtenstein, this Directive constitutes a development of the provisions of the Schengen </w:t>
      </w:r>
      <w:r w:rsidR="00D134A1" w:rsidRPr="00866442">
        <w:rPr>
          <w:i/>
          <w:noProof/>
        </w:rPr>
        <w:t>acquis</w:t>
      </w:r>
      <w:r w:rsidR="00D134A1" w:rsidRPr="00C30018">
        <w:rPr>
          <w:noProof/>
        </w:rPr>
        <w:t>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D134A1" w:rsidRPr="00866442">
        <w:rPr>
          <w:i/>
          <w:noProof/>
        </w:rPr>
        <w:t>acquis</w:t>
      </w:r>
      <w:r w:rsidR="00A435E4" w:rsidRPr="003E4619">
        <w:rPr>
          <w:rStyle w:val="FootnoteReference0"/>
          <w:noProof/>
        </w:rPr>
        <w:footnoteReference w:id="70"/>
      </w:r>
      <w:r w:rsidR="00D134A1" w:rsidRPr="00C30018">
        <w:rPr>
          <w:rStyle w:val="footnotereference"/>
          <w:noProof/>
        </w:rPr>
        <w:t> </w:t>
      </w:r>
      <w:r w:rsidR="00D134A1" w:rsidRPr="00C30018">
        <w:rPr>
          <w:noProof/>
        </w:rPr>
        <w:t xml:space="preserve">which fall within the area referred to in Article 1, point </w:t>
      </w:r>
      <w:r w:rsidR="00706C60">
        <w:rPr>
          <w:noProof/>
        </w:rPr>
        <w:t>H</w:t>
      </w:r>
      <w:r w:rsidR="00706C60" w:rsidDel="00706C60">
        <w:rPr>
          <w:noProof/>
        </w:rPr>
        <w:t xml:space="preserve"> </w:t>
      </w:r>
      <w:r w:rsidR="00D134A1" w:rsidRPr="00C30018">
        <w:rPr>
          <w:noProof/>
        </w:rPr>
        <w:t>of Decision 1999/437/EC read in conjunction with Article 3 of Council Decision 2011/350/EU</w:t>
      </w:r>
      <w:r w:rsidR="00D134A1" w:rsidRPr="00AC4331">
        <w:rPr>
          <w:rStyle w:val="FootnoteReference0"/>
          <w:noProof/>
        </w:rPr>
        <w:footnoteReference w:id="71"/>
      </w:r>
      <w:r w:rsidR="00D134A1" w:rsidRPr="00C30018">
        <w:rPr>
          <w:rStyle w:val="footnotereference"/>
          <w:noProof/>
        </w:rPr>
        <w:t> </w:t>
      </w:r>
      <w:r w:rsidR="00D134A1" w:rsidRPr="00C30018">
        <w:rPr>
          <w:noProof/>
        </w:rPr>
        <w:t>and with Article 3 of Council Decision 2011/349/EU</w:t>
      </w:r>
      <w:r w:rsidR="00D134A1" w:rsidRPr="00AC4331">
        <w:rPr>
          <w:rStyle w:val="FootnoteReference0"/>
          <w:noProof/>
        </w:rPr>
        <w:footnoteReference w:id="72"/>
      </w:r>
      <w:r w:rsidR="00D72CE3">
        <w:rPr>
          <w:noProof/>
        </w:rPr>
        <w:t>,</w:t>
      </w:r>
    </w:p>
    <w:p w14:paraId="1EAF0479" w14:textId="43B1E6DA" w:rsidR="00AF44C3" w:rsidRDefault="00AF44C3" w:rsidP="00AF44C3">
      <w:pPr>
        <w:pStyle w:val="Formuledadoption"/>
        <w:rPr>
          <w:noProof/>
        </w:rPr>
      </w:pPr>
      <w:r w:rsidRPr="00AC7E92">
        <w:rPr>
          <w:noProof/>
        </w:rPr>
        <w:t>HAVE ADOPTED THIS DIRECTIVE:</w:t>
      </w:r>
    </w:p>
    <w:p w14:paraId="5AA7735C" w14:textId="05DB7D83" w:rsidR="000A1794" w:rsidRPr="00414504" w:rsidRDefault="006177C0" w:rsidP="00414504">
      <w:pPr>
        <w:pStyle w:val="ChapterTitle"/>
        <w:spacing w:before="360"/>
        <w:rPr>
          <w:noProof/>
          <w:sz w:val="24"/>
        </w:rPr>
      </w:pPr>
      <w:r w:rsidRPr="00414504">
        <w:rPr>
          <w:noProof/>
          <w:sz w:val="24"/>
        </w:rPr>
        <w:t xml:space="preserve">Chapter </w:t>
      </w:r>
      <w:r w:rsidR="007F044A" w:rsidRPr="00414504">
        <w:rPr>
          <w:noProof/>
          <w:sz w:val="24"/>
        </w:rPr>
        <w:t>I</w:t>
      </w:r>
    </w:p>
    <w:p w14:paraId="2A545F60" w14:textId="7306FD6E" w:rsidR="007F044A" w:rsidRPr="00414504" w:rsidRDefault="007F044A" w:rsidP="00F61E92">
      <w:pPr>
        <w:pStyle w:val="ChapterTitle"/>
        <w:rPr>
          <w:noProof/>
          <w:sz w:val="24"/>
        </w:rPr>
      </w:pPr>
      <w:r w:rsidRPr="00414504">
        <w:rPr>
          <w:noProof/>
          <w:sz w:val="24"/>
        </w:rPr>
        <w:t>General provisions</w:t>
      </w:r>
    </w:p>
    <w:p w14:paraId="650174E6" w14:textId="77777777" w:rsidR="00394A8F" w:rsidRDefault="00394A8F" w:rsidP="000A1794">
      <w:pPr>
        <w:pStyle w:val="Titrearticle"/>
        <w:spacing w:after="0"/>
        <w:rPr>
          <w:noProof/>
        </w:rPr>
      </w:pPr>
      <w:r w:rsidRPr="00AC7E92">
        <w:rPr>
          <w:noProof/>
        </w:rPr>
        <w:t>Article 1</w:t>
      </w:r>
    </w:p>
    <w:p w14:paraId="03EE8BA7" w14:textId="0C5EBA0C" w:rsidR="00686EFF" w:rsidRDefault="00686EFF" w:rsidP="00686EFF">
      <w:pPr>
        <w:spacing w:before="0"/>
        <w:jc w:val="center"/>
        <w:rPr>
          <w:b/>
          <w:i/>
          <w:noProof/>
        </w:rPr>
      </w:pPr>
      <w:r w:rsidRPr="00737179">
        <w:rPr>
          <w:b/>
          <w:i/>
          <w:noProof/>
        </w:rPr>
        <w:t>Subject matter and scope</w:t>
      </w:r>
      <w:r w:rsidR="003A53F3">
        <w:rPr>
          <w:b/>
          <w:i/>
          <w:noProof/>
        </w:rPr>
        <w:t xml:space="preserve"> </w:t>
      </w:r>
    </w:p>
    <w:p w14:paraId="127729C4" w14:textId="06837D69" w:rsidR="00171234" w:rsidRPr="00AC4331" w:rsidRDefault="002E4C52" w:rsidP="002E4C52">
      <w:pPr>
        <w:pStyle w:val="ManualNumPar1"/>
        <w:rPr>
          <w:noProof/>
        </w:rPr>
      </w:pPr>
      <w:r w:rsidRPr="002E4C52">
        <w:t>1.</w:t>
      </w:r>
      <w:r w:rsidRPr="002E4C52">
        <w:tab/>
      </w:r>
      <w:r w:rsidR="00686EFF">
        <w:rPr>
          <w:noProof/>
        </w:rPr>
        <w:t xml:space="preserve">This Directive </w:t>
      </w:r>
      <w:r w:rsidR="00975351">
        <w:rPr>
          <w:noProof/>
        </w:rPr>
        <w:t xml:space="preserve">establishes rules for </w:t>
      </w:r>
      <w:r w:rsidR="0053560A">
        <w:rPr>
          <w:noProof/>
        </w:rPr>
        <w:t xml:space="preserve">the exchange of information between </w:t>
      </w:r>
      <w:r w:rsidR="005C2854">
        <w:rPr>
          <w:noProof/>
        </w:rPr>
        <w:t xml:space="preserve">the </w:t>
      </w:r>
      <w:r w:rsidR="00686EFF">
        <w:rPr>
          <w:noProof/>
        </w:rPr>
        <w:t xml:space="preserve">law enforcement authorities </w:t>
      </w:r>
      <w:r w:rsidR="005C2854">
        <w:rPr>
          <w:noProof/>
        </w:rPr>
        <w:t>of the Member States</w:t>
      </w:r>
      <w:r w:rsidR="0056655C">
        <w:rPr>
          <w:noProof/>
        </w:rPr>
        <w:t xml:space="preserve"> </w:t>
      </w:r>
      <w:r w:rsidR="0056655C" w:rsidRPr="00232257">
        <w:rPr>
          <w:noProof/>
        </w:rPr>
        <w:t>where necessary</w:t>
      </w:r>
      <w:r w:rsidR="005C2854">
        <w:rPr>
          <w:noProof/>
        </w:rPr>
        <w:t xml:space="preserve"> </w:t>
      </w:r>
      <w:r w:rsidR="00686EFF">
        <w:rPr>
          <w:noProof/>
        </w:rPr>
        <w:t xml:space="preserve">for the purpose of </w:t>
      </w:r>
      <w:r w:rsidR="006D417E" w:rsidRPr="006538F8">
        <w:rPr>
          <w:noProof/>
          <w:color w:val="000000"/>
          <w:szCs w:val="24"/>
        </w:rPr>
        <w:t>preventing</w:t>
      </w:r>
      <w:r w:rsidR="00401C63" w:rsidRPr="006538F8">
        <w:rPr>
          <w:noProof/>
          <w:color w:val="000000"/>
          <w:szCs w:val="24"/>
        </w:rPr>
        <w:t>,</w:t>
      </w:r>
      <w:r w:rsidR="003957FE" w:rsidRPr="006538F8">
        <w:rPr>
          <w:noProof/>
          <w:color w:val="000000"/>
          <w:szCs w:val="24"/>
        </w:rPr>
        <w:t xml:space="preserve"> </w:t>
      </w:r>
      <w:r w:rsidR="006D417E" w:rsidRPr="006538F8">
        <w:rPr>
          <w:noProof/>
          <w:color w:val="000000"/>
          <w:szCs w:val="24"/>
        </w:rPr>
        <w:t xml:space="preserve">detecting </w:t>
      </w:r>
      <w:r w:rsidR="001834B5" w:rsidRPr="006538F8">
        <w:rPr>
          <w:noProof/>
          <w:color w:val="000000"/>
          <w:szCs w:val="24"/>
        </w:rPr>
        <w:t>or</w:t>
      </w:r>
      <w:r w:rsidR="00423840" w:rsidRPr="006538F8">
        <w:rPr>
          <w:noProof/>
          <w:color w:val="000000"/>
          <w:szCs w:val="24"/>
        </w:rPr>
        <w:t xml:space="preserve"> </w:t>
      </w:r>
      <w:r w:rsidR="00401C63" w:rsidRPr="006538F8">
        <w:rPr>
          <w:noProof/>
          <w:color w:val="000000"/>
          <w:szCs w:val="24"/>
        </w:rPr>
        <w:t xml:space="preserve">investigating </w:t>
      </w:r>
      <w:r w:rsidR="006D417E" w:rsidRPr="006538F8">
        <w:rPr>
          <w:noProof/>
          <w:color w:val="000000"/>
          <w:szCs w:val="24"/>
        </w:rPr>
        <w:t>criminal offences</w:t>
      </w:r>
      <w:r w:rsidR="002240AF">
        <w:rPr>
          <w:noProof/>
          <w:color w:val="000000"/>
          <w:szCs w:val="24"/>
        </w:rPr>
        <w:t>.</w:t>
      </w:r>
    </w:p>
    <w:p w14:paraId="3E498F35" w14:textId="7726CF0B" w:rsidR="00171234" w:rsidRPr="00E368ED" w:rsidRDefault="00171234" w:rsidP="0095432A">
      <w:pPr>
        <w:pStyle w:val="ListParagraph"/>
        <w:spacing w:before="0"/>
        <w:ind w:left="272" w:firstLine="578"/>
        <w:contextualSpacing w:val="0"/>
        <w:rPr>
          <w:noProof/>
          <w:color w:val="000000"/>
          <w:szCs w:val="24"/>
        </w:rPr>
      </w:pPr>
      <w:r w:rsidRPr="00E368ED">
        <w:rPr>
          <w:noProof/>
          <w:color w:val="000000"/>
          <w:szCs w:val="24"/>
        </w:rPr>
        <w:t>In particular, this Directive establishes</w:t>
      </w:r>
      <w:r w:rsidR="00CC2587" w:rsidRPr="00E368ED">
        <w:rPr>
          <w:noProof/>
          <w:color w:val="000000"/>
          <w:szCs w:val="24"/>
        </w:rPr>
        <w:t xml:space="preserve"> rules on</w:t>
      </w:r>
      <w:r w:rsidRPr="00E368ED">
        <w:rPr>
          <w:noProof/>
          <w:color w:val="000000"/>
          <w:szCs w:val="24"/>
        </w:rPr>
        <w:t>:</w:t>
      </w:r>
    </w:p>
    <w:p w14:paraId="1A45BBBD" w14:textId="4C9EE351" w:rsidR="00171234" w:rsidRPr="00AC4331" w:rsidRDefault="002E4C52" w:rsidP="002E4C52">
      <w:pPr>
        <w:pStyle w:val="Point1"/>
        <w:rPr>
          <w:noProof/>
        </w:rPr>
      </w:pPr>
      <w:r w:rsidRPr="002E4C52">
        <w:t>(a)</w:t>
      </w:r>
      <w:r w:rsidRPr="002E4C52">
        <w:tab/>
      </w:r>
      <w:r w:rsidR="00CC2587" w:rsidRPr="00E368ED">
        <w:rPr>
          <w:noProof/>
        </w:rPr>
        <w:t xml:space="preserve">requests for information submitted to </w:t>
      </w:r>
      <w:r w:rsidR="00171234" w:rsidRPr="00E368ED">
        <w:rPr>
          <w:noProof/>
        </w:rPr>
        <w:t xml:space="preserve">the Single Points of Contact </w:t>
      </w:r>
      <w:r w:rsidR="00F769AF">
        <w:rPr>
          <w:noProof/>
        </w:rPr>
        <w:t xml:space="preserve">established or </w:t>
      </w:r>
      <w:r w:rsidR="00CC2587" w:rsidRPr="00E368ED">
        <w:rPr>
          <w:noProof/>
        </w:rPr>
        <w:t xml:space="preserve">designated by </w:t>
      </w:r>
      <w:r w:rsidR="00171234" w:rsidRPr="00E368ED">
        <w:rPr>
          <w:noProof/>
        </w:rPr>
        <w:t>the Member States, in</w:t>
      </w:r>
      <w:r w:rsidR="00CC2587" w:rsidRPr="00E368ED">
        <w:rPr>
          <w:noProof/>
        </w:rPr>
        <w:t xml:space="preserve"> particular on the content of such requests, mandatory time limits for providing the requested information, reasons for refusals </w:t>
      </w:r>
      <w:r w:rsidR="000255B2">
        <w:rPr>
          <w:noProof/>
        </w:rPr>
        <w:t>of such requests</w:t>
      </w:r>
      <w:r w:rsidR="000255B2" w:rsidRPr="00E368ED">
        <w:rPr>
          <w:noProof/>
        </w:rPr>
        <w:t xml:space="preserve"> </w:t>
      </w:r>
      <w:r w:rsidR="00CC2587" w:rsidRPr="00E368ED">
        <w:rPr>
          <w:noProof/>
        </w:rPr>
        <w:t xml:space="preserve">and the channel </w:t>
      </w:r>
      <w:r w:rsidR="00E93444" w:rsidRPr="00E368ED">
        <w:rPr>
          <w:noProof/>
        </w:rPr>
        <w:t xml:space="preserve">of communication </w:t>
      </w:r>
      <w:r w:rsidR="00CC2587" w:rsidRPr="00E368ED">
        <w:rPr>
          <w:noProof/>
        </w:rPr>
        <w:t>to be used in connection to such requests;</w:t>
      </w:r>
    </w:p>
    <w:p w14:paraId="73C11F30" w14:textId="7CD9DA76" w:rsidR="005358B3" w:rsidRPr="00AC4331" w:rsidRDefault="002E4C52" w:rsidP="002E4C52">
      <w:pPr>
        <w:pStyle w:val="Point1"/>
        <w:rPr>
          <w:noProof/>
        </w:rPr>
      </w:pPr>
      <w:r w:rsidRPr="002E4C52">
        <w:t>(b)</w:t>
      </w:r>
      <w:r w:rsidRPr="002E4C52">
        <w:tab/>
      </w:r>
      <w:r w:rsidR="00171234" w:rsidRPr="00AC4331">
        <w:rPr>
          <w:noProof/>
        </w:rPr>
        <w:t xml:space="preserve">the own-initiative provision of </w:t>
      </w:r>
      <w:r w:rsidR="00E93444" w:rsidRPr="00AC4331">
        <w:rPr>
          <w:noProof/>
        </w:rPr>
        <w:t xml:space="preserve">relevant </w:t>
      </w:r>
      <w:r w:rsidR="00171234" w:rsidRPr="00AC4331">
        <w:rPr>
          <w:noProof/>
        </w:rPr>
        <w:t xml:space="preserve">information to </w:t>
      </w:r>
      <w:r w:rsidR="00CC2587" w:rsidRPr="00AC4331">
        <w:rPr>
          <w:noProof/>
        </w:rPr>
        <w:t xml:space="preserve">Single Points of Contact </w:t>
      </w:r>
      <w:r w:rsidR="00487A7E" w:rsidRPr="00AC4331">
        <w:rPr>
          <w:noProof/>
        </w:rPr>
        <w:t xml:space="preserve">or to the law enforcement </w:t>
      </w:r>
      <w:r w:rsidR="006D1D9D" w:rsidRPr="00AC4331">
        <w:rPr>
          <w:noProof/>
        </w:rPr>
        <w:t xml:space="preserve">authorities </w:t>
      </w:r>
      <w:r w:rsidR="00CC2587" w:rsidRPr="00AC4331">
        <w:rPr>
          <w:noProof/>
        </w:rPr>
        <w:t xml:space="preserve">of </w:t>
      </w:r>
      <w:r w:rsidR="00487A7E" w:rsidRPr="00AC4331">
        <w:rPr>
          <w:noProof/>
        </w:rPr>
        <w:t>other</w:t>
      </w:r>
      <w:r w:rsidR="00CC2587" w:rsidRPr="00AC4331">
        <w:rPr>
          <w:noProof/>
        </w:rPr>
        <w:t xml:space="preserve"> Member States, in</w:t>
      </w:r>
      <w:r w:rsidR="00E93444" w:rsidRPr="00AC4331">
        <w:rPr>
          <w:noProof/>
        </w:rPr>
        <w:t xml:space="preserve"> particular the situations and the manner in which such information is to be provided; </w:t>
      </w:r>
    </w:p>
    <w:p w14:paraId="591E9FD8" w14:textId="17218AE3" w:rsidR="00103C40" w:rsidRPr="00AC4331" w:rsidRDefault="002E4C52" w:rsidP="002E4C52">
      <w:pPr>
        <w:pStyle w:val="Point1"/>
        <w:rPr>
          <w:noProof/>
        </w:rPr>
      </w:pPr>
      <w:r w:rsidRPr="002E4C52">
        <w:t>(c)</w:t>
      </w:r>
      <w:r w:rsidRPr="002E4C52">
        <w:tab/>
      </w:r>
      <w:r w:rsidR="00171234" w:rsidRPr="00AC4331">
        <w:rPr>
          <w:noProof/>
        </w:rPr>
        <w:t>the</w:t>
      </w:r>
      <w:r w:rsidR="00CC2587" w:rsidRPr="00AC4331">
        <w:rPr>
          <w:noProof/>
        </w:rPr>
        <w:t xml:space="preserve"> channel of communication to be used for </w:t>
      </w:r>
      <w:r w:rsidR="00487A7E" w:rsidRPr="00AC4331">
        <w:rPr>
          <w:noProof/>
        </w:rPr>
        <w:t xml:space="preserve">all exchanges of information </w:t>
      </w:r>
      <w:r w:rsidR="00CC2587" w:rsidRPr="00AC4331">
        <w:rPr>
          <w:noProof/>
        </w:rPr>
        <w:t xml:space="preserve">and the information to be provided to the Single Points of Contact in relation to </w:t>
      </w:r>
      <w:r w:rsidR="00171234" w:rsidRPr="00AC4331">
        <w:rPr>
          <w:noProof/>
        </w:rPr>
        <w:t>exchange</w:t>
      </w:r>
      <w:r w:rsidR="00CC2587" w:rsidRPr="00AC4331">
        <w:rPr>
          <w:noProof/>
        </w:rPr>
        <w:t>s</w:t>
      </w:r>
      <w:r w:rsidR="00171234" w:rsidRPr="00AC4331">
        <w:rPr>
          <w:noProof/>
        </w:rPr>
        <w:t xml:space="preserve"> of information directly between the law enforcement authorities of the Member States</w:t>
      </w:r>
      <w:r w:rsidR="00211B02">
        <w:rPr>
          <w:noProof/>
        </w:rPr>
        <w:t>;</w:t>
      </w:r>
    </w:p>
    <w:p w14:paraId="1678E2A0" w14:textId="37501AD1" w:rsidR="00171234" w:rsidRPr="00AC4331" w:rsidRDefault="002E4C52" w:rsidP="002E4C52">
      <w:pPr>
        <w:pStyle w:val="Point1"/>
        <w:rPr>
          <w:noProof/>
        </w:rPr>
      </w:pPr>
      <w:r w:rsidRPr="002E4C52">
        <w:t>(d)</w:t>
      </w:r>
      <w:r w:rsidRPr="002E4C52">
        <w:tab/>
      </w:r>
      <w:r w:rsidR="00103C40" w:rsidRPr="00AC4331">
        <w:rPr>
          <w:noProof/>
        </w:rPr>
        <w:t xml:space="preserve">the establishment, </w:t>
      </w:r>
      <w:r w:rsidR="000255B2">
        <w:rPr>
          <w:noProof/>
        </w:rPr>
        <w:t>tasks</w:t>
      </w:r>
      <w:r w:rsidR="00103C40" w:rsidRPr="00F514E3">
        <w:rPr>
          <w:noProof/>
        </w:rPr>
        <w:t>,</w:t>
      </w:r>
      <w:r w:rsidR="00103C40" w:rsidRPr="00AC4331">
        <w:rPr>
          <w:noProof/>
        </w:rPr>
        <w:t xml:space="preserve"> composition and capabilities of the Single Point of Contact, including on </w:t>
      </w:r>
      <w:r w:rsidR="008F65E6">
        <w:rPr>
          <w:noProof/>
        </w:rPr>
        <w:t>the</w:t>
      </w:r>
      <w:r w:rsidR="008F65E6" w:rsidRPr="00AC4331">
        <w:rPr>
          <w:noProof/>
        </w:rPr>
        <w:t xml:space="preserve"> </w:t>
      </w:r>
      <w:r w:rsidR="00103C40" w:rsidRPr="00AC4331">
        <w:rPr>
          <w:noProof/>
        </w:rPr>
        <w:t>deployment of a single electronic Case Management System for the fulfilment of its tasks.</w:t>
      </w:r>
      <w:r w:rsidR="00CC2587" w:rsidRPr="00AC4331">
        <w:rPr>
          <w:noProof/>
        </w:rPr>
        <w:t xml:space="preserve"> </w:t>
      </w:r>
      <w:r w:rsidR="00171234" w:rsidRPr="00AC4331">
        <w:rPr>
          <w:noProof/>
        </w:rPr>
        <w:t xml:space="preserve"> </w:t>
      </w:r>
    </w:p>
    <w:p w14:paraId="07547AF3" w14:textId="7D977AD4" w:rsidR="00686EFF" w:rsidRPr="00AC4331" w:rsidRDefault="002E4C52" w:rsidP="002E4C52">
      <w:pPr>
        <w:pStyle w:val="ManualNumPar1"/>
        <w:rPr>
          <w:noProof/>
        </w:rPr>
      </w:pPr>
      <w:r w:rsidRPr="002E4C52">
        <w:t>2.</w:t>
      </w:r>
      <w:r w:rsidRPr="002E4C52">
        <w:tab/>
      </w:r>
      <w:r w:rsidR="00F61E92">
        <w:rPr>
          <w:noProof/>
        </w:rPr>
        <w:t>T</w:t>
      </w:r>
      <w:r w:rsidR="008555C0" w:rsidRPr="00C31E46">
        <w:rPr>
          <w:noProof/>
        </w:rPr>
        <w:t>his Directive shall not apply to exchanges</w:t>
      </w:r>
      <w:r w:rsidR="001C6825" w:rsidRPr="00C31E46">
        <w:rPr>
          <w:noProof/>
        </w:rPr>
        <w:t xml:space="preserve"> of information</w:t>
      </w:r>
      <w:r w:rsidR="008555C0" w:rsidRPr="00C31E46">
        <w:rPr>
          <w:noProof/>
        </w:rPr>
        <w:t xml:space="preserve"> between the law enforcement authorities of the Member States for the purpose of preventing, detecting or investigating criminal offences</w:t>
      </w:r>
      <w:r w:rsidR="001C6825" w:rsidRPr="00C31E46">
        <w:rPr>
          <w:noProof/>
        </w:rPr>
        <w:t xml:space="preserve"> that are specifically regulated </w:t>
      </w:r>
      <w:r w:rsidR="00C21143">
        <w:rPr>
          <w:noProof/>
        </w:rPr>
        <w:t>by</w:t>
      </w:r>
      <w:r w:rsidR="00C21143" w:rsidRPr="00C31E46">
        <w:rPr>
          <w:noProof/>
        </w:rPr>
        <w:t xml:space="preserve"> </w:t>
      </w:r>
      <w:r w:rsidR="001C6825" w:rsidRPr="00C31E46">
        <w:rPr>
          <w:noProof/>
        </w:rPr>
        <w:t>other acts of Union law</w:t>
      </w:r>
      <w:r w:rsidR="007A5CC1">
        <w:rPr>
          <w:noProof/>
        </w:rPr>
        <w:t>.</w:t>
      </w:r>
    </w:p>
    <w:p w14:paraId="1859BBCE" w14:textId="659E1BA5" w:rsidR="003A53F3" w:rsidRPr="00370E2C" w:rsidRDefault="002E4C52" w:rsidP="002E4C52">
      <w:pPr>
        <w:pStyle w:val="ManualNumPar1"/>
        <w:rPr>
          <w:noProof/>
        </w:rPr>
      </w:pPr>
      <w:r w:rsidRPr="002E4C52">
        <w:t>3.</w:t>
      </w:r>
      <w:r w:rsidRPr="002E4C52">
        <w:tab/>
      </w:r>
      <w:r w:rsidR="003A53F3" w:rsidRPr="00370E2C">
        <w:rPr>
          <w:noProof/>
        </w:rPr>
        <w:t>This Directive does not impose any obligation on Member States to:</w:t>
      </w:r>
    </w:p>
    <w:p w14:paraId="6508708F" w14:textId="2C13FCA9" w:rsidR="00506880" w:rsidRDefault="007B72BC" w:rsidP="00514A9C">
      <w:pPr>
        <w:ind w:left="1418" w:hanging="567"/>
        <w:rPr>
          <w:noProof/>
        </w:rPr>
      </w:pPr>
      <w:r>
        <w:rPr>
          <w:noProof/>
        </w:rPr>
        <w:t xml:space="preserve">(a) </w:t>
      </w:r>
      <w:r>
        <w:rPr>
          <w:noProof/>
        </w:rPr>
        <w:tab/>
      </w:r>
      <w:r w:rsidR="003A53F3" w:rsidRPr="00370E2C">
        <w:rPr>
          <w:noProof/>
        </w:rPr>
        <w:t xml:space="preserve">obtain information by means of coercive measures, </w:t>
      </w:r>
      <w:r w:rsidR="00EF0A87">
        <w:rPr>
          <w:noProof/>
        </w:rPr>
        <w:t>taken</w:t>
      </w:r>
      <w:r w:rsidR="00EF0A87" w:rsidRPr="00370E2C">
        <w:rPr>
          <w:noProof/>
        </w:rPr>
        <w:t xml:space="preserve"> </w:t>
      </w:r>
      <w:r w:rsidR="003A53F3" w:rsidRPr="00370E2C">
        <w:rPr>
          <w:noProof/>
        </w:rPr>
        <w:t xml:space="preserve">in accordance with national law, </w:t>
      </w:r>
      <w:r w:rsidR="003A53F3">
        <w:rPr>
          <w:noProof/>
        </w:rPr>
        <w:t>for the purpose of providing it to the law enforcement authorities of other Member States</w:t>
      </w:r>
      <w:r w:rsidR="003A53F3" w:rsidRPr="00370E2C">
        <w:rPr>
          <w:noProof/>
        </w:rPr>
        <w:t>;</w:t>
      </w:r>
    </w:p>
    <w:p w14:paraId="1D97C952" w14:textId="7ED5B8B6" w:rsidR="007B72BC" w:rsidRDefault="007B72BC" w:rsidP="00514A9C">
      <w:pPr>
        <w:ind w:left="851"/>
        <w:rPr>
          <w:noProof/>
        </w:rPr>
      </w:pPr>
      <w:r>
        <w:rPr>
          <w:noProof/>
        </w:rPr>
        <w:t xml:space="preserve">(b) </w:t>
      </w:r>
      <w:r>
        <w:rPr>
          <w:noProof/>
        </w:rPr>
        <w:tab/>
      </w:r>
      <w:r w:rsidRPr="00370E2C">
        <w:rPr>
          <w:noProof/>
        </w:rPr>
        <w:t xml:space="preserve">store information for </w:t>
      </w:r>
      <w:r>
        <w:rPr>
          <w:noProof/>
        </w:rPr>
        <w:t xml:space="preserve">the </w:t>
      </w:r>
      <w:r w:rsidRPr="00370E2C">
        <w:rPr>
          <w:noProof/>
        </w:rPr>
        <w:t>purpose</w:t>
      </w:r>
      <w:r>
        <w:rPr>
          <w:noProof/>
        </w:rPr>
        <w:t xml:space="preserve"> referred to in point (a);</w:t>
      </w:r>
    </w:p>
    <w:p w14:paraId="4F0DE778" w14:textId="1BFD27EF" w:rsidR="007B72BC" w:rsidRDefault="007B72BC" w:rsidP="00514A9C">
      <w:pPr>
        <w:ind w:left="851"/>
        <w:rPr>
          <w:noProof/>
        </w:rPr>
      </w:pPr>
      <w:r>
        <w:rPr>
          <w:noProof/>
        </w:rPr>
        <w:t>(c)</w:t>
      </w:r>
      <w:r w:rsidRPr="007B72BC">
        <w:rPr>
          <w:noProof/>
        </w:rPr>
        <w:t xml:space="preserve"> </w:t>
      </w:r>
      <w:r>
        <w:rPr>
          <w:noProof/>
        </w:rPr>
        <w:tab/>
      </w:r>
      <w:r w:rsidRPr="00370E2C">
        <w:rPr>
          <w:noProof/>
        </w:rPr>
        <w:t xml:space="preserve">provide information </w:t>
      </w:r>
      <w:r>
        <w:rPr>
          <w:noProof/>
        </w:rPr>
        <w:t xml:space="preserve">to the law enforcement authorities of other Member States </w:t>
      </w:r>
      <w:r w:rsidRPr="00370E2C">
        <w:rPr>
          <w:noProof/>
        </w:rPr>
        <w:t xml:space="preserve">to be used as evidence </w:t>
      </w:r>
      <w:r>
        <w:rPr>
          <w:noProof/>
        </w:rPr>
        <w:t>in judicial proceedings</w:t>
      </w:r>
    </w:p>
    <w:p w14:paraId="3FAC8CD0" w14:textId="480792F8" w:rsidR="00232257" w:rsidRDefault="002E4C52" w:rsidP="002E4C52">
      <w:pPr>
        <w:pStyle w:val="ManualNumPar1"/>
        <w:rPr>
          <w:noProof/>
        </w:rPr>
      </w:pPr>
      <w:r w:rsidRPr="002E4C52">
        <w:t>4.</w:t>
      </w:r>
      <w:r w:rsidRPr="002E4C52">
        <w:tab/>
      </w:r>
      <w:r w:rsidR="00232257">
        <w:rPr>
          <w:noProof/>
        </w:rPr>
        <w:t xml:space="preserve">This Directive </w:t>
      </w:r>
      <w:r w:rsidR="00232257" w:rsidRPr="00E85276">
        <w:rPr>
          <w:noProof/>
        </w:rPr>
        <w:t xml:space="preserve">does </w:t>
      </w:r>
      <w:r w:rsidR="00232257">
        <w:rPr>
          <w:noProof/>
        </w:rPr>
        <w:t>no</w:t>
      </w:r>
      <w:r w:rsidR="00232257" w:rsidRPr="00E85276">
        <w:rPr>
          <w:noProof/>
        </w:rPr>
        <w:t xml:space="preserve">t </w:t>
      </w:r>
      <w:r w:rsidR="00232257">
        <w:rPr>
          <w:noProof/>
        </w:rPr>
        <w:t>establish a</w:t>
      </w:r>
      <w:r w:rsidR="00232257" w:rsidRPr="00E85276">
        <w:rPr>
          <w:noProof/>
        </w:rPr>
        <w:t xml:space="preserve">ny right </w:t>
      </w:r>
      <w:r w:rsidR="00232257">
        <w:rPr>
          <w:noProof/>
        </w:rPr>
        <w:t>to</w:t>
      </w:r>
      <w:r w:rsidR="00232257" w:rsidRPr="00E85276">
        <w:rPr>
          <w:noProof/>
        </w:rPr>
        <w:t xml:space="preserve"> use </w:t>
      </w:r>
      <w:r w:rsidR="00232257">
        <w:rPr>
          <w:noProof/>
        </w:rPr>
        <w:t xml:space="preserve">the </w:t>
      </w:r>
      <w:r w:rsidR="00232257" w:rsidRPr="00E85276">
        <w:rPr>
          <w:noProof/>
        </w:rPr>
        <w:t>information</w:t>
      </w:r>
      <w:r w:rsidR="00232257">
        <w:rPr>
          <w:noProof/>
        </w:rPr>
        <w:t xml:space="preserve"> provided in      accordance with this Directive as evidence in judicial proceedings.</w:t>
      </w:r>
    </w:p>
    <w:p w14:paraId="4EFD6590" w14:textId="1F6F78AB" w:rsidR="00686EFF" w:rsidRPr="00631A2B" w:rsidRDefault="00686EFF" w:rsidP="00414504">
      <w:pPr>
        <w:pStyle w:val="Titrearticle"/>
        <w:spacing w:after="0"/>
        <w:rPr>
          <w:noProof/>
        </w:rPr>
      </w:pPr>
      <w:r w:rsidRPr="00631A2B">
        <w:rPr>
          <w:noProof/>
        </w:rPr>
        <w:t>Article 2</w:t>
      </w:r>
    </w:p>
    <w:p w14:paraId="6A2E225F" w14:textId="77777777" w:rsidR="00686EFF" w:rsidRDefault="00686EFF" w:rsidP="00686EFF">
      <w:pPr>
        <w:spacing w:before="0"/>
        <w:jc w:val="center"/>
        <w:rPr>
          <w:b/>
          <w:i/>
          <w:noProof/>
        </w:rPr>
      </w:pPr>
      <w:r w:rsidRPr="00737179">
        <w:rPr>
          <w:b/>
          <w:i/>
          <w:noProof/>
        </w:rPr>
        <w:t>Definitions</w:t>
      </w:r>
    </w:p>
    <w:p w14:paraId="0060C816" w14:textId="77777777" w:rsidR="00686EFF" w:rsidRDefault="00686EFF" w:rsidP="00631A2B">
      <w:pPr>
        <w:spacing w:before="0"/>
        <w:ind w:left="-357" w:firstLine="357"/>
        <w:rPr>
          <w:noProof/>
        </w:rPr>
      </w:pPr>
      <w:r>
        <w:rPr>
          <w:noProof/>
        </w:rPr>
        <w:t>For the purpose of this Directive:</w:t>
      </w:r>
    </w:p>
    <w:p w14:paraId="6A6C5CB1" w14:textId="029C7A2C" w:rsidR="00370E2C" w:rsidRPr="00AC4331" w:rsidRDefault="002E4C52" w:rsidP="002E4C52">
      <w:pPr>
        <w:pStyle w:val="Point1"/>
        <w:rPr>
          <w:noProof/>
        </w:rPr>
      </w:pPr>
      <w:r w:rsidRPr="002E4C52">
        <w:t>(1)</w:t>
      </w:r>
      <w:r w:rsidRPr="002E4C52">
        <w:tab/>
      </w:r>
      <w:r w:rsidR="007F1E68">
        <w:rPr>
          <w:noProof/>
        </w:rPr>
        <w:t>'</w:t>
      </w:r>
      <w:r w:rsidR="00E30EAB">
        <w:rPr>
          <w:noProof/>
        </w:rPr>
        <w:t xml:space="preserve">law enforcement </w:t>
      </w:r>
      <w:r w:rsidR="00686EFF">
        <w:rPr>
          <w:noProof/>
        </w:rPr>
        <w:t>authority</w:t>
      </w:r>
      <w:r w:rsidR="00FE1F9E">
        <w:rPr>
          <w:noProof/>
        </w:rPr>
        <w:t>'</w:t>
      </w:r>
      <w:r w:rsidR="007F044A" w:rsidRPr="00CD1FF8">
        <w:rPr>
          <w:noProof/>
          <w:sz w:val="20"/>
        </w:rPr>
        <w:t xml:space="preserve"> </w:t>
      </w:r>
      <w:r w:rsidR="007F044A" w:rsidRPr="00851937">
        <w:rPr>
          <w:noProof/>
        </w:rPr>
        <w:t>means</w:t>
      </w:r>
      <w:r w:rsidR="00686EFF" w:rsidRPr="00851937">
        <w:rPr>
          <w:noProof/>
        </w:rPr>
        <w:t xml:space="preserve"> </w:t>
      </w:r>
      <w:r w:rsidR="00686EFF" w:rsidRPr="005530E1">
        <w:rPr>
          <w:noProof/>
        </w:rPr>
        <w:t>a</w:t>
      </w:r>
      <w:r w:rsidR="00CD427A" w:rsidRPr="005530E1">
        <w:rPr>
          <w:noProof/>
        </w:rPr>
        <w:t>ny</w:t>
      </w:r>
      <w:r w:rsidR="00401C63">
        <w:rPr>
          <w:noProof/>
        </w:rPr>
        <w:t xml:space="preserve"> authority </w:t>
      </w:r>
      <w:r w:rsidR="0069254F">
        <w:rPr>
          <w:noProof/>
        </w:rPr>
        <w:t>of the Member States</w:t>
      </w:r>
      <w:r w:rsidR="003957FE">
        <w:rPr>
          <w:noProof/>
        </w:rPr>
        <w:t xml:space="preserve"> </w:t>
      </w:r>
      <w:r w:rsidR="0069254F" w:rsidRPr="00CD1FF8">
        <w:rPr>
          <w:noProof/>
          <w:shd w:val="clear" w:color="auto" w:fill="FFFFFF"/>
        </w:rPr>
        <w:t xml:space="preserve">competent </w:t>
      </w:r>
      <w:r w:rsidR="00851937" w:rsidRPr="00CD1FF8">
        <w:rPr>
          <w:noProof/>
          <w:shd w:val="clear" w:color="auto" w:fill="FFFFFF"/>
        </w:rPr>
        <w:t>under national law for</w:t>
      </w:r>
      <w:r w:rsidR="00E65DF4" w:rsidRPr="00CD1FF8">
        <w:rPr>
          <w:noProof/>
          <w:shd w:val="clear" w:color="auto" w:fill="FFFFFF"/>
        </w:rPr>
        <w:t xml:space="preserve"> the purpose of</w:t>
      </w:r>
      <w:r w:rsidR="00851937" w:rsidRPr="00CD1FF8">
        <w:rPr>
          <w:noProof/>
          <w:shd w:val="clear" w:color="auto" w:fill="FFFFFF"/>
        </w:rPr>
        <w:t xml:space="preserve"> preventing</w:t>
      </w:r>
      <w:r w:rsidR="0069254F" w:rsidRPr="00CD1FF8">
        <w:rPr>
          <w:noProof/>
          <w:shd w:val="clear" w:color="auto" w:fill="FFFFFF"/>
        </w:rPr>
        <w:t xml:space="preserve">, detecting </w:t>
      </w:r>
      <w:r w:rsidR="001834B5" w:rsidRPr="00CD1FF8">
        <w:rPr>
          <w:noProof/>
          <w:shd w:val="clear" w:color="auto" w:fill="FFFFFF"/>
        </w:rPr>
        <w:t>or</w:t>
      </w:r>
      <w:r w:rsidR="00B60A7A" w:rsidRPr="00CD1FF8">
        <w:rPr>
          <w:noProof/>
          <w:shd w:val="clear" w:color="auto" w:fill="FFFFFF"/>
        </w:rPr>
        <w:t xml:space="preserve"> </w:t>
      </w:r>
      <w:r w:rsidR="0069254F" w:rsidRPr="00CD1FF8">
        <w:rPr>
          <w:noProof/>
          <w:shd w:val="clear" w:color="auto" w:fill="FFFFFF"/>
        </w:rPr>
        <w:t>investigating</w:t>
      </w:r>
      <w:r w:rsidR="00851937" w:rsidRPr="00CD1FF8">
        <w:rPr>
          <w:noProof/>
          <w:shd w:val="clear" w:color="auto" w:fill="FFFFFF"/>
        </w:rPr>
        <w:t xml:space="preserve"> criminal offences</w:t>
      </w:r>
      <w:r w:rsidR="00C21143">
        <w:rPr>
          <w:noProof/>
        </w:rPr>
        <w:t>;</w:t>
      </w:r>
      <w:r w:rsidR="00851937" w:rsidRPr="00AC4331">
        <w:rPr>
          <w:noProof/>
        </w:rPr>
        <w:t xml:space="preserve"> </w:t>
      </w:r>
    </w:p>
    <w:p w14:paraId="1B0C5254" w14:textId="7D9CC773" w:rsidR="00F64CED" w:rsidRDefault="002E4C52" w:rsidP="002E4C52">
      <w:pPr>
        <w:pStyle w:val="Point1"/>
        <w:rPr>
          <w:noProof/>
        </w:rPr>
      </w:pPr>
      <w:r w:rsidRPr="002E4C52">
        <w:t>(2)</w:t>
      </w:r>
      <w:r w:rsidRPr="002E4C52">
        <w:tab/>
      </w:r>
      <w:r w:rsidR="00FE1F9E" w:rsidRPr="003A53F3">
        <w:rPr>
          <w:noProof/>
        </w:rPr>
        <w:t>'</w:t>
      </w:r>
      <w:r w:rsidR="0044654B" w:rsidRPr="003A53F3">
        <w:rPr>
          <w:noProof/>
        </w:rPr>
        <w:t xml:space="preserve">criminal </w:t>
      </w:r>
      <w:r w:rsidR="00DB29AE" w:rsidRPr="003A53F3">
        <w:rPr>
          <w:noProof/>
        </w:rPr>
        <w:t>offences'</w:t>
      </w:r>
      <w:r w:rsidR="0054470F" w:rsidRPr="003A53F3">
        <w:rPr>
          <w:noProof/>
        </w:rPr>
        <w:t xml:space="preserve"> means any of the following</w:t>
      </w:r>
      <w:r w:rsidR="00DB29AE" w:rsidRPr="003A53F3">
        <w:rPr>
          <w:noProof/>
        </w:rPr>
        <w:t>:</w:t>
      </w:r>
      <w:r w:rsidR="00DE5886" w:rsidRPr="00ED589E">
        <w:rPr>
          <w:noProof/>
        </w:rPr>
        <w:t xml:space="preserve"> </w:t>
      </w:r>
    </w:p>
    <w:p w14:paraId="7EDC6F9B" w14:textId="4DB39660" w:rsidR="00DB29AE" w:rsidRPr="003A53F3" w:rsidRDefault="002E4C52" w:rsidP="002E4C52">
      <w:pPr>
        <w:pStyle w:val="Point1"/>
        <w:rPr>
          <w:noProof/>
        </w:rPr>
      </w:pPr>
      <w:r w:rsidRPr="002E4C52">
        <w:t>(a)</w:t>
      </w:r>
      <w:r w:rsidRPr="002E4C52">
        <w:tab/>
      </w:r>
      <w:r w:rsidR="0054470F" w:rsidRPr="00ED589E">
        <w:rPr>
          <w:noProof/>
        </w:rPr>
        <w:t xml:space="preserve">offences referred to in </w:t>
      </w:r>
      <w:r w:rsidR="00DB29AE" w:rsidRPr="00ED589E">
        <w:rPr>
          <w:noProof/>
        </w:rPr>
        <w:t xml:space="preserve">Article 2(2) of </w:t>
      </w:r>
      <w:r w:rsidR="00BE4374" w:rsidRPr="00BE4374">
        <w:rPr>
          <w:noProof/>
        </w:rPr>
        <w:t>Council Framework Decision 2002/584/JHA</w:t>
      </w:r>
      <w:r w:rsidR="00BE4374" w:rsidRPr="00AC7C45">
        <w:rPr>
          <w:rStyle w:val="FootnoteReference0"/>
          <w:noProof/>
        </w:rPr>
        <w:footnoteReference w:id="73"/>
      </w:r>
      <w:r w:rsidR="00DB29AE" w:rsidRPr="003A53F3">
        <w:rPr>
          <w:noProof/>
        </w:rPr>
        <w:t>;</w:t>
      </w:r>
    </w:p>
    <w:p w14:paraId="79D50EF0" w14:textId="5C734890" w:rsidR="00DB29AE" w:rsidRPr="002540C1" w:rsidRDefault="002E4C52" w:rsidP="002E4C52">
      <w:pPr>
        <w:pStyle w:val="Point1"/>
        <w:rPr>
          <w:noProof/>
        </w:rPr>
      </w:pPr>
      <w:r w:rsidRPr="002E4C52">
        <w:t>(b)</w:t>
      </w:r>
      <w:r w:rsidRPr="002E4C52">
        <w:tab/>
      </w:r>
      <w:r w:rsidR="0054470F" w:rsidRPr="00ED589E">
        <w:rPr>
          <w:noProof/>
        </w:rPr>
        <w:t xml:space="preserve">offences referred to in </w:t>
      </w:r>
      <w:r w:rsidR="00DB29AE" w:rsidRPr="00ED589E">
        <w:rPr>
          <w:noProof/>
        </w:rPr>
        <w:t xml:space="preserve">Article 3(1) </w:t>
      </w:r>
      <w:r w:rsidR="007C0EB4" w:rsidRPr="00ED589E">
        <w:rPr>
          <w:noProof/>
        </w:rPr>
        <w:t>and</w:t>
      </w:r>
      <w:r w:rsidR="00DB29AE" w:rsidRPr="002540C1">
        <w:rPr>
          <w:noProof/>
        </w:rPr>
        <w:t xml:space="preserve"> (2) of </w:t>
      </w:r>
      <w:r w:rsidR="00BE4374" w:rsidRPr="00BE4374">
        <w:rPr>
          <w:noProof/>
        </w:rPr>
        <w:t>Regulation (EU) 2016/794</w:t>
      </w:r>
      <w:r w:rsidR="00DB29AE" w:rsidRPr="002540C1">
        <w:rPr>
          <w:noProof/>
        </w:rPr>
        <w:t>;</w:t>
      </w:r>
    </w:p>
    <w:p w14:paraId="0B3A2527" w14:textId="3290149B" w:rsidR="00506880" w:rsidRDefault="002E4C52" w:rsidP="002E4C52">
      <w:pPr>
        <w:pStyle w:val="Point1"/>
        <w:rPr>
          <w:noProof/>
        </w:rPr>
      </w:pPr>
      <w:r w:rsidRPr="002E4C52">
        <w:t>(c)</w:t>
      </w:r>
      <w:r w:rsidRPr="002E4C52">
        <w:tab/>
      </w:r>
      <w:r w:rsidR="00193F5E" w:rsidRPr="002540C1">
        <w:rPr>
          <w:noProof/>
        </w:rPr>
        <w:t>t</w:t>
      </w:r>
      <w:r w:rsidR="008F10A2" w:rsidRPr="009C274F">
        <w:rPr>
          <w:noProof/>
        </w:rPr>
        <w:t xml:space="preserve">ax crimes relating to direct and indirect taxes, </w:t>
      </w:r>
      <w:r w:rsidR="008F10A2" w:rsidRPr="00B60A7A">
        <w:rPr>
          <w:noProof/>
        </w:rPr>
        <w:t>as laid down in national</w:t>
      </w:r>
      <w:r w:rsidR="008F10A2" w:rsidRPr="00F61E92">
        <w:rPr>
          <w:i/>
          <w:noProof/>
        </w:rPr>
        <w:t xml:space="preserve"> </w:t>
      </w:r>
      <w:r w:rsidR="008F10A2" w:rsidRPr="00B60A7A">
        <w:rPr>
          <w:noProof/>
        </w:rPr>
        <w:t>law</w:t>
      </w:r>
      <w:r w:rsidR="00D72CE3">
        <w:rPr>
          <w:noProof/>
        </w:rPr>
        <w:t>;</w:t>
      </w:r>
    </w:p>
    <w:p w14:paraId="520A418C" w14:textId="635E4529" w:rsidR="00163183" w:rsidRDefault="002E4C52" w:rsidP="002E4C52">
      <w:pPr>
        <w:pStyle w:val="Point1"/>
        <w:rPr>
          <w:noProof/>
        </w:rPr>
      </w:pPr>
      <w:r w:rsidRPr="002E4C52">
        <w:t>(3)</w:t>
      </w:r>
      <w:r w:rsidRPr="002E4C52">
        <w:tab/>
      </w:r>
      <w:r w:rsidR="00163183">
        <w:rPr>
          <w:noProof/>
        </w:rPr>
        <w:t>'</w:t>
      </w:r>
      <w:r w:rsidR="00163183" w:rsidRPr="00E368ED">
        <w:rPr>
          <w:noProof/>
        </w:rPr>
        <w:t>information</w:t>
      </w:r>
      <w:r w:rsidR="00163183">
        <w:rPr>
          <w:noProof/>
        </w:rPr>
        <w:t>'</w:t>
      </w:r>
      <w:r w:rsidR="00163183" w:rsidRPr="00E368ED">
        <w:rPr>
          <w:noProof/>
        </w:rPr>
        <w:t xml:space="preserve"> means any content concerning one or more natural persons, facts or circumstances relevant to law enforcement authorities in connection to the exercise of their tasks under national law of preventing, detecting or investigating criminal offences</w:t>
      </w:r>
      <w:r w:rsidR="00D72CE3">
        <w:rPr>
          <w:noProof/>
        </w:rPr>
        <w:t>;</w:t>
      </w:r>
    </w:p>
    <w:p w14:paraId="7E5C93F8" w14:textId="4F2541E8" w:rsidR="00163183" w:rsidRDefault="002E4C52" w:rsidP="002E4C52">
      <w:pPr>
        <w:pStyle w:val="Point1"/>
        <w:rPr>
          <w:noProof/>
        </w:rPr>
      </w:pPr>
      <w:r w:rsidRPr="002E4C52">
        <w:t>(4)</w:t>
      </w:r>
      <w:r w:rsidRPr="002E4C52">
        <w:tab/>
      </w:r>
      <w:r w:rsidR="00163183">
        <w:rPr>
          <w:noProof/>
        </w:rPr>
        <w:t>'</w:t>
      </w:r>
      <w:r w:rsidR="00163183" w:rsidRPr="00ED40F5">
        <w:rPr>
          <w:noProof/>
        </w:rPr>
        <w:t>available</w:t>
      </w:r>
      <w:r w:rsidR="00163183">
        <w:rPr>
          <w:noProof/>
        </w:rPr>
        <w:t>'</w:t>
      </w:r>
      <w:r w:rsidR="00163183" w:rsidRPr="00ED40F5">
        <w:rPr>
          <w:noProof/>
        </w:rPr>
        <w:t xml:space="preserve"> information means information that is either held by </w:t>
      </w:r>
      <w:r w:rsidR="0094255D" w:rsidRPr="000328E7">
        <w:rPr>
          <w:noProof/>
        </w:rPr>
        <w:t xml:space="preserve">the Single Point of Contact or </w:t>
      </w:r>
      <w:r w:rsidR="00163183" w:rsidRPr="00ED40F5">
        <w:rPr>
          <w:noProof/>
        </w:rPr>
        <w:t>the law enforcement authorit</w:t>
      </w:r>
      <w:r w:rsidR="00163183">
        <w:rPr>
          <w:noProof/>
        </w:rPr>
        <w:t>ies of the requested Member State</w:t>
      </w:r>
      <w:r w:rsidR="0094255D">
        <w:rPr>
          <w:noProof/>
        </w:rPr>
        <w:t>,</w:t>
      </w:r>
      <w:r w:rsidR="00163183" w:rsidRPr="00ED40F5">
        <w:rPr>
          <w:noProof/>
        </w:rPr>
        <w:t xml:space="preserve"> or </w:t>
      </w:r>
      <w:r w:rsidR="00163183">
        <w:rPr>
          <w:noProof/>
        </w:rPr>
        <w:t xml:space="preserve">information </w:t>
      </w:r>
      <w:r w:rsidR="00163183" w:rsidRPr="00ED40F5">
        <w:rPr>
          <w:noProof/>
        </w:rPr>
        <w:t xml:space="preserve">that </w:t>
      </w:r>
      <w:r w:rsidR="00163183">
        <w:rPr>
          <w:noProof/>
        </w:rPr>
        <w:t>those</w:t>
      </w:r>
      <w:r w:rsidR="0094255D">
        <w:rPr>
          <w:noProof/>
        </w:rPr>
        <w:t xml:space="preserve"> </w:t>
      </w:r>
      <w:r w:rsidR="0094255D" w:rsidRPr="000328E7">
        <w:rPr>
          <w:noProof/>
        </w:rPr>
        <w:t xml:space="preserve">Single Points of Contact or </w:t>
      </w:r>
      <w:r w:rsidR="00E423FD" w:rsidRPr="000328E7">
        <w:rPr>
          <w:noProof/>
        </w:rPr>
        <w:t xml:space="preserve">those </w:t>
      </w:r>
      <w:r w:rsidR="00163183">
        <w:rPr>
          <w:noProof/>
        </w:rPr>
        <w:t>law enforcement authorities</w:t>
      </w:r>
      <w:r w:rsidR="00163183" w:rsidRPr="00ED40F5">
        <w:rPr>
          <w:noProof/>
        </w:rPr>
        <w:t xml:space="preserve"> can obtain from other public authorities or from private parties </w:t>
      </w:r>
      <w:r w:rsidR="00163183">
        <w:rPr>
          <w:noProof/>
        </w:rPr>
        <w:t xml:space="preserve">established </w:t>
      </w:r>
      <w:r w:rsidR="00163183" w:rsidRPr="00035237">
        <w:rPr>
          <w:noProof/>
        </w:rPr>
        <w:t xml:space="preserve">in </w:t>
      </w:r>
      <w:r w:rsidR="00163183">
        <w:rPr>
          <w:noProof/>
        </w:rPr>
        <w:t xml:space="preserve">that Member State </w:t>
      </w:r>
      <w:r w:rsidR="00163183" w:rsidRPr="00ED40F5">
        <w:rPr>
          <w:noProof/>
        </w:rPr>
        <w:t>without coercive measures</w:t>
      </w:r>
      <w:r w:rsidR="00D72CE3">
        <w:rPr>
          <w:noProof/>
        </w:rPr>
        <w:t>;</w:t>
      </w:r>
    </w:p>
    <w:p w14:paraId="6C79A47B" w14:textId="47F2F81D" w:rsidR="00163183" w:rsidRPr="000328E7" w:rsidRDefault="002E4C52" w:rsidP="002E4C52">
      <w:pPr>
        <w:pStyle w:val="Point1"/>
        <w:rPr>
          <w:noProof/>
        </w:rPr>
      </w:pPr>
      <w:r w:rsidRPr="002E4C52">
        <w:t>(5)</w:t>
      </w:r>
      <w:r w:rsidRPr="002E4C52">
        <w:tab/>
      </w:r>
      <w:r w:rsidR="0094255D" w:rsidRPr="000328E7">
        <w:rPr>
          <w:noProof/>
        </w:rPr>
        <w:t>‘</w:t>
      </w:r>
      <w:r w:rsidR="00163183" w:rsidRPr="00117D97">
        <w:rPr>
          <w:noProof/>
        </w:rPr>
        <w:t>SIENA</w:t>
      </w:r>
      <w:r w:rsidR="0094255D" w:rsidRPr="000328E7">
        <w:rPr>
          <w:noProof/>
        </w:rPr>
        <w:t>’</w:t>
      </w:r>
      <w:r w:rsidR="00163183" w:rsidRPr="00117D97">
        <w:rPr>
          <w:noProof/>
        </w:rPr>
        <w:t xml:space="preserve"> </w:t>
      </w:r>
      <w:r w:rsidR="00117D97">
        <w:rPr>
          <w:noProof/>
        </w:rPr>
        <w:t xml:space="preserve">means the secure information exchange network application, managed by Europol, aimed at facilitating the exchange of information between Member States and Europol; </w:t>
      </w:r>
    </w:p>
    <w:p w14:paraId="25C709FE" w14:textId="613BA342" w:rsidR="00F43283" w:rsidRPr="00BD637B" w:rsidRDefault="002E4C52" w:rsidP="002E4C52">
      <w:pPr>
        <w:pStyle w:val="Point1"/>
        <w:rPr>
          <w:noProof/>
        </w:rPr>
      </w:pPr>
      <w:r w:rsidRPr="002E4C52">
        <w:t>(6)</w:t>
      </w:r>
      <w:r w:rsidRPr="002E4C52">
        <w:tab/>
      </w:r>
      <w:r w:rsidR="00F43283" w:rsidRPr="000328E7">
        <w:rPr>
          <w:noProof/>
        </w:rPr>
        <w:t>‘personal data’ means</w:t>
      </w:r>
      <w:r w:rsidR="00BD637B" w:rsidRPr="000328E7">
        <w:rPr>
          <w:noProof/>
        </w:rPr>
        <w:t xml:space="preserve"> personal data as defined in Article 4, point (1) of Regulation (EU) 2016/679.</w:t>
      </w:r>
    </w:p>
    <w:p w14:paraId="6604E094" w14:textId="16EDB271" w:rsidR="00DB29AE" w:rsidRDefault="00DF2A80" w:rsidP="005740DC">
      <w:pPr>
        <w:pStyle w:val="Titrearticle"/>
        <w:spacing w:after="0"/>
        <w:rPr>
          <w:noProof/>
        </w:rPr>
      </w:pPr>
      <w:r w:rsidRPr="00DF2A80">
        <w:rPr>
          <w:noProof/>
        </w:rPr>
        <w:t xml:space="preserve">Article </w:t>
      </w:r>
      <w:r w:rsidR="00332C04">
        <w:rPr>
          <w:noProof/>
        </w:rPr>
        <w:t>3</w:t>
      </w:r>
    </w:p>
    <w:p w14:paraId="7E7A2733" w14:textId="29B57BBD" w:rsidR="00C67221" w:rsidRPr="0054470F" w:rsidRDefault="0054470F" w:rsidP="001A41DE">
      <w:pPr>
        <w:spacing w:before="0"/>
        <w:jc w:val="center"/>
        <w:rPr>
          <w:b/>
          <w:i/>
          <w:noProof/>
        </w:rPr>
      </w:pPr>
      <w:r>
        <w:rPr>
          <w:b/>
          <w:i/>
          <w:noProof/>
        </w:rPr>
        <w:t>Principles</w:t>
      </w:r>
      <w:r w:rsidR="00332C04">
        <w:rPr>
          <w:b/>
          <w:i/>
          <w:noProof/>
        </w:rPr>
        <w:t xml:space="preserve"> of information </w:t>
      </w:r>
      <w:r w:rsidR="00EF0A87">
        <w:rPr>
          <w:b/>
          <w:i/>
          <w:noProof/>
        </w:rPr>
        <w:t>exchange</w:t>
      </w:r>
    </w:p>
    <w:p w14:paraId="4AEA23E2" w14:textId="3F56A24B" w:rsidR="00C64C42" w:rsidRPr="00482654" w:rsidRDefault="006C0C4C" w:rsidP="000903B5">
      <w:pPr>
        <w:pStyle w:val="ListParagraph"/>
        <w:spacing w:before="0"/>
        <w:ind w:left="0"/>
        <w:contextualSpacing w:val="0"/>
        <w:rPr>
          <w:i/>
          <w:noProof/>
        </w:rPr>
      </w:pPr>
      <w:r w:rsidRPr="00C060D7">
        <w:rPr>
          <w:noProof/>
        </w:rPr>
        <w:t>Member States shall</w:t>
      </w:r>
      <w:r w:rsidR="00C64C42" w:rsidRPr="00C060D7">
        <w:rPr>
          <w:noProof/>
        </w:rPr>
        <w:t>,</w:t>
      </w:r>
      <w:r w:rsidRPr="00C060D7">
        <w:rPr>
          <w:noProof/>
        </w:rPr>
        <w:t xml:space="preserve"> </w:t>
      </w:r>
      <w:r w:rsidR="00C64C42" w:rsidRPr="00C060D7">
        <w:rPr>
          <w:noProof/>
        </w:rPr>
        <w:t xml:space="preserve">in </w:t>
      </w:r>
      <w:r w:rsidR="003B1DEF" w:rsidRPr="00C060D7">
        <w:rPr>
          <w:noProof/>
        </w:rPr>
        <w:t>connection to</w:t>
      </w:r>
      <w:r w:rsidR="00C64C42" w:rsidRPr="00C060D7">
        <w:rPr>
          <w:noProof/>
        </w:rPr>
        <w:t xml:space="preserve"> </w:t>
      </w:r>
      <w:r w:rsidR="0051081B" w:rsidRPr="00C060D7">
        <w:rPr>
          <w:noProof/>
        </w:rPr>
        <w:t xml:space="preserve">all exchanges of information </w:t>
      </w:r>
      <w:r w:rsidR="00C64C42" w:rsidRPr="00C060D7">
        <w:rPr>
          <w:noProof/>
        </w:rPr>
        <w:t>under this Directive, ensure th</w:t>
      </w:r>
      <w:r w:rsidR="00482654" w:rsidRPr="00C060D7">
        <w:rPr>
          <w:noProof/>
        </w:rPr>
        <w:t>at</w:t>
      </w:r>
      <w:r w:rsidR="00C64C42" w:rsidRPr="00C060D7">
        <w:rPr>
          <w:noProof/>
        </w:rPr>
        <w:t>:</w:t>
      </w:r>
      <w:r w:rsidR="00482654" w:rsidRPr="00C060D7">
        <w:rPr>
          <w:noProof/>
        </w:rPr>
        <w:t xml:space="preserve"> </w:t>
      </w:r>
      <w:r w:rsidR="00482654">
        <w:rPr>
          <w:i/>
          <w:noProof/>
        </w:rPr>
        <w:t xml:space="preserve">   </w:t>
      </w:r>
    </w:p>
    <w:p w14:paraId="0D5E7884" w14:textId="4AC4213B" w:rsidR="0085762A" w:rsidRPr="00AC4331" w:rsidRDefault="002E4C52" w:rsidP="002E4C52">
      <w:pPr>
        <w:pStyle w:val="Point1"/>
        <w:rPr>
          <w:noProof/>
        </w:rPr>
      </w:pPr>
      <w:r w:rsidRPr="002E4C52">
        <w:t>(a)</w:t>
      </w:r>
      <w:r w:rsidRPr="002E4C52">
        <w:tab/>
      </w:r>
      <w:r w:rsidR="00BD637B">
        <w:rPr>
          <w:noProof/>
        </w:rPr>
        <w:t>a</w:t>
      </w:r>
      <w:r w:rsidR="0085762A" w:rsidRPr="00BE254B">
        <w:rPr>
          <w:noProof/>
        </w:rPr>
        <w:t>ny</w:t>
      </w:r>
      <w:r w:rsidR="00BD637B">
        <w:rPr>
          <w:noProof/>
        </w:rPr>
        <w:t xml:space="preserve"> relevant</w:t>
      </w:r>
      <w:r w:rsidR="0085762A" w:rsidRPr="00BE254B" w:rsidDel="00C64C42">
        <w:rPr>
          <w:noProof/>
        </w:rPr>
        <w:t xml:space="preserve"> </w:t>
      </w:r>
      <w:r w:rsidR="0085762A" w:rsidRPr="00BE254B">
        <w:rPr>
          <w:noProof/>
        </w:rPr>
        <w:t>information available</w:t>
      </w:r>
      <w:r w:rsidR="0085762A">
        <w:rPr>
          <w:noProof/>
        </w:rPr>
        <w:t xml:space="preserve"> to the </w:t>
      </w:r>
      <w:r w:rsidR="00BD637B" w:rsidRPr="00F514E3">
        <w:rPr>
          <w:noProof/>
        </w:rPr>
        <w:t xml:space="preserve">Single Point of Contact or </w:t>
      </w:r>
      <w:r w:rsidR="00BD637B" w:rsidRPr="00B14083">
        <w:rPr>
          <w:noProof/>
        </w:rPr>
        <w:t xml:space="preserve">the </w:t>
      </w:r>
      <w:r w:rsidR="0085762A">
        <w:rPr>
          <w:noProof/>
        </w:rPr>
        <w:t>law enforcement authorities of Member State</w:t>
      </w:r>
      <w:r w:rsidR="00BD637B">
        <w:rPr>
          <w:noProof/>
        </w:rPr>
        <w:t>s</w:t>
      </w:r>
      <w:r w:rsidR="0085762A" w:rsidRPr="00BE254B" w:rsidDel="00C64C42">
        <w:rPr>
          <w:noProof/>
        </w:rPr>
        <w:t xml:space="preserve"> </w:t>
      </w:r>
      <w:r w:rsidR="0085762A">
        <w:rPr>
          <w:noProof/>
        </w:rPr>
        <w:t>is</w:t>
      </w:r>
      <w:r w:rsidR="0085762A" w:rsidRPr="00ED40F5">
        <w:rPr>
          <w:noProof/>
        </w:rPr>
        <w:t xml:space="preserve"> provided</w:t>
      </w:r>
      <w:r w:rsidR="0085762A" w:rsidRPr="00BE254B">
        <w:rPr>
          <w:noProof/>
        </w:rPr>
        <w:t xml:space="preserve"> to the</w:t>
      </w:r>
      <w:r w:rsidR="00BD637B" w:rsidRPr="00B14083">
        <w:rPr>
          <w:noProof/>
        </w:rPr>
        <w:t xml:space="preserve"> Single Point of Contact or the</w:t>
      </w:r>
      <w:r w:rsidR="0085762A" w:rsidRPr="00BE254B">
        <w:rPr>
          <w:noProof/>
        </w:rPr>
        <w:t xml:space="preserve"> law enforcement authorities of other Member States</w:t>
      </w:r>
      <w:r w:rsidR="0085762A" w:rsidRPr="00BE254B" w:rsidDel="00BE254B">
        <w:rPr>
          <w:noProof/>
        </w:rPr>
        <w:t xml:space="preserve"> </w:t>
      </w:r>
      <w:r w:rsidR="0085762A" w:rsidRPr="00BE254B">
        <w:rPr>
          <w:noProof/>
        </w:rPr>
        <w:t>(</w:t>
      </w:r>
      <w:r w:rsidR="0094255D">
        <w:rPr>
          <w:noProof/>
        </w:rPr>
        <w:t>‘</w:t>
      </w:r>
      <w:r w:rsidR="0085762A" w:rsidRPr="00BE254B">
        <w:rPr>
          <w:noProof/>
        </w:rPr>
        <w:t>principle of availability</w:t>
      </w:r>
      <w:r w:rsidR="0094255D">
        <w:rPr>
          <w:noProof/>
        </w:rPr>
        <w:t>’</w:t>
      </w:r>
      <w:r w:rsidR="0085762A" w:rsidRPr="00BE254B">
        <w:rPr>
          <w:noProof/>
        </w:rPr>
        <w:t>)</w:t>
      </w:r>
      <w:r w:rsidR="0085762A">
        <w:rPr>
          <w:noProof/>
        </w:rPr>
        <w:t>;</w:t>
      </w:r>
    </w:p>
    <w:p w14:paraId="441F66CE" w14:textId="55B2E33B" w:rsidR="00C64C42" w:rsidRDefault="002E4C52" w:rsidP="002E4C52">
      <w:pPr>
        <w:pStyle w:val="Point1"/>
        <w:rPr>
          <w:noProof/>
        </w:rPr>
      </w:pPr>
      <w:r w:rsidRPr="002E4C52">
        <w:t>(b)</w:t>
      </w:r>
      <w:r w:rsidRPr="002E4C52">
        <w:tab/>
      </w:r>
      <w:r w:rsidR="006C0C4C">
        <w:rPr>
          <w:noProof/>
        </w:rPr>
        <w:t xml:space="preserve">the conditions for requesting </w:t>
      </w:r>
      <w:r w:rsidR="00D66572">
        <w:rPr>
          <w:noProof/>
        </w:rPr>
        <w:t xml:space="preserve">information from </w:t>
      </w:r>
      <w:r w:rsidR="001D1262">
        <w:rPr>
          <w:noProof/>
        </w:rPr>
        <w:t>the Single Point</w:t>
      </w:r>
      <w:r w:rsidR="00C060D7">
        <w:rPr>
          <w:noProof/>
        </w:rPr>
        <w:t xml:space="preserve"> of Contact </w:t>
      </w:r>
      <w:r w:rsidR="001D1262" w:rsidRPr="001D1262">
        <w:rPr>
          <w:noProof/>
        </w:rPr>
        <w:t>or</w:t>
      </w:r>
      <w:r w:rsidR="00C060D7" w:rsidRPr="001D1262">
        <w:rPr>
          <w:noProof/>
        </w:rPr>
        <w:t xml:space="preserve"> the </w:t>
      </w:r>
      <w:r w:rsidR="00D66572" w:rsidRPr="001D1262">
        <w:rPr>
          <w:noProof/>
        </w:rPr>
        <w:t>law enforcement authorities</w:t>
      </w:r>
      <w:r w:rsidR="00D66572">
        <w:rPr>
          <w:noProof/>
        </w:rPr>
        <w:t xml:space="preserve"> of other Member States</w:t>
      </w:r>
      <w:r w:rsidR="00C060D7">
        <w:rPr>
          <w:noProof/>
        </w:rPr>
        <w:t>,</w:t>
      </w:r>
      <w:r w:rsidR="00D66572">
        <w:rPr>
          <w:noProof/>
        </w:rPr>
        <w:t xml:space="preserve"> </w:t>
      </w:r>
      <w:r w:rsidR="006C0C4C">
        <w:rPr>
          <w:noProof/>
        </w:rPr>
        <w:t xml:space="preserve">and </w:t>
      </w:r>
      <w:r w:rsidR="00C060D7">
        <w:rPr>
          <w:noProof/>
        </w:rPr>
        <w:t xml:space="preserve">those for </w:t>
      </w:r>
      <w:r w:rsidR="006C0C4C">
        <w:rPr>
          <w:noProof/>
        </w:rPr>
        <w:t xml:space="preserve">providing information to </w:t>
      </w:r>
      <w:r w:rsidR="00C060D7">
        <w:rPr>
          <w:noProof/>
        </w:rPr>
        <w:t xml:space="preserve">the Single Points of Contact and the </w:t>
      </w:r>
      <w:r w:rsidR="006C0C4C">
        <w:rPr>
          <w:noProof/>
        </w:rPr>
        <w:t>law enforcement authorities of other Member States</w:t>
      </w:r>
      <w:r w:rsidR="00C060D7">
        <w:rPr>
          <w:noProof/>
        </w:rPr>
        <w:t>,</w:t>
      </w:r>
      <w:r w:rsidR="006C0C4C" w:rsidDel="00C64C42">
        <w:rPr>
          <w:noProof/>
        </w:rPr>
        <w:t xml:space="preserve"> </w:t>
      </w:r>
      <w:r w:rsidR="006C0C4C">
        <w:rPr>
          <w:noProof/>
        </w:rPr>
        <w:t xml:space="preserve">are </w:t>
      </w:r>
      <w:r w:rsidR="0085762A">
        <w:rPr>
          <w:noProof/>
        </w:rPr>
        <w:t xml:space="preserve">equivalent to </w:t>
      </w:r>
      <w:r w:rsidR="006C0C4C">
        <w:rPr>
          <w:noProof/>
        </w:rPr>
        <w:t xml:space="preserve">those applicable for requesting and providing </w:t>
      </w:r>
      <w:r w:rsidR="00482654">
        <w:rPr>
          <w:noProof/>
        </w:rPr>
        <w:t xml:space="preserve">similar </w:t>
      </w:r>
      <w:r w:rsidR="006C0C4C">
        <w:rPr>
          <w:noProof/>
        </w:rPr>
        <w:t xml:space="preserve">information </w:t>
      </w:r>
      <w:r w:rsidR="00482654">
        <w:rPr>
          <w:noProof/>
        </w:rPr>
        <w:t xml:space="preserve">from and </w:t>
      </w:r>
      <w:r w:rsidR="006C0C4C">
        <w:rPr>
          <w:noProof/>
        </w:rPr>
        <w:t xml:space="preserve">to </w:t>
      </w:r>
      <w:r w:rsidR="00E65DF4">
        <w:rPr>
          <w:noProof/>
        </w:rPr>
        <w:t>their own</w:t>
      </w:r>
      <w:r w:rsidR="006C0C4C">
        <w:rPr>
          <w:noProof/>
        </w:rPr>
        <w:t xml:space="preserve"> law enforcement authorities (</w:t>
      </w:r>
      <w:r w:rsidR="0094255D">
        <w:rPr>
          <w:noProof/>
        </w:rPr>
        <w:t>‘</w:t>
      </w:r>
      <w:r w:rsidR="006C0C4C">
        <w:rPr>
          <w:noProof/>
        </w:rPr>
        <w:t>principle of equivalent access</w:t>
      </w:r>
      <w:r w:rsidR="0094255D">
        <w:rPr>
          <w:noProof/>
        </w:rPr>
        <w:t>’</w:t>
      </w:r>
      <w:r w:rsidR="006C0C4C">
        <w:rPr>
          <w:noProof/>
        </w:rPr>
        <w:t>)</w:t>
      </w:r>
      <w:r w:rsidR="00C64C42">
        <w:rPr>
          <w:noProof/>
        </w:rPr>
        <w:t>;</w:t>
      </w:r>
    </w:p>
    <w:p w14:paraId="120B14F6" w14:textId="335B6EB5" w:rsidR="00631A2B" w:rsidRDefault="002E4C52" w:rsidP="002E4C52">
      <w:pPr>
        <w:pStyle w:val="Point1"/>
        <w:rPr>
          <w:noProof/>
        </w:rPr>
      </w:pPr>
      <w:r w:rsidRPr="002E4C52">
        <w:t>(c)</w:t>
      </w:r>
      <w:r w:rsidRPr="002E4C52">
        <w:tab/>
      </w:r>
      <w:r w:rsidR="00631A2B">
        <w:rPr>
          <w:noProof/>
        </w:rPr>
        <w:t>information provided to the Single Point of Contact or the law enforcement authorities of another Member State that is marked as confidential is protected by those law enforcement authorities in accordance with the requirements set out</w:t>
      </w:r>
      <w:r w:rsidR="00631A2B" w:rsidRPr="00A3334C">
        <w:rPr>
          <w:noProof/>
        </w:rPr>
        <w:t xml:space="preserve"> </w:t>
      </w:r>
      <w:r w:rsidR="00631A2B">
        <w:rPr>
          <w:noProof/>
        </w:rPr>
        <w:t>in the national law of that Member State offering a similar level of confidentiality (‘principle of confidentiality’).</w:t>
      </w:r>
    </w:p>
    <w:p w14:paraId="452CA872" w14:textId="63DD3D2D" w:rsidR="002D62F2" w:rsidRPr="007B72BC" w:rsidRDefault="00791E2A" w:rsidP="00414504">
      <w:pPr>
        <w:pStyle w:val="ChapterTitle"/>
        <w:spacing w:before="360"/>
        <w:rPr>
          <w:noProof/>
          <w:sz w:val="24"/>
        </w:rPr>
      </w:pPr>
      <w:r w:rsidRPr="007B72BC">
        <w:rPr>
          <w:noProof/>
          <w:sz w:val="24"/>
        </w:rPr>
        <w:t>Chapter II</w:t>
      </w:r>
    </w:p>
    <w:p w14:paraId="2D717798" w14:textId="1D602A84" w:rsidR="00C060D7" w:rsidRPr="007B72BC" w:rsidRDefault="00791E2A" w:rsidP="00F61E92">
      <w:pPr>
        <w:pStyle w:val="ChapterTitle"/>
        <w:rPr>
          <w:noProof/>
          <w:sz w:val="24"/>
        </w:rPr>
      </w:pPr>
      <w:r w:rsidRPr="007B72BC" w:rsidDel="00482654">
        <w:rPr>
          <w:noProof/>
          <w:sz w:val="24"/>
        </w:rPr>
        <w:t>E</w:t>
      </w:r>
      <w:r w:rsidRPr="007B72BC" w:rsidDel="0051081B">
        <w:rPr>
          <w:noProof/>
          <w:sz w:val="24"/>
        </w:rPr>
        <w:t xml:space="preserve">xchanges </w:t>
      </w:r>
      <w:r w:rsidRPr="007B72BC">
        <w:rPr>
          <w:noProof/>
          <w:sz w:val="24"/>
        </w:rPr>
        <w:t>of information</w:t>
      </w:r>
      <w:r w:rsidR="0051081B" w:rsidRPr="007B72BC">
        <w:rPr>
          <w:noProof/>
          <w:sz w:val="24"/>
        </w:rPr>
        <w:t xml:space="preserve"> </w:t>
      </w:r>
      <w:r w:rsidR="006D0AD2" w:rsidRPr="007B72BC">
        <w:rPr>
          <w:noProof/>
          <w:sz w:val="24"/>
        </w:rPr>
        <w:t>through Single Points of Contact</w:t>
      </w:r>
    </w:p>
    <w:p w14:paraId="0A179D25" w14:textId="5F96F138" w:rsidR="006C0C4C" w:rsidRPr="00072B80" w:rsidDel="004F12DA" w:rsidRDefault="006C0C4C" w:rsidP="006C0C4C">
      <w:pPr>
        <w:spacing w:before="360" w:after="0"/>
        <w:jc w:val="center"/>
        <w:rPr>
          <w:i/>
          <w:noProof/>
        </w:rPr>
      </w:pPr>
      <w:r w:rsidRPr="00072B80" w:rsidDel="004F12DA">
        <w:rPr>
          <w:i/>
          <w:noProof/>
        </w:rPr>
        <w:t xml:space="preserve">Article </w:t>
      </w:r>
      <w:r w:rsidR="00AF7EDE">
        <w:rPr>
          <w:i/>
          <w:noProof/>
        </w:rPr>
        <w:t>4</w:t>
      </w:r>
    </w:p>
    <w:p w14:paraId="54C21AA9" w14:textId="16B64F47" w:rsidR="00B95806" w:rsidRDefault="00C060D7" w:rsidP="00B95806">
      <w:pPr>
        <w:spacing w:before="0"/>
        <w:jc w:val="center"/>
        <w:rPr>
          <w:b/>
          <w:i/>
          <w:noProof/>
        </w:rPr>
      </w:pPr>
      <w:r w:rsidRPr="00B812D4">
        <w:rPr>
          <w:b/>
          <w:i/>
          <w:noProof/>
        </w:rPr>
        <w:t>R</w:t>
      </w:r>
      <w:r w:rsidR="006C0C4C" w:rsidRPr="00B812D4" w:rsidDel="004F12DA">
        <w:rPr>
          <w:b/>
          <w:i/>
          <w:noProof/>
        </w:rPr>
        <w:t>equest</w:t>
      </w:r>
      <w:r w:rsidR="006C0C4C" w:rsidRPr="00B812D4">
        <w:rPr>
          <w:b/>
          <w:i/>
          <w:noProof/>
        </w:rPr>
        <w:t>s</w:t>
      </w:r>
      <w:r w:rsidR="006C0C4C" w:rsidRPr="00B812D4" w:rsidDel="004F12DA">
        <w:rPr>
          <w:b/>
          <w:i/>
          <w:noProof/>
        </w:rPr>
        <w:t xml:space="preserve"> for information</w:t>
      </w:r>
      <w:r w:rsidR="006D0AD2" w:rsidRPr="00B812D4">
        <w:rPr>
          <w:b/>
          <w:i/>
          <w:noProof/>
        </w:rPr>
        <w:t xml:space="preserve"> to the Single Point of Contact</w:t>
      </w:r>
      <w:r w:rsidR="00171234" w:rsidRPr="00B812D4">
        <w:rPr>
          <w:b/>
          <w:i/>
          <w:noProof/>
        </w:rPr>
        <w:t xml:space="preserve"> </w:t>
      </w:r>
    </w:p>
    <w:p w14:paraId="6EAA0A09" w14:textId="39A96A2F" w:rsidR="001C7D89" w:rsidRDefault="002E4C52" w:rsidP="002E4C52">
      <w:pPr>
        <w:pStyle w:val="ManualNumPar1"/>
        <w:rPr>
          <w:noProof/>
        </w:rPr>
      </w:pPr>
      <w:r w:rsidRPr="002E4C52">
        <w:t>1.</w:t>
      </w:r>
      <w:r w:rsidRPr="002E4C52">
        <w:tab/>
      </w:r>
      <w:r w:rsidR="006C0C4C">
        <w:rPr>
          <w:noProof/>
        </w:rPr>
        <w:t xml:space="preserve">Member States shall ensure that </w:t>
      </w:r>
      <w:r w:rsidR="00787E4B">
        <w:rPr>
          <w:noProof/>
        </w:rPr>
        <w:t xml:space="preserve">their Single Point of Contact </w:t>
      </w:r>
      <w:r w:rsidR="009C7C39">
        <w:rPr>
          <w:noProof/>
        </w:rPr>
        <w:t xml:space="preserve">and, where they have so decided, their law enforcement authorities </w:t>
      </w:r>
      <w:r w:rsidR="00787E4B">
        <w:rPr>
          <w:noProof/>
        </w:rPr>
        <w:t>submit</w:t>
      </w:r>
      <w:r w:rsidR="006C0C4C">
        <w:rPr>
          <w:noProof/>
        </w:rPr>
        <w:t xml:space="preserve"> requests for i</w:t>
      </w:r>
      <w:r w:rsidR="006C0C4C" w:rsidDel="004F12DA">
        <w:rPr>
          <w:noProof/>
        </w:rPr>
        <w:t>nformation</w:t>
      </w:r>
      <w:r w:rsidR="006677CD">
        <w:rPr>
          <w:noProof/>
        </w:rPr>
        <w:t xml:space="preserve"> </w:t>
      </w:r>
      <w:r w:rsidR="006D0AD2">
        <w:rPr>
          <w:noProof/>
        </w:rPr>
        <w:t>to the Single Point</w:t>
      </w:r>
      <w:r w:rsidR="001C7D89">
        <w:rPr>
          <w:noProof/>
        </w:rPr>
        <w:t>s</w:t>
      </w:r>
      <w:r w:rsidR="006D0AD2">
        <w:rPr>
          <w:noProof/>
        </w:rPr>
        <w:t xml:space="preserve"> of Contact </w:t>
      </w:r>
      <w:r w:rsidR="001C7D89">
        <w:rPr>
          <w:noProof/>
        </w:rPr>
        <w:t>of other Member States</w:t>
      </w:r>
      <w:r w:rsidR="009172A7">
        <w:rPr>
          <w:noProof/>
        </w:rPr>
        <w:t xml:space="preserve"> </w:t>
      </w:r>
      <w:r w:rsidR="00787E4B">
        <w:rPr>
          <w:noProof/>
        </w:rPr>
        <w:t>in accordance with</w:t>
      </w:r>
      <w:r w:rsidR="001C7D89">
        <w:rPr>
          <w:noProof/>
        </w:rPr>
        <w:t xml:space="preserve"> the conditions </w:t>
      </w:r>
      <w:r w:rsidR="00787E4B">
        <w:rPr>
          <w:noProof/>
        </w:rPr>
        <w:t>set out in</w:t>
      </w:r>
      <w:r w:rsidR="00D469D1">
        <w:rPr>
          <w:noProof/>
        </w:rPr>
        <w:t xml:space="preserve"> </w:t>
      </w:r>
      <w:r w:rsidR="00CC7052">
        <w:rPr>
          <w:noProof/>
        </w:rPr>
        <w:t xml:space="preserve">paragraphs 2 to </w:t>
      </w:r>
      <w:r w:rsidR="00CF354D">
        <w:rPr>
          <w:noProof/>
        </w:rPr>
        <w:t>5</w:t>
      </w:r>
      <w:r w:rsidR="00D469D1">
        <w:rPr>
          <w:noProof/>
        </w:rPr>
        <w:t>.</w:t>
      </w:r>
    </w:p>
    <w:p w14:paraId="1CD470D5" w14:textId="43577A99" w:rsidR="009662BD" w:rsidRPr="009662BD" w:rsidRDefault="000255B2" w:rsidP="00410F4C">
      <w:pPr>
        <w:pStyle w:val="Text1"/>
        <w:rPr>
          <w:noProof/>
        </w:rPr>
      </w:pPr>
      <w:r w:rsidRPr="009662BD">
        <w:rPr>
          <w:noProof/>
        </w:rPr>
        <w:t>Where a Member State has decided that, in addition to its Single Point of Contact, its law enforcement authorities may also submit requests for information to the Single Points of Contact of other Member States, it shall ensure that those authorities send</w:t>
      </w:r>
      <w:r>
        <w:rPr>
          <w:noProof/>
        </w:rPr>
        <w:t>, at the same time as submitting such requests,</w:t>
      </w:r>
      <w:r w:rsidRPr="009662BD">
        <w:rPr>
          <w:noProof/>
        </w:rPr>
        <w:t xml:space="preserve"> a copy of </w:t>
      </w:r>
      <w:r>
        <w:rPr>
          <w:noProof/>
        </w:rPr>
        <w:t>those</w:t>
      </w:r>
      <w:r w:rsidRPr="009662BD">
        <w:rPr>
          <w:noProof/>
        </w:rPr>
        <w:t xml:space="preserve"> requests, </w:t>
      </w:r>
      <w:r w:rsidRPr="00F514E3">
        <w:rPr>
          <w:noProof/>
        </w:rPr>
        <w:t>and of any other communication relating thereto,</w:t>
      </w:r>
      <w:r w:rsidRPr="009662BD">
        <w:rPr>
          <w:noProof/>
        </w:rPr>
        <w:t xml:space="preserve"> to the Single Point of Contact of that Member State</w:t>
      </w:r>
      <w:r w:rsidR="009662BD" w:rsidRPr="009662BD">
        <w:rPr>
          <w:noProof/>
        </w:rPr>
        <w:t>.</w:t>
      </w:r>
    </w:p>
    <w:p w14:paraId="098780C3" w14:textId="1BAF930F" w:rsidR="00D469D1" w:rsidRPr="00AC4331" w:rsidRDefault="002E4C52" w:rsidP="002E4C52">
      <w:pPr>
        <w:pStyle w:val="ManualNumPar1"/>
        <w:rPr>
          <w:noProof/>
        </w:rPr>
      </w:pPr>
      <w:r w:rsidRPr="002E4C52">
        <w:t>2.</w:t>
      </w:r>
      <w:r w:rsidRPr="002E4C52">
        <w:tab/>
      </w:r>
      <w:r w:rsidR="00A670B6">
        <w:rPr>
          <w:noProof/>
        </w:rPr>
        <w:t>R</w:t>
      </w:r>
      <w:r w:rsidR="00D469D1" w:rsidRPr="00AC4331">
        <w:rPr>
          <w:noProof/>
        </w:rPr>
        <w:t>equest</w:t>
      </w:r>
      <w:r w:rsidR="00A670B6">
        <w:rPr>
          <w:noProof/>
        </w:rPr>
        <w:t>s</w:t>
      </w:r>
      <w:r w:rsidR="007A183F" w:rsidRPr="00AC4331">
        <w:rPr>
          <w:noProof/>
        </w:rPr>
        <w:t xml:space="preserve"> </w:t>
      </w:r>
      <w:r w:rsidR="00D66572" w:rsidRPr="00AC4331">
        <w:rPr>
          <w:noProof/>
        </w:rPr>
        <w:t>for</w:t>
      </w:r>
      <w:r w:rsidR="007A183F" w:rsidRPr="00AC4331">
        <w:rPr>
          <w:noProof/>
        </w:rPr>
        <w:t xml:space="preserve"> information </w:t>
      </w:r>
      <w:r w:rsidR="006D0AD2" w:rsidRPr="00AC4331">
        <w:rPr>
          <w:noProof/>
        </w:rPr>
        <w:t xml:space="preserve">to the Single Point of Contact </w:t>
      </w:r>
      <w:r w:rsidR="00787E4B" w:rsidRPr="00AC4331">
        <w:rPr>
          <w:noProof/>
        </w:rPr>
        <w:t>of another Member State</w:t>
      </w:r>
      <w:r w:rsidR="00A670B6">
        <w:rPr>
          <w:noProof/>
        </w:rPr>
        <w:t xml:space="preserve"> </w:t>
      </w:r>
      <w:r w:rsidR="000255B2">
        <w:rPr>
          <w:noProof/>
        </w:rPr>
        <w:t>shall be submitted</w:t>
      </w:r>
      <w:r w:rsidR="000255B2" w:rsidRPr="00AC4331">
        <w:rPr>
          <w:noProof/>
        </w:rPr>
        <w:t xml:space="preserve"> </w:t>
      </w:r>
      <w:r w:rsidR="00B812D4" w:rsidRPr="00AC4331">
        <w:rPr>
          <w:noProof/>
        </w:rPr>
        <w:t>only</w:t>
      </w:r>
      <w:r w:rsidR="006D0AD2" w:rsidRPr="00AC4331">
        <w:rPr>
          <w:noProof/>
        </w:rPr>
        <w:t xml:space="preserve"> </w:t>
      </w:r>
      <w:r w:rsidR="007A183F" w:rsidRPr="00AC4331">
        <w:rPr>
          <w:noProof/>
        </w:rPr>
        <w:t>where</w:t>
      </w:r>
      <w:r w:rsidR="00604F4E" w:rsidRPr="00AC4331" w:rsidDel="004F12DA">
        <w:rPr>
          <w:noProof/>
        </w:rPr>
        <w:t xml:space="preserve"> the</w:t>
      </w:r>
      <w:r w:rsidR="00604F4E" w:rsidRPr="00AC4331">
        <w:rPr>
          <w:noProof/>
        </w:rPr>
        <w:t>re are</w:t>
      </w:r>
      <w:r w:rsidR="00604F4E" w:rsidRPr="00AC4331" w:rsidDel="004F12DA">
        <w:rPr>
          <w:noProof/>
        </w:rPr>
        <w:t xml:space="preserve"> </w:t>
      </w:r>
      <w:r w:rsidR="00604F4E" w:rsidRPr="00AC4331">
        <w:rPr>
          <w:noProof/>
        </w:rPr>
        <w:t xml:space="preserve">objective </w:t>
      </w:r>
      <w:r w:rsidR="00604F4E" w:rsidRPr="00AC4331" w:rsidDel="004F12DA">
        <w:rPr>
          <w:noProof/>
        </w:rPr>
        <w:t>reasons to believe that</w:t>
      </w:r>
      <w:r w:rsidR="00D469D1" w:rsidRPr="00AC4331">
        <w:rPr>
          <w:noProof/>
        </w:rPr>
        <w:t>:</w:t>
      </w:r>
    </w:p>
    <w:p w14:paraId="42B959F1" w14:textId="50139E5F" w:rsidR="007F1E68" w:rsidRPr="00AC4331" w:rsidRDefault="002E4C52" w:rsidP="002E4C52">
      <w:pPr>
        <w:pStyle w:val="Point1"/>
        <w:rPr>
          <w:noProof/>
        </w:rPr>
      </w:pPr>
      <w:r w:rsidRPr="002E4C52">
        <w:t>(a)</w:t>
      </w:r>
      <w:r w:rsidRPr="002E4C52">
        <w:tab/>
      </w:r>
      <w:r w:rsidR="006C0C4C" w:rsidRPr="00AC4331">
        <w:rPr>
          <w:noProof/>
        </w:rPr>
        <w:t xml:space="preserve">the </w:t>
      </w:r>
      <w:r w:rsidR="00EB5B34" w:rsidRPr="00AC4331">
        <w:rPr>
          <w:noProof/>
        </w:rPr>
        <w:t xml:space="preserve">requested </w:t>
      </w:r>
      <w:r w:rsidR="006C0C4C" w:rsidRPr="00AC4331">
        <w:rPr>
          <w:noProof/>
        </w:rPr>
        <w:t>information is necessary</w:t>
      </w:r>
      <w:r w:rsidR="00E13C34" w:rsidRPr="00AC4331">
        <w:rPr>
          <w:noProof/>
        </w:rPr>
        <w:t xml:space="preserve"> and proportionate</w:t>
      </w:r>
      <w:r w:rsidR="006C0C4C" w:rsidRPr="00AC4331">
        <w:rPr>
          <w:noProof/>
        </w:rPr>
        <w:t xml:space="preserve"> to achieve the purpose </w:t>
      </w:r>
      <w:r w:rsidR="000C383B">
        <w:rPr>
          <w:noProof/>
        </w:rPr>
        <w:t>referred to</w:t>
      </w:r>
      <w:r w:rsidR="000C383B" w:rsidRPr="00AC4331">
        <w:rPr>
          <w:noProof/>
        </w:rPr>
        <w:t xml:space="preserve"> </w:t>
      </w:r>
      <w:r w:rsidR="006C0C4C" w:rsidRPr="00AC4331">
        <w:rPr>
          <w:noProof/>
        </w:rPr>
        <w:t>in Article 1</w:t>
      </w:r>
      <w:r w:rsidR="00D469D1" w:rsidRPr="00AC4331">
        <w:rPr>
          <w:noProof/>
        </w:rPr>
        <w:t>(1)</w:t>
      </w:r>
      <w:r w:rsidR="006C0C4C" w:rsidRPr="00AC4331">
        <w:rPr>
          <w:noProof/>
        </w:rPr>
        <w:t>;</w:t>
      </w:r>
      <w:r w:rsidR="008506DB" w:rsidRPr="00AC4331">
        <w:rPr>
          <w:noProof/>
        </w:rPr>
        <w:t xml:space="preserve"> </w:t>
      </w:r>
    </w:p>
    <w:p w14:paraId="3B2F97FB" w14:textId="022B3EC4" w:rsidR="006C0C4C" w:rsidRPr="00AC4331" w:rsidRDefault="002E4C52" w:rsidP="002E4C52">
      <w:pPr>
        <w:pStyle w:val="Point1"/>
        <w:rPr>
          <w:noProof/>
        </w:rPr>
      </w:pPr>
      <w:r w:rsidRPr="002E4C52">
        <w:t>(b)</w:t>
      </w:r>
      <w:r w:rsidRPr="002E4C52">
        <w:tab/>
      </w:r>
      <w:r w:rsidR="006A45DF" w:rsidRPr="00AC4331">
        <w:rPr>
          <w:noProof/>
        </w:rPr>
        <w:t>the</w:t>
      </w:r>
      <w:r w:rsidR="00EB5B34" w:rsidRPr="00AC4331">
        <w:rPr>
          <w:noProof/>
        </w:rPr>
        <w:t xml:space="preserve"> requested</w:t>
      </w:r>
      <w:r w:rsidR="006A45DF" w:rsidRPr="00AC4331">
        <w:rPr>
          <w:noProof/>
        </w:rPr>
        <w:t xml:space="preserve"> </w:t>
      </w:r>
      <w:r w:rsidR="006A45DF" w:rsidRPr="00AC4331" w:rsidDel="004F12DA">
        <w:rPr>
          <w:noProof/>
        </w:rPr>
        <w:t>information</w:t>
      </w:r>
      <w:r w:rsidR="006A45DF" w:rsidRPr="00AC4331">
        <w:rPr>
          <w:noProof/>
        </w:rPr>
        <w:t xml:space="preserve"> is available to </w:t>
      </w:r>
      <w:r w:rsidR="006C0C4C" w:rsidRPr="00AC4331">
        <w:rPr>
          <w:noProof/>
        </w:rPr>
        <w:t>the law enforcement authorit</w:t>
      </w:r>
      <w:r w:rsidR="00D66572" w:rsidRPr="00AC4331">
        <w:rPr>
          <w:noProof/>
        </w:rPr>
        <w:t>ies of the requested Member State</w:t>
      </w:r>
      <w:r w:rsidR="008506DB" w:rsidRPr="00AC4331">
        <w:rPr>
          <w:noProof/>
        </w:rPr>
        <w:t>.</w:t>
      </w:r>
      <w:r w:rsidR="006C0C4C" w:rsidRPr="00AC4331" w:rsidDel="004F12DA">
        <w:rPr>
          <w:noProof/>
        </w:rPr>
        <w:t xml:space="preserve"> </w:t>
      </w:r>
    </w:p>
    <w:p w14:paraId="3DBA7871" w14:textId="0DF16E90" w:rsidR="00D469D1" w:rsidRPr="00AC4331" w:rsidRDefault="002E4C52" w:rsidP="002E4C52">
      <w:pPr>
        <w:pStyle w:val="ManualNumPar1"/>
        <w:rPr>
          <w:noProof/>
        </w:rPr>
      </w:pPr>
      <w:r w:rsidRPr="002E4C52">
        <w:t>3.</w:t>
      </w:r>
      <w:r w:rsidRPr="002E4C52">
        <w:tab/>
      </w:r>
      <w:r w:rsidR="007A183F" w:rsidRPr="00AC4331">
        <w:rPr>
          <w:noProof/>
        </w:rPr>
        <w:t>Any</w:t>
      </w:r>
      <w:r w:rsidR="00D66572" w:rsidRPr="00AC4331">
        <w:rPr>
          <w:noProof/>
        </w:rPr>
        <w:t xml:space="preserve"> </w:t>
      </w:r>
      <w:r w:rsidR="00D469D1" w:rsidRPr="00AC4331">
        <w:rPr>
          <w:noProof/>
        </w:rPr>
        <w:t>request</w:t>
      </w:r>
      <w:r w:rsidR="007A183F" w:rsidRPr="00AC4331">
        <w:rPr>
          <w:noProof/>
        </w:rPr>
        <w:t xml:space="preserve"> for information</w:t>
      </w:r>
      <w:r w:rsidR="00D469D1" w:rsidRPr="00AC4331">
        <w:rPr>
          <w:noProof/>
        </w:rPr>
        <w:t xml:space="preserve"> </w:t>
      </w:r>
      <w:r w:rsidR="000255B2" w:rsidRPr="00BD637B">
        <w:rPr>
          <w:noProof/>
        </w:rPr>
        <w:t xml:space="preserve">to the Single Point of Contact of another Member State </w:t>
      </w:r>
      <w:r w:rsidR="00D469D1" w:rsidRPr="00AC4331">
        <w:rPr>
          <w:noProof/>
        </w:rPr>
        <w:t xml:space="preserve">shall specify whether or not it is urgent. </w:t>
      </w:r>
    </w:p>
    <w:p w14:paraId="3309B4BB" w14:textId="0E79EF34" w:rsidR="00B1623E" w:rsidRPr="005945EA" w:rsidRDefault="00BD637B" w:rsidP="00F61E92">
      <w:pPr>
        <w:pStyle w:val="Text1"/>
        <w:rPr>
          <w:noProof/>
        </w:rPr>
      </w:pPr>
      <w:r>
        <w:rPr>
          <w:noProof/>
        </w:rPr>
        <w:t>Those r</w:t>
      </w:r>
      <w:r w:rsidR="00B1623E">
        <w:rPr>
          <w:noProof/>
        </w:rPr>
        <w:t>equests</w:t>
      </w:r>
      <w:r w:rsidR="007A183F">
        <w:rPr>
          <w:noProof/>
        </w:rPr>
        <w:t xml:space="preserve"> for information </w:t>
      </w:r>
      <w:r w:rsidR="00B1623E">
        <w:rPr>
          <w:noProof/>
        </w:rPr>
        <w:t xml:space="preserve">shall be considered urgent if, having regard to all relevant facts and circumstances of the case at hand, </w:t>
      </w:r>
      <w:r w:rsidR="00D868AC" w:rsidRPr="00D868AC" w:rsidDel="004F12DA">
        <w:rPr>
          <w:noProof/>
        </w:rPr>
        <w:t>the</w:t>
      </w:r>
      <w:r w:rsidR="00D868AC" w:rsidRPr="00D868AC">
        <w:rPr>
          <w:noProof/>
        </w:rPr>
        <w:t>re are</w:t>
      </w:r>
      <w:r w:rsidR="00D868AC" w:rsidRPr="00D868AC" w:rsidDel="004F12DA">
        <w:rPr>
          <w:noProof/>
        </w:rPr>
        <w:t xml:space="preserve"> </w:t>
      </w:r>
      <w:r w:rsidR="00D868AC" w:rsidRPr="00D868AC">
        <w:rPr>
          <w:noProof/>
        </w:rPr>
        <w:t xml:space="preserve">objective </w:t>
      </w:r>
      <w:r w:rsidR="00D868AC" w:rsidRPr="00D868AC" w:rsidDel="004F12DA">
        <w:rPr>
          <w:noProof/>
        </w:rPr>
        <w:t xml:space="preserve">reasons to believe </w:t>
      </w:r>
      <w:r w:rsidR="00D868AC">
        <w:rPr>
          <w:noProof/>
        </w:rPr>
        <w:t xml:space="preserve">that </w:t>
      </w:r>
      <w:r w:rsidR="00B1623E">
        <w:rPr>
          <w:noProof/>
        </w:rPr>
        <w:t>the requested</w:t>
      </w:r>
      <w:r w:rsidR="00B1623E" w:rsidRPr="005945EA">
        <w:rPr>
          <w:noProof/>
        </w:rPr>
        <w:t xml:space="preserve"> information is</w:t>
      </w:r>
      <w:r w:rsidR="00EC2A80">
        <w:rPr>
          <w:noProof/>
        </w:rPr>
        <w:t xml:space="preserve"> one or more of the following</w:t>
      </w:r>
      <w:r w:rsidR="00D868AC">
        <w:rPr>
          <w:noProof/>
        </w:rPr>
        <w:t>:</w:t>
      </w:r>
    </w:p>
    <w:p w14:paraId="166740A1" w14:textId="68D9FDFB" w:rsidR="00B1623E" w:rsidRPr="00AC4331" w:rsidRDefault="002E4C52" w:rsidP="002E4C52">
      <w:pPr>
        <w:pStyle w:val="Point1"/>
        <w:rPr>
          <w:noProof/>
        </w:rPr>
      </w:pPr>
      <w:r w:rsidRPr="002E4C52">
        <w:t>(a)</w:t>
      </w:r>
      <w:r w:rsidRPr="002E4C52">
        <w:tab/>
      </w:r>
      <w:r w:rsidR="00B1623E">
        <w:rPr>
          <w:noProof/>
        </w:rPr>
        <w:t>essential for the prevention of an immediate and serious threat to the public security of a Member State</w:t>
      </w:r>
      <w:r w:rsidR="00B1623E" w:rsidRPr="00AC4331">
        <w:rPr>
          <w:noProof/>
        </w:rPr>
        <w:t xml:space="preserve">; </w:t>
      </w:r>
    </w:p>
    <w:p w14:paraId="12271A09" w14:textId="78A4E45F" w:rsidR="00B1623E" w:rsidRDefault="002E4C52" w:rsidP="002E4C52">
      <w:pPr>
        <w:pStyle w:val="Point1"/>
        <w:rPr>
          <w:noProof/>
        </w:rPr>
      </w:pPr>
      <w:r w:rsidRPr="002E4C52">
        <w:t>(b)</w:t>
      </w:r>
      <w:r w:rsidRPr="002E4C52">
        <w:tab/>
      </w:r>
      <w:r w:rsidR="00B1623E">
        <w:rPr>
          <w:noProof/>
        </w:rPr>
        <w:t xml:space="preserve">necessary in order to protect </w:t>
      </w:r>
      <w:r w:rsidR="00BE254B" w:rsidRPr="00FD70FE">
        <w:rPr>
          <w:noProof/>
        </w:rPr>
        <w:t>a person</w:t>
      </w:r>
      <w:r w:rsidR="0094255D">
        <w:rPr>
          <w:noProof/>
        </w:rPr>
        <w:t>’</w:t>
      </w:r>
      <w:r w:rsidR="00BE254B">
        <w:rPr>
          <w:noProof/>
        </w:rPr>
        <w:t xml:space="preserve">s </w:t>
      </w:r>
      <w:r w:rsidR="00B1623E">
        <w:rPr>
          <w:noProof/>
        </w:rPr>
        <w:t xml:space="preserve">vital interests </w:t>
      </w:r>
      <w:r w:rsidR="00BE254B">
        <w:rPr>
          <w:noProof/>
        </w:rPr>
        <w:t>which are at imminent risk</w:t>
      </w:r>
      <w:r w:rsidR="00B1623E">
        <w:rPr>
          <w:noProof/>
        </w:rPr>
        <w:t xml:space="preserve">; </w:t>
      </w:r>
    </w:p>
    <w:p w14:paraId="011E91EE" w14:textId="22E9A67E" w:rsidR="00B1623E" w:rsidRDefault="002E4C52" w:rsidP="002E4C52">
      <w:pPr>
        <w:pStyle w:val="Point1"/>
        <w:rPr>
          <w:noProof/>
        </w:rPr>
      </w:pPr>
      <w:r w:rsidRPr="002E4C52">
        <w:t>(c)</w:t>
      </w:r>
      <w:r w:rsidRPr="002E4C52">
        <w:tab/>
      </w:r>
      <w:r w:rsidR="00B1623E" w:rsidRPr="002830A5">
        <w:rPr>
          <w:noProof/>
        </w:rPr>
        <w:t>necessary to adopt a decision that may involve the maintenance of restrictive measures amounting to a deprivation of liberty;</w:t>
      </w:r>
      <w:r w:rsidR="00B1623E">
        <w:rPr>
          <w:noProof/>
        </w:rPr>
        <w:t xml:space="preserve"> </w:t>
      </w:r>
    </w:p>
    <w:p w14:paraId="0CD115F4" w14:textId="5B31DC9F" w:rsidR="00B1623E" w:rsidRDefault="002E4C52" w:rsidP="002E4C52">
      <w:pPr>
        <w:pStyle w:val="Point1"/>
        <w:rPr>
          <w:noProof/>
        </w:rPr>
      </w:pPr>
      <w:r w:rsidRPr="002E4C52">
        <w:t>(d)</w:t>
      </w:r>
      <w:r w:rsidRPr="002E4C52">
        <w:tab/>
      </w:r>
      <w:r w:rsidR="00695291" w:rsidRPr="00B812D4">
        <w:rPr>
          <w:noProof/>
        </w:rPr>
        <w:t xml:space="preserve">at </w:t>
      </w:r>
      <w:r w:rsidR="00BE254B" w:rsidRPr="00B812D4">
        <w:rPr>
          <w:noProof/>
        </w:rPr>
        <w:t xml:space="preserve">imminent </w:t>
      </w:r>
      <w:r w:rsidR="00B1623E" w:rsidRPr="00B812D4">
        <w:rPr>
          <w:noProof/>
        </w:rPr>
        <w:t>risk of los</w:t>
      </w:r>
      <w:r w:rsidR="00A31D73">
        <w:rPr>
          <w:noProof/>
        </w:rPr>
        <w:t>ing relevance</w:t>
      </w:r>
      <w:r w:rsidR="000255B2">
        <w:rPr>
          <w:noProof/>
        </w:rPr>
        <w:t xml:space="preserve"> if not provided urgently</w:t>
      </w:r>
      <w:r w:rsidR="00EC11C2" w:rsidRPr="00B812D4">
        <w:rPr>
          <w:noProof/>
        </w:rPr>
        <w:t>.</w:t>
      </w:r>
      <w:r w:rsidR="006D0AD2" w:rsidRPr="00B812D4">
        <w:rPr>
          <w:noProof/>
        </w:rPr>
        <w:t xml:space="preserve"> </w:t>
      </w:r>
    </w:p>
    <w:p w14:paraId="69F4D3F1" w14:textId="39A3C7B9" w:rsidR="00B95806" w:rsidRDefault="002E4C52" w:rsidP="002E4C52">
      <w:pPr>
        <w:pStyle w:val="ManualNumPar1"/>
        <w:rPr>
          <w:noProof/>
        </w:rPr>
      </w:pPr>
      <w:r w:rsidRPr="002E4C52">
        <w:t>4.</w:t>
      </w:r>
      <w:r w:rsidRPr="002E4C52">
        <w:tab/>
      </w:r>
      <w:r w:rsidR="007A183F">
        <w:rPr>
          <w:noProof/>
        </w:rPr>
        <w:t>R</w:t>
      </w:r>
      <w:r w:rsidR="006C0C4C">
        <w:rPr>
          <w:noProof/>
        </w:rPr>
        <w:t>equest</w:t>
      </w:r>
      <w:r w:rsidR="00BE254B">
        <w:rPr>
          <w:noProof/>
        </w:rPr>
        <w:t>s</w:t>
      </w:r>
      <w:r w:rsidR="006C0C4C">
        <w:rPr>
          <w:noProof/>
        </w:rPr>
        <w:t xml:space="preserve"> </w:t>
      </w:r>
      <w:r w:rsidR="00D469D1">
        <w:rPr>
          <w:noProof/>
        </w:rPr>
        <w:t>for information</w:t>
      </w:r>
      <w:r w:rsidR="00BD637B" w:rsidRPr="00BD637B">
        <w:rPr>
          <w:noProof/>
        </w:rPr>
        <w:t xml:space="preserve"> </w:t>
      </w:r>
      <w:r w:rsidR="000255B2" w:rsidRPr="00BD637B">
        <w:rPr>
          <w:noProof/>
        </w:rPr>
        <w:t>to the Single Point of Contact of another Member State</w:t>
      </w:r>
      <w:r w:rsidR="000255B2">
        <w:rPr>
          <w:noProof/>
        </w:rPr>
        <w:t xml:space="preserve"> </w:t>
      </w:r>
      <w:r w:rsidR="00B95806">
        <w:rPr>
          <w:noProof/>
        </w:rPr>
        <w:t xml:space="preserve">shall </w:t>
      </w:r>
      <w:r w:rsidR="006C0C4C" w:rsidRPr="00BE254B">
        <w:rPr>
          <w:noProof/>
        </w:rPr>
        <w:t>contain</w:t>
      </w:r>
      <w:r w:rsidR="00D469D1" w:rsidRPr="00BE254B">
        <w:rPr>
          <w:noProof/>
        </w:rPr>
        <w:t xml:space="preserve"> all necessary</w:t>
      </w:r>
      <w:r w:rsidR="00B95806" w:rsidRPr="00BE254B">
        <w:rPr>
          <w:noProof/>
        </w:rPr>
        <w:t xml:space="preserve"> </w:t>
      </w:r>
      <w:r w:rsidR="009172A7" w:rsidRPr="00BE254B">
        <w:rPr>
          <w:noProof/>
        </w:rPr>
        <w:t>explanations</w:t>
      </w:r>
      <w:r w:rsidR="00D469D1" w:rsidRPr="00BE254B">
        <w:rPr>
          <w:noProof/>
        </w:rPr>
        <w:t xml:space="preserve"> to allow for </w:t>
      </w:r>
      <w:r w:rsidR="000C383B">
        <w:rPr>
          <w:noProof/>
        </w:rPr>
        <w:t>their</w:t>
      </w:r>
      <w:r w:rsidR="000C383B" w:rsidRPr="00BE254B">
        <w:rPr>
          <w:noProof/>
        </w:rPr>
        <w:t xml:space="preserve"> </w:t>
      </w:r>
      <w:r w:rsidR="00D469D1" w:rsidRPr="00BE254B">
        <w:rPr>
          <w:noProof/>
        </w:rPr>
        <w:t>adequate and rapid processing in accordance with this Directive</w:t>
      </w:r>
      <w:r w:rsidR="00D469D1">
        <w:rPr>
          <w:noProof/>
        </w:rPr>
        <w:t xml:space="preserve">, including </w:t>
      </w:r>
      <w:r w:rsidR="00B95806">
        <w:rPr>
          <w:noProof/>
        </w:rPr>
        <w:t>at least</w:t>
      </w:r>
      <w:r w:rsidR="00EC2A80">
        <w:rPr>
          <w:noProof/>
        </w:rPr>
        <w:t xml:space="preserve"> the following</w:t>
      </w:r>
      <w:r w:rsidR="00B95806">
        <w:rPr>
          <w:noProof/>
        </w:rPr>
        <w:t>:</w:t>
      </w:r>
      <w:r w:rsidR="006C0C4C">
        <w:rPr>
          <w:noProof/>
        </w:rPr>
        <w:t xml:space="preserve"> </w:t>
      </w:r>
    </w:p>
    <w:p w14:paraId="706B75E3" w14:textId="482E774E" w:rsidR="00302E5F" w:rsidRDefault="002E4C52" w:rsidP="002E4C52">
      <w:pPr>
        <w:pStyle w:val="Point1"/>
        <w:rPr>
          <w:noProof/>
        </w:rPr>
      </w:pPr>
      <w:r w:rsidRPr="002E4C52">
        <w:t>(a)</w:t>
      </w:r>
      <w:r w:rsidRPr="002E4C52">
        <w:tab/>
      </w:r>
      <w:r w:rsidR="00302E5F">
        <w:rPr>
          <w:noProof/>
        </w:rPr>
        <w:t xml:space="preserve">a specification of the </w:t>
      </w:r>
      <w:r w:rsidR="00EB5B34">
        <w:rPr>
          <w:noProof/>
        </w:rPr>
        <w:t xml:space="preserve">requested </w:t>
      </w:r>
      <w:r w:rsidR="00302E5F">
        <w:rPr>
          <w:noProof/>
        </w:rPr>
        <w:t xml:space="preserve">information </w:t>
      </w:r>
      <w:r w:rsidR="00EF0A87">
        <w:rPr>
          <w:noProof/>
        </w:rPr>
        <w:t xml:space="preserve">that is </w:t>
      </w:r>
      <w:r w:rsidR="00302E5F">
        <w:rPr>
          <w:noProof/>
        </w:rPr>
        <w:t xml:space="preserve">as detailed as </w:t>
      </w:r>
      <w:r w:rsidR="006A45DF">
        <w:rPr>
          <w:noProof/>
        </w:rPr>
        <w:t xml:space="preserve">reasonably </w:t>
      </w:r>
      <w:r w:rsidR="00302E5F">
        <w:rPr>
          <w:noProof/>
        </w:rPr>
        <w:t>possible under the given circumstances</w:t>
      </w:r>
      <w:r w:rsidR="00AD7727">
        <w:rPr>
          <w:noProof/>
        </w:rPr>
        <w:t>;</w:t>
      </w:r>
      <w:r w:rsidR="00302E5F">
        <w:rPr>
          <w:noProof/>
        </w:rPr>
        <w:t xml:space="preserve"> </w:t>
      </w:r>
    </w:p>
    <w:p w14:paraId="1AF40C25" w14:textId="55200361" w:rsidR="00B95806" w:rsidRDefault="002E4C52" w:rsidP="002E4C52">
      <w:pPr>
        <w:pStyle w:val="Point1"/>
        <w:rPr>
          <w:noProof/>
        </w:rPr>
      </w:pPr>
      <w:r w:rsidRPr="002E4C52">
        <w:t>(b)</w:t>
      </w:r>
      <w:r w:rsidRPr="002E4C52">
        <w:tab/>
      </w:r>
      <w:r w:rsidR="009662BD">
        <w:rPr>
          <w:noProof/>
        </w:rPr>
        <w:t xml:space="preserve">a description of </w:t>
      </w:r>
      <w:r w:rsidR="006C0C4C" w:rsidDel="004F12DA">
        <w:rPr>
          <w:noProof/>
        </w:rPr>
        <w:t>the purpose</w:t>
      </w:r>
      <w:r w:rsidR="006C0C4C">
        <w:rPr>
          <w:noProof/>
        </w:rPr>
        <w:t xml:space="preserve"> </w:t>
      </w:r>
      <w:r w:rsidR="00B95806">
        <w:rPr>
          <w:noProof/>
        </w:rPr>
        <w:t xml:space="preserve">for which the information is </w:t>
      </w:r>
      <w:r w:rsidR="00D469D1">
        <w:rPr>
          <w:noProof/>
        </w:rPr>
        <w:t>requested</w:t>
      </w:r>
      <w:r w:rsidR="00B95806">
        <w:rPr>
          <w:noProof/>
        </w:rPr>
        <w:t>;</w:t>
      </w:r>
    </w:p>
    <w:p w14:paraId="6812005B" w14:textId="4348A648" w:rsidR="0052272F" w:rsidRDefault="002E4C52" w:rsidP="002E4C52">
      <w:pPr>
        <w:pStyle w:val="Point1"/>
        <w:rPr>
          <w:noProof/>
        </w:rPr>
      </w:pPr>
      <w:r w:rsidRPr="002E4C52">
        <w:t>(c)</w:t>
      </w:r>
      <w:r w:rsidRPr="002E4C52">
        <w:tab/>
      </w:r>
      <w:r w:rsidR="0052272F">
        <w:rPr>
          <w:noProof/>
        </w:rPr>
        <w:t>the objective reasons according to which it is believed that the requested information is available to the</w:t>
      </w:r>
      <w:r w:rsidR="00F22384">
        <w:rPr>
          <w:noProof/>
        </w:rPr>
        <w:t xml:space="preserve"> </w:t>
      </w:r>
      <w:r w:rsidR="0052272F">
        <w:rPr>
          <w:noProof/>
        </w:rPr>
        <w:t>law enforcement authorit</w:t>
      </w:r>
      <w:r w:rsidR="00D66572">
        <w:rPr>
          <w:noProof/>
        </w:rPr>
        <w:t>ies of the requested Member State</w:t>
      </w:r>
      <w:r w:rsidR="0052272F">
        <w:rPr>
          <w:noProof/>
        </w:rPr>
        <w:t>;</w:t>
      </w:r>
    </w:p>
    <w:p w14:paraId="5E69E385" w14:textId="49E72379" w:rsidR="00B95806" w:rsidRDefault="002E4C52" w:rsidP="002E4C52">
      <w:pPr>
        <w:pStyle w:val="Point1"/>
        <w:rPr>
          <w:noProof/>
        </w:rPr>
      </w:pPr>
      <w:r w:rsidRPr="002E4C52">
        <w:t>(d)</w:t>
      </w:r>
      <w:r w:rsidRPr="002E4C52">
        <w:tab/>
      </w:r>
      <w:r w:rsidR="000255B2">
        <w:rPr>
          <w:noProof/>
        </w:rPr>
        <w:t xml:space="preserve">an explanation </w:t>
      </w:r>
      <w:r w:rsidR="009662BD">
        <w:rPr>
          <w:noProof/>
        </w:rPr>
        <w:t xml:space="preserve">of </w:t>
      </w:r>
      <w:r w:rsidR="006C0C4C" w:rsidDel="004F12DA">
        <w:rPr>
          <w:noProof/>
        </w:rPr>
        <w:t>the connection between the purpose and the person</w:t>
      </w:r>
      <w:r w:rsidR="006C0C4C">
        <w:rPr>
          <w:noProof/>
        </w:rPr>
        <w:t xml:space="preserve"> or persons</w:t>
      </w:r>
      <w:r w:rsidR="006C0C4C" w:rsidDel="004F12DA">
        <w:rPr>
          <w:noProof/>
        </w:rPr>
        <w:t xml:space="preserve"> </w:t>
      </w:r>
      <w:r w:rsidR="006C0C4C">
        <w:rPr>
          <w:noProof/>
        </w:rPr>
        <w:t xml:space="preserve">to </w:t>
      </w:r>
      <w:r w:rsidR="006C0C4C" w:rsidDel="004F12DA">
        <w:rPr>
          <w:noProof/>
        </w:rPr>
        <w:t>who</w:t>
      </w:r>
      <w:r w:rsidR="006C0C4C">
        <w:rPr>
          <w:noProof/>
        </w:rPr>
        <w:t>m</w:t>
      </w:r>
      <w:r w:rsidR="006C0C4C" w:rsidDel="004F12DA">
        <w:rPr>
          <w:noProof/>
        </w:rPr>
        <w:t xml:space="preserve"> the information </w:t>
      </w:r>
      <w:r w:rsidR="00D469D1">
        <w:rPr>
          <w:noProof/>
        </w:rPr>
        <w:t>relates</w:t>
      </w:r>
      <w:r w:rsidR="00AF7EDE">
        <w:rPr>
          <w:noProof/>
        </w:rPr>
        <w:t xml:space="preserve">, </w:t>
      </w:r>
      <w:r w:rsidR="00AF7EDE" w:rsidRPr="00EB5B34">
        <w:rPr>
          <w:noProof/>
        </w:rPr>
        <w:t>where applicable</w:t>
      </w:r>
      <w:r w:rsidR="00B95806">
        <w:rPr>
          <w:noProof/>
        </w:rPr>
        <w:t>;</w:t>
      </w:r>
      <w:r w:rsidR="006C0C4C">
        <w:rPr>
          <w:noProof/>
        </w:rPr>
        <w:t xml:space="preserve"> </w:t>
      </w:r>
    </w:p>
    <w:p w14:paraId="7693E8E3" w14:textId="0E5ABBE6" w:rsidR="003957FE" w:rsidRDefault="002E4C52" w:rsidP="002E4C52">
      <w:pPr>
        <w:pStyle w:val="Point1"/>
        <w:rPr>
          <w:noProof/>
        </w:rPr>
      </w:pPr>
      <w:r w:rsidRPr="002E4C52">
        <w:t>(e)</w:t>
      </w:r>
      <w:r w:rsidRPr="002E4C52">
        <w:tab/>
      </w:r>
      <w:r w:rsidR="003E09F0">
        <w:rPr>
          <w:noProof/>
        </w:rPr>
        <w:t>the reasons for which the request is considered urgent</w:t>
      </w:r>
      <w:r w:rsidR="00A319B3" w:rsidRPr="00D92745">
        <w:rPr>
          <w:noProof/>
        </w:rPr>
        <w:t>, where applicable</w:t>
      </w:r>
      <w:r w:rsidR="006C0C4C">
        <w:rPr>
          <w:noProof/>
        </w:rPr>
        <w:t>.</w:t>
      </w:r>
    </w:p>
    <w:p w14:paraId="0C6C4B35" w14:textId="157D98C7" w:rsidR="00EC2A80" w:rsidRDefault="002E4C52" w:rsidP="002E4C52">
      <w:pPr>
        <w:pStyle w:val="ManualNumPar1"/>
        <w:rPr>
          <w:noProof/>
        </w:rPr>
      </w:pPr>
      <w:r w:rsidRPr="002E4C52">
        <w:t>5.</w:t>
      </w:r>
      <w:r w:rsidRPr="002E4C52">
        <w:tab/>
      </w:r>
      <w:r w:rsidR="00EC2A80" w:rsidRPr="00B812D4">
        <w:rPr>
          <w:noProof/>
        </w:rPr>
        <w:t>Requests</w:t>
      </w:r>
      <w:r w:rsidR="00EC2A80" w:rsidRPr="005E09C8">
        <w:rPr>
          <w:noProof/>
        </w:rPr>
        <w:t xml:space="preserve"> for information </w:t>
      </w:r>
      <w:r w:rsidR="000255B2" w:rsidRPr="00BD637B">
        <w:rPr>
          <w:noProof/>
        </w:rPr>
        <w:t xml:space="preserve">to the Single Point of Contact of another Member State </w:t>
      </w:r>
      <w:r w:rsidR="00EC2A80" w:rsidRPr="005E09C8">
        <w:rPr>
          <w:noProof/>
        </w:rPr>
        <w:t>shall be submitted</w:t>
      </w:r>
      <w:r w:rsidR="00EC2A80" w:rsidRPr="00637988">
        <w:rPr>
          <w:noProof/>
        </w:rPr>
        <w:t xml:space="preserve"> </w:t>
      </w:r>
      <w:r w:rsidR="00EC2A80" w:rsidRPr="00BF40E1">
        <w:rPr>
          <w:noProof/>
        </w:rPr>
        <w:t xml:space="preserve">in one of the languages </w:t>
      </w:r>
      <w:r w:rsidR="000C383B">
        <w:rPr>
          <w:noProof/>
        </w:rPr>
        <w:t>included</w:t>
      </w:r>
      <w:r w:rsidR="00EC2A80" w:rsidRPr="00BF40E1">
        <w:rPr>
          <w:noProof/>
        </w:rPr>
        <w:t xml:space="preserve"> in the list established by the requested Member State and published in accordance with Article </w:t>
      </w:r>
      <w:r w:rsidR="00EC2A80" w:rsidRPr="004271D5">
        <w:rPr>
          <w:noProof/>
        </w:rPr>
        <w:t>1</w:t>
      </w:r>
      <w:r w:rsidR="00A821B4" w:rsidRPr="004271D5">
        <w:rPr>
          <w:noProof/>
        </w:rPr>
        <w:t>1</w:t>
      </w:r>
      <w:r w:rsidR="00EC2A80" w:rsidRPr="004271D5">
        <w:rPr>
          <w:noProof/>
        </w:rPr>
        <w:t>.</w:t>
      </w:r>
    </w:p>
    <w:p w14:paraId="782DC74F" w14:textId="77777777" w:rsidR="009172A7" w:rsidRDefault="009172A7" w:rsidP="009F62D4">
      <w:pPr>
        <w:spacing w:before="360" w:after="0"/>
        <w:jc w:val="center"/>
        <w:rPr>
          <w:i/>
          <w:noProof/>
        </w:rPr>
      </w:pPr>
      <w:r>
        <w:rPr>
          <w:i/>
          <w:noProof/>
        </w:rPr>
        <w:t xml:space="preserve">Article </w:t>
      </w:r>
      <w:r w:rsidR="00D219E5">
        <w:rPr>
          <w:i/>
          <w:noProof/>
        </w:rPr>
        <w:t>5</w:t>
      </w:r>
    </w:p>
    <w:p w14:paraId="71626143" w14:textId="5AED52C7" w:rsidR="009172A7" w:rsidRDefault="00A7146C" w:rsidP="00410F4C">
      <w:pPr>
        <w:spacing w:before="0"/>
        <w:ind w:firstLine="720"/>
        <w:jc w:val="center"/>
        <w:rPr>
          <w:noProof/>
          <w:szCs w:val="24"/>
        </w:rPr>
      </w:pPr>
      <w:r>
        <w:rPr>
          <w:b/>
          <w:i/>
          <w:noProof/>
        </w:rPr>
        <w:t xml:space="preserve">Provision of information </w:t>
      </w:r>
      <w:r w:rsidR="00EB5B34">
        <w:rPr>
          <w:b/>
          <w:i/>
          <w:noProof/>
        </w:rPr>
        <w:t xml:space="preserve">pursuant to </w:t>
      </w:r>
      <w:r>
        <w:rPr>
          <w:b/>
          <w:i/>
          <w:noProof/>
        </w:rPr>
        <w:t>request</w:t>
      </w:r>
      <w:r w:rsidR="00EB5B34">
        <w:rPr>
          <w:b/>
          <w:i/>
          <w:noProof/>
        </w:rPr>
        <w:t>s</w:t>
      </w:r>
      <w:r>
        <w:rPr>
          <w:b/>
          <w:i/>
          <w:noProof/>
        </w:rPr>
        <w:t xml:space="preserve"> </w:t>
      </w:r>
      <w:r w:rsidR="001C7D89">
        <w:rPr>
          <w:b/>
          <w:i/>
          <w:noProof/>
        </w:rPr>
        <w:t>to the Single Point of Contact</w:t>
      </w:r>
      <w:r>
        <w:rPr>
          <w:b/>
          <w:i/>
          <w:noProof/>
        </w:rPr>
        <w:t xml:space="preserve"> </w:t>
      </w:r>
    </w:p>
    <w:p w14:paraId="0ACEE842" w14:textId="598D1C25" w:rsidR="00EB45E6" w:rsidRDefault="002E4C52" w:rsidP="002E4C52">
      <w:pPr>
        <w:pStyle w:val="ManualNumPar1"/>
        <w:rPr>
          <w:noProof/>
        </w:rPr>
      </w:pPr>
      <w:r w:rsidRPr="002E4C52">
        <w:t>1.</w:t>
      </w:r>
      <w:r w:rsidRPr="002E4C52">
        <w:tab/>
      </w:r>
      <w:r w:rsidR="007A183F">
        <w:rPr>
          <w:noProof/>
        </w:rPr>
        <w:t xml:space="preserve">Subject to paragraph </w:t>
      </w:r>
      <w:r w:rsidR="00660B9F">
        <w:rPr>
          <w:noProof/>
        </w:rPr>
        <w:t>2</w:t>
      </w:r>
      <w:r w:rsidR="0008458D">
        <w:rPr>
          <w:noProof/>
        </w:rPr>
        <w:t xml:space="preserve"> of this Article </w:t>
      </w:r>
      <w:r w:rsidR="0008458D" w:rsidRPr="009C495B">
        <w:rPr>
          <w:noProof/>
        </w:rPr>
        <w:t>and to Article 6(3)</w:t>
      </w:r>
      <w:r w:rsidR="007A183F" w:rsidRPr="009C495B">
        <w:rPr>
          <w:noProof/>
        </w:rPr>
        <w:t>,</w:t>
      </w:r>
      <w:r w:rsidR="007A183F" w:rsidRPr="00CA16B2" w:rsidDel="006A45DF">
        <w:rPr>
          <w:noProof/>
        </w:rPr>
        <w:t xml:space="preserve"> </w:t>
      </w:r>
      <w:r w:rsidR="009172A7" w:rsidRPr="00CA16B2">
        <w:rPr>
          <w:noProof/>
        </w:rPr>
        <w:t xml:space="preserve">Member States shall ensure that </w:t>
      </w:r>
      <w:r w:rsidR="00071F73">
        <w:rPr>
          <w:noProof/>
        </w:rPr>
        <w:t xml:space="preserve">their </w:t>
      </w:r>
      <w:r w:rsidR="0026202E">
        <w:rPr>
          <w:noProof/>
        </w:rPr>
        <w:t>Single Point of Contact</w:t>
      </w:r>
      <w:r w:rsidR="00071F73">
        <w:rPr>
          <w:noProof/>
        </w:rPr>
        <w:t xml:space="preserve"> </w:t>
      </w:r>
      <w:r w:rsidR="00A7146C" w:rsidRPr="00E47B3F">
        <w:rPr>
          <w:noProof/>
        </w:rPr>
        <w:t>provide</w:t>
      </w:r>
      <w:r w:rsidR="007729E3">
        <w:rPr>
          <w:noProof/>
        </w:rPr>
        <w:t>s</w:t>
      </w:r>
      <w:r w:rsidR="00A7146C" w:rsidRPr="00E47B3F">
        <w:rPr>
          <w:noProof/>
        </w:rPr>
        <w:t xml:space="preserve"> the information </w:t>
      </w:r>
      <w:r w:rsidR="009172A7" w:rsidRPr="00E47B3F">
        <w:rPr>
          <w:noProof/>
        </w:rPr>
        <w:t>reques</w:t>
      </w:r>
      <w:r w:rsidR="00071F73" w:rsidRPr="00E47B3F">
        <w:rPr>
          <w:noProof/>
        </w:rPr>
        <w:t>t</w:t>
      </w:r>
      <w:r w:rsidR="00A7146C" w:rsidRPr="00E47B3F">
        <w:rPr>
          <w:noProof/>
        </w:rPr>
        <w:t>ed</w:t>
      </w:r>
      <w:r w:rsidR="009172A7" w:rsidRPr="00E47B3F">
        <w:rPr>
          <w:noProof/>
        </w:rPr>
        <w:t xml:space="preserve"> </w:t>
      </w:r>
      <w:r w:rsidR="008155EF">
        <w:rPr>
          <w:noProof/>
        </w:rPr>
        <w:t xml:space="preserve">in accordance with </w:t>
      </w:r>
      <w:r w:rsidR="00CC33E9">
        <w:rPr>
          <w:noProof/>
        </w:rPr>
        <w:t>A</w:t>
      </w:r>
      <w:r w:rsidR="008155EF">
        <w:rPr>
          <w:noProof/>
        </w:rPr>
        <w:t>rticle 4</w:t>
      </w:r>
      <w:r w:rsidR="009172A7" w:rsidRPr="00E47B3F">
        <w:rPr>
          <w:noProof/>
        </w:rPr>
        <w:t xml:space="preserve"> </w:t>
      </w:r>
      <w:r w:rsidR="009D69ED" w:rsidRPr="00E47B3F">
        <w:rPr>
          <w:noProof/>
        </w:rPr>
        <w:t>as soon as possible</w:t>
      </w:r>
      <w:r w:rsidR="00BE254B" w:rsidRPr="00E47B3F">
        <w:rPr>
          <w:noProof/>
        </w:rPr>
        <w:t xml:space="preserve"> </w:t>
      </w:r>
      <w:r w:rsidR="009D69ED" w:rsidRPr="00E47B3F">
        <w:rPr>
          <w:noProof/>
        </w:rPr>
        <w:t xml:space="preserve">and in any event </w:t>
      </w:r>
      <w:r w:rsidR="009172A7" w:rsidRPr="00E47B3F">
        <w:rPr>
          <w:noProof/>
        </w:rPr>
        <w:t>within</w:t>
      </w:r>
      <w:r w:rsidR="00E75C62" w:rsidRPr="00E47B3F">
        <w:rPr>
          <w:noProof/>
        </w:rPr>
        <w:t xml:space="preserve"> </w:t>
      </w:r>
      <w:r w:rsidR="000952BE" w:rsidRPr="00E47B3F">
        <w:rPr>
          <w:noProof/>
        </w:rPr>
        <w:t>the</w:t>
      </w:r>
      <w:r w:rsidR="00B1623E" w:rsidRPr="00E47B3F">
        <w:rPr>
          <w:noProof/>
        </w:rPr>
        <w:t xml:space="preserve"> following</w:t>
      </w:r>
      <w:r w:rsidR="000952BE" w:rsidRPr="00E47B3F">
        <w:rPr>
          <w:noProof/>
        </w:rPr>
        <w:t xml:space="preserve"> </w:t>
      </w:r>
      <w:r w:rsidR="003E09F0" w:rsidRPr="00E47B3F">
        <w:rPr>
          <w:noProof/>
        </w:rPr>
        <w:t xml:space="preserve">time </w:t>
      </w:r>
      <w:r w:rsidR="00071F73" w:rsidRPr="00E47B3F">
        <w:rPr>
          <w:noProof/>
        </w:rPr>
        <w:t>limit</w:t>
      </w:r>
      <w:r w:rsidR="00B1623E" w:rsidRPr="00E47B3F">
        <w:rPr>
          <w:noProof/>
        </w:rPr>
        <w:t>s</w:t>
      </w:r>
      <w:r w:rsidR="00302E5F">
        <w:rPr>
          <w:noProof/>
        </w:rPr>
        <w:t>, as applicable</w:t>
      </w:r>
      <w:r w:rsidR="00347DB5" w:rsidRPr="00E47B3F">
        <w:rPr>
          <w:noProof/>
        </w:rPr>
        <w:t>:</w:t>
      </w:r>
    </w:p>
    <w:p w14:paraId="2939E9EE" w14:textId="4FC87DC0" w:rsidR="000731ED" w:rsidRPr="00B73C04" w:rsidRDefault="002E4C52" w:rsidP="002E4C52">
      <w:pPr>
        <w:pStyle w:val="Point1"/>
        <w:rPr>
          <w:noProof/>
        </w:rPr>
      </w:pPr>
      <w:r w:rsidRPr="002E4C52">
        <w:t>(a)</w:t>
      </w:r>
      <w:r w:rsidRPr="002E4C52">
        <w:tab/>
      </w:r>
      <w:r w:rsidR="003E09F0" w:rsidRPr="00B73C04">
        <w:rPr>
          <w:noProof/>
        </w:rPr>
        <w:t xml:space="preserve">eight hours, </w:t>
      </w:r>
      <w:r w:rsidR="00347DB5" w:rsidRPr="00B73C04">
        <w:rPr>
          <w:noProof/>
        </w:rPr>
        <w:t>for urgent</w:t>
      </w:r>
      <w:r w:rsidR="00347DB5" w:rsidRPr="00CD5A1B">
        <w:rPr>
          <w:noProof/>
        </w:rPr>
        <w:t xml:space="preserve"> requests relating to </w:t>
      </w:r>
      <w:r w:rsidR="003E09F0" w:rsidRPr="00CD5A1B">
        <w:rPr>
          <w:noProof/>
        </w:rPr>
        <w:t xml:space="preserve">information </w:t>
      </w:r>
      <w:r w:rsidR="00347DB5" w:rsidRPr="00CD5A1B">
        <w:rPr>
          <w:noProof/>
        </w:rPr>
        <w:t xml:space="preserve">that </w:t>
      </w:r>
      <w:r w:rsidR="003E09F0" w:rsidRPr="00CD5A1B">
        <w:rPr>
          <w:noProof/>
        </w:rPr>
        <w:t xml:space="preserve">is </w:t>
      </w:r>
      <w:r w:rsidR="00DA6A50" w:rsidRPr="00CD5A1B">
        <w:rPr>
          <w:noProof/>
        </w:rPr>
        <w:t xml:space="preserve">available </w:t>
      </w:r>
      <w:r w:rsidR="00EB5B34" w:rsidRPr="00CD5A1B">
        <w:rPr>
          <w:noProof/>
        </w:rPr>
        <w:t xml:space="preserve">to </w:t>
      </w:r>
      <w:r w:rsidR="003E09F0" w:rsidRPr="00CD5A1B">
        <w:rPr>
          <w:noProof/>
        </w:rPr>
        <w:t xml:space="preserve">the </w:t>
      </w:r>
      <w:r w:rsidR="009713D5" w:rsidRPr="00CD5A1B">
        <w:rPr>
          <w:noProof/>
        </w:rPr>
        <w:t xml:space="preserve">law enforcement </w:t>
      </w:r>
      <w:r w:rsidR="00B500D3" w:rsidRPr="00CD5A1B">
        <w:rPr>
          <w:noProof/>
        </w:rPr>
        <w:t>authorit</w:t>
      </w:r>
      <w:r w:rsidR="00D66572" w:rsidRPr="00CD5A1B">
        <w:rPr>
          <w:noProof/>
        </w:rPr>
        <w:t>ies</w:t>
      </w:r>
      <w:r w:rsidR="0026202E" w:rsidRPr="00CD5A1B">
        <w:rPr>
          <w:noProof/>
        </w:rPr>
        <w:t xml:space="preserve"> of the requested Member State</w:t>
      </w:r>
      <w:r w:rsidR="00DA6A50" w:rsidRPr="00CD5A1B">
        <w:rPr>
          <w:noProof/>
        </w:rPr>
        <w:t xml:space="preserve"> without having to obtain a judicial authorisation</w:t>
      </w:r>
      <w:r w:rsidR="003E09F0" w:rsidRPr="00B73C04">
        <w:rPr>
          <w:noProof/>
        </w:rPr>
        <w:t>;</w:t>
      </w:r>
      <w:r w:rsidR="003A53F3" w:rsidRPr="00B73C04">
        <w:rPr>
          <w:noProof/>
        </w:rPr>
        <w:t xml:space="preserve"> </w:t>
      </w:r>
    </w:p>
    <w:p w14:paraId="2988EC5B" w14:textId="617B3C63" w:rsidR="00EB45E6" w:rsidRPr="00CD5A1B" w:rsidRDefault="002E4C52" w:rsidP="002E4C52">
      <w:pPr>
        <w:pStyle w:val="Point1"/>
        <w:rPr>
          <w:noProof/>
        </w:rPr>
      </w:pPr>
      <w:r w:rsidRPr="002E4C52">
        <w:t>(b)</w:t>
      </w:r>
      <w:r w:rsidRPr="002E4C52">
        <w:tab/>
      </w:r>
      <w:r w:rsidR="00FD70FE" w:rsidRPr="00CD5A1B">
        <w:rPr>
          <w:noProof/>
        </w:rPr>
        <w:t>three calendar days,</w:t>
      </w:r>
      <w:r w:rsidR="00EB45E6" w:rsidRPr="00CD5A1B">
        <w:rPr>
          <w:noProof/>
        </w:rPr>
        <w:t xml:space="preserve"> for urgent requests</w:t>
      </w:r>
      <w:r w:rsidR="00E13464">
        <w:rPr>
          <w:noProof/>
        </w:rPr>
        <w:t xml:space="preserve"> </w:t>
      </w:r>
      <w:r w:rsidR="00E13464" w:rsidRPr="00414504">
        <w:rPr>
          <w:noProof/>
        </w:rPr>
        <w:t>relating to information that is available to the law enforcement authorities of the requested Member State subject to a requirement to obtain a judicial authorisation</w:t>
      </w:r>
      <w:r w:rsidR="009C495B" w:rsidRPr="00414504">
        <w:rPr>
          <w:noProof/>
        </w:rPr>
        <w:t>;</w:t>
      </w:r>
      <w:r w:rsidR="00660B9F" w:rsidRPr="00414504">
        <w:rPr>
          <w:noProof/>
        </w:rPr>
        <w:t xml:space="preserve"> </w:t>
      </w:r>
    </w:p>
    <w:p w14:paraId="55D2A3FC" w14:textId="3EE13A02" w:rsidR="00FD70FE" w:rsidRPr="00CD5A1B" w:rsidRDefault="002E4C52" w:rsidP="002E4C52">
      <w:pPr>
        <w:pStyle w:val="Point1"/>
        <w:rPr>
          <w:noProof/>
        </w:rPr>
      </w:pPr>
      <w:r w:rsidRPr="002E4C52">
        <w:t>(c)</w:t>
      </w:r>
      <w:r w:rsidRPr="002E4C52">
        <w:tab/>
      </w:r>
      <w:r w:rsidR="00C16B20" w:rsidRPr="00CD5A1B">
        <w:rPr>
          <w:noProof/>
        </w:rPr>
        <w:t>seven calendar days</w:t>
      </w:r>
      <w:r w:rsidR="00EB45E6" w:rsidRPr="00CD5A1B">
        <w:rPr>
          <w:noProof/>
        </w:rPr>
        <w:t>, for all requests that are not urgent.</w:t>
      </w:r>
    </w:p>
    <w:p w14:paraId="267A355B" w14:textId="2DF6D367" w:rsidR="000731ED" w:rsidRDefault="00604F4E" w:rsidP="00F61E92">
      <w:pPr>
        <w:pStyle w:val="Text1"/>
        <w:rPr>
          <w:noProof/>
        </w:rPr>
      </w:pPr>
      <w:r>
        <w:rPr>
          <w:noProof/>
        </w:rPr>
        <w:t xml:space="preserve">The time periods </w:t>
      </w:r>
      <w:r w:rsidR="000C383B">
        <w:rPr>
          <w:noProof/>
        </w:rPr>
        <w:t xml:space="preserve">laid down </w:t>
      </w:r>
      <w:r>
        <w:rPr>
          <w:noProof/>
        </w:rPr>
        <w:t xml:space="preserve">in the first subparagraph </w:t>
      </w:r>
      <w:r w:rsidRPr="00604F4E">
        <w:rPr>
          <w:noProof/>
        </w:rPr>
        <w:t>shall commence at the moment of the reception of the request</w:t>
      </w:r>
      <w:r w:rsidR="007A183F">
        <w:rPr>
          <w:noProof/>
        </w:rPr>
        <w:t xml:space="preserve"> for information</w:t>
      </w:r>
      <w:r>
        <w:rPr>
          <w:noProof/>
        </w:rPr>
        <w:t>.</w:t>
      </w:r>
    </w:p>
    <w:p w14:paraId="422968BF" w14:textId="1246BD84" w:rsidR="006A6E28" w:rsidRDefault="002E4C52" w:rsidP="002E4C52">
      <w:pPr>
        <w:pStyle w:val="ManualNumPar1"/>
        <w:rPr>
          <w:noProof/>
        </w:rPr>
      </w:pPr>
      <w:r w:rsidRPr="002E4C52">
        <w:t>2.</w:t>
      </w:r>
      <w:r w:rsidRPr="002E4C52">
        <w:tab/>
      </w:r>
      <w:r w:rsidR="0067201F">
        <w:rPr>
          <w:noProof/>
        </w:rPr>
        <w:t>Where</w:t>
      </w:r>
      <w:r w:rsidR="00F43283">
        <w:rPr>
          <w:noProof/>
        </w:rPr>
        <w:t xml:space="preserve"> </w:t>
      </w:r>
      <w:r w:rsidR="000255B2">
        <w:rPr>
          <w:noProof/>
        </w:rPr>
        <w:t xml:space="preserve">under its national law in accordance with Article </w:t>
      </w:r>
      <w:r w:rsidR="000255B2" w:rsidRPr="004271D5">
        <w:rPr>
          <w:noProof/>
        </w:rPr>
        <w:t>9</w:t>
      </w:r>
      <w:r w:rsidR="000255B2">
        <w:rPr>
          <w:noProof/>
        </w:rPr>
        <w:t xml:space="preserve"> the requested</w:t>
      </w:r>
      <w:r w:rsidR="000255B2" w:rsidRPr="00E96099">
        <w:rPr>
          <w:noProof/>
        </w:rPr>
        <w:t xml:space="preserve"> </w:t>
      </w:r>
      <w:r w:rsidR="00DA6A50" w:rsidRPr="00E96099">
        <w:rPr>
          <w:noProof/>
        </w:rPr>
        <w:t>information is available only after having obtained a judicial authori</w:t>
      </w:r>
      <w:r w:rsidR="009A3B02">
        <w:rPr>
          <w:noProof/>
        </w:rPr>
        <w:t>sation</w:t>
      </w:r>
      <w:r w:rsidR="00DA6A50" w:rsidRPr="00E96099">
        <w:rPr>
          <w:noProof/>
        </w:rPr>
        <w:t>, t</w:t>
      </w:r>
      <w:r w:rsidR="00347DB5" w:rsidRPr="00E96099">
        <w:rPr>
          <w:noProof/>
        </w:rPr>
        <w:t>he</w:t>
      </w:r>
      <w:r w:rsidR="00347DB5">
        <w:rPr>
          <w:noProof/>
        </w:rPr>
        <w:t xml:space="preserve"> </w:t>
      </w:r>
      <w:r w:rsidR="009531B6">
        <w:rPr>
          <w:noProof/>
        </w:rPr>
        <w:t xml:space="preserve">requested </w:t>
      </w:r>
      <w:r w:rsidR="00D66572">
        <w:rPr>
          <w:noProof/>
        </w:rPr>
        <w:t>Member State</w:t>
      </w:r>
      <w:r w:rsidR="009531B6">
        <w:rPr>
          <w:noProof/>
        </w:rPr>
        <w:t xml:space="preserve"> may deviate from the time limits referred to</w:t>
      </w:r>
      <w:r w:rsidR="00D337A7" w:rsidRPr="003F4328">
        <w:rPr>
          <w:noProof/>
        </w:rPr>
        <w:t xml:space="preserve"> </w:t>
      </w:r>
      <w:r w:rsidR="005D18E3" w:rsidRPr="003F4328">
        <w:rPr>
          <w:noProof/>
        </w:rPr>
        <w:t>paragraph</w:t>
      </w:r>
      <w:r w:rsidR="00347DB5">
        <w:rPr>
          <w:noProof/>
        </w:rPr>
        <w:t xml:space="preserve"> 1</w:t>
      </w:r>
      <w:r w:rsidR="000255B2">
        <w:rPr>
          <w:noProof/>
        </w:rPr>
        <w:t xml:space="preserve"> insofar as necessary for obtaining such authorisation</w:t>
      </w:r>
      <w:r w:rsidR="0067201F">
        <w:rPr>
          <w:noProof/>
        </w:rPr>
        <w:t xml:space="preserve">. </w:t>
      </w:r>
    </w:p>
    <w:p w14:paraId="22E2038F" w14:textId="1C53ABA7" w:rsidR="009662BD" w:rsidRDefault="006A6E28" w:rsidP="00F61E92">
      <w:pPr>
        <w:pStyle w:val="Text1"/>
        <w:rPr>
          <w:noProof/>
        </w:rPr>
      </w:pPr>
      <w:r>
        <w:rPr>
          <w:noProof/>
        </w:rPr>
        <w:t>In such</w:t>
      </w:r>
      <w:r w:rsidR="005740D5">
        <w:rPr>
          <w:noProof/>
        </w:rPr>
        <w:t xml:space="preserve"> case</w:t>
      </w:r>
      <w:r>
        <w:rPr>
          <w:noProof/>
        </w:rPr>
        <w:t>s</w:t>
      </w:r>
      <w:r w:rsidR="00A54307">
        <w:rPr>
          <w:noProof/>
        </w:rPr>
        <w:t xml:space="preserve">, </w:t>
      </w:r>
      <w:r w:rsidR="000255B2">
        <w:rPr>
          <w:noProof/>
        </w:rPr>
        <w:t xml:space="preserve">Member States shall ensure that </w:t>
      </w:r>
      <w:r w:rsidR="00BA2E4C">
        <w:rPr>
          <w:noProof/>
        </w:rPr>
        <w:t>the</w:t>
      </w:r>
      <w:r w:rsidR="00262778">
        <w:rPr>
          <w:noProof/>
        </w:rPr>
        <w:t>ir</w:t>
      </w:r>
      <w:r w:rsidR="00BA2E4C">
        <w:rPr>
          <w:noProof/>
        </w:rPr>
        <w:t xml:space="preserve"> </w:t>
      </w:r>
      <w:r w:rsidR="00A54307">
        <w:rPr>
          <w:noProof/>
        </w:rPr>
        <w:t xml:space="preserve">Single Point of Contact </w:t>
      </w:r>
      <w:r w:rsidR="009662BD">
        <w:rPr>
          <w:noProof/>
        </w:rPr>
        <w:t>do</w:t>
      </w:r>
      <w:r w:rsidR="00262778">
        <w:rPr>
          <w:noProof/>
        </w:rPr>
        <w:t>es</w:t>
      </w:r>
      <w:r w:rsidR="009662BD">
        <w:rPr>
          <w:noProof/>
        </w:rPr>
        <w:t xml:space="preserve"> both of the following:</w:t>
      </w:r>
    </w:p>
    <w:p w14:paraId="4FD593FA" w14:textId="274C553E" w:rsidR="00262778" w:rsidRPr="005639CD" w:rsidRDefault="007B72BC" w:rsidP="00B73C04">
      <w:pPr>
        <w:pStyle w:val="Point2"/>
        <w:rPr>
          <w:noProof/>
        </w:rPr>
      </w:pPr>
      <w:r>
        <w:rPr>
          <w:noProof/>
        </w:rPr>
        <w:t xml:space="preserve">(i) </w:t>
      </w:r>
      <w:r w:rsidR="00970879">
        <w:rPr>
          <w:noProof/>
        </w:rPr>
        <w:tab/>
      </w:r>
      <w:r w:rsidR="00A54307" w:rsidRPr="005639CD">
        <w:rPr>
          <w:noProof/>
        </w:rPr>
        <w:t>immediately inform the Single Point of Contact or, where applicable, the law enforcement authority of the requesting Member State of the expected delay, specifying the length of the expected delay and the reasons therefore</w:t>
      </w:r>
      <w:r w:rsidR="009662BD" w:rsidRPr="005639CD">
        <w:rPr>
          <w:noProof/>
        </w:rPr>
        <w:t>;</w:t>
      </w:r>
      <w:r w:rsidR="00A54307" w:rsidRPr="005639CD">
        <w:rPr>
          <w:noProof/>
        </w:rPr>
        <w:t xml:space="preserve"> </w:t>
      </w:r>
    </w:p>
    <w:p w14:paraId="1F278CF9" w14:textId="591CD5C3" w:rsidR="000731ED" w:rsidRDefault="007B72BC" w:rsidP="00B73C04">
      <w:pPr>
        <w:pStyle w:val="Point2"/>
        <w:rPr>
          <w:noProof/>
        </w:rPr>
      </w:pPr>
      <w:r w:rsidRPr="005639CD">
        <w:rPr>
          <w:noProof/>
        </w:rPr>
        <w:t xml:space="preserve">(ii) </w:t>
      </w:r>
      <w:r w:rsidR="00970879" w:rsidRPr="005639CD">
        <w:rPr>
          <w:noProof/>
        </w:rPr>
        <w:tab/>
      </w:r>
      <w:r w:rsidR="00A54307" w:rsidRPr="005639CD">
        <w:rPr>
          <w:noProof/>
        </w:rPr>
        <w:t>subsequently</w:t>
      </w:r>
      <w:r w:rsidR="000C383B" w:rsidRPr="005639CD">
        <w:rPr>
          <w:noProof/>
        </w:rPr>
        <w:t xml:space="preserve"> </w:t>
      </w:r>
      <w:r w:rsidR="00A54307" w:rsidRPr="005639CD">
        <w:rPr>
          <w:noProof/>
        </w:rPr>
        <w:t>keep it updated</w:t>
      </w:r>
      <w:r w:rsidR="000255B2" w:rsidRPr="005639CD">
        <w:rPr>
          <w:noProof/>
        </w:rPr>
        <w:t xml:space="preserve"> and provide the requested information as soon as possible after obtaining the judicial authorisation</w:t>
      </w:r>
      <w:r w:rsidR="009662BD" w:rsidRPr="005639CD">
        <w:rPr>
          <w:noProof/>
        </w:rPr>
        <w:t>.</w:t>
      </w:r>
      <w:r w:rsidR="005639CD">
        <w:rPr>
          <w:noProof/>
        </w:rPr>
        <w:t xml:space="preserve"> </w:t>
      </w:r>
    </w:p>
    <w:p w14:paraId="44BA063A" w14:textId="7A290236" w:rsidR="0035446F" w:rsidRDefault="002E4C52" w:rsidP="002E4C52">
      <w:pPr>
        <w:pStyle w:val="ManualNumPar1"/>
        <w:rPr>
          <w:noProof/>
        </w:rPr>
      </w:pPr>
      <w:r w:rsidRPr="002E4C52">
        <w:t>3.</w:t>
      </w:r>
      <w:r w:rsidRPr="002E4C52">
        <w:tab/>
      </w:r>
      <w:r w:rsidR="00F958E7" w:rsidRPr="00E96099">
        <w:rPr>
          <w:noProof/>
        </w:rPr>
        <w:t>M</w:t>
      </w:r>
      <w:r w:rsidR="00A264F5" w:rsidRPr="00E96099">
        <w:rPr>
          <w:noProof/>
        </w:rPr>
        <w:t xml:space="preserve">ember States shall ensure that their Single Point of Contact provides </w:t>
      </w:r>
      <w:r w:rsidR="00262778">
        <w:rPr>
          <w:noProof/>
        </w:rPr>
        <w:t xml:space="preserve">the </w:t>
      </w:r>
      <w:r w:rsidR="00A264F5" w:rsidRPr="00E96099">
        <w:rPr>
          <w:noProof/>
        </w:rPr>
        <w:t>information</w:t>
      </w:r>
      <w:r w:rsidR="000255B2">
        <w:rPr>
          <w:noProof/>
        </w:rPr>
        <w:t xml:space="preserve"> requested in accordance with Article 4</w:t>
      </w:r>
      <w:r w:rsidR="0051081B" w:rsidRPr="00E96099">
        <w:rPr>
          <w:noProof/>
        </w:rPr>
        <w:t xml:space="preserve"> </w:t>
      </w:r>
      <w:r w:rsidR="00A264F5" w:rsidRPr="00E96099">
        <w:rPr>
          <w:noProof/>
        </w:rPr>
        <w:t>to the Single Point of Contact</w:t>
      </w:r>
      <w:r w:rsidR="00262778">
        <w:rPr>
          <w:noProof/>
        </w:rPr>
        <w:t xml:space="preserve"> </w:t>
      </w:r>
      <w:r w:rsidR="000255B2" w:rsidRPr="007E7A7E">
        <w:rPr>
          <w:noProof/>
        </w:rPr>
        <w:t xml:space="preserve">or, where applicable, </w:t>
      </w:r>
      <w:r w:rsidR="000255B2" w:rsidRPr="00931BC4">
        <w:rPr>
          <w:noProof/>
        </w:rPr>
        <w:t>the law enforcement authori</w:t>
      </w:r>
      <w:r w:rsidR="000255B2" w:rsidRPr="004D7408">
        <w:rPr>
          <w:noProof/>
        </w:rPr>
        <w:t xml:space="preserve">ty </w:t>
      </w:r>
      <w:r w:rsidR="00A264F5" w:rsidRPr="00E96099">
        <w:rPr>
          <w:noProof/>
        </w:rPr>
        <w:t>of the requesting Member State</w:t>
      </w:r>
      <w:r w:rsidR="005358B3" w:rsidRPr="00E96099">
        <w:rPr>
          <w:i/>
          <w:noProof/>
        </w:rPr>
        <w:t>,</w:t>
      </w:r>
      <w:r w:rsidR="00E96099">
        <w:rPr>
          <w:i/>
          <w:noProof/>
        </w:rPr>
        <w:t xml:space="preserve"> </w:t>
      </w:r>
      <w:r w:rsidR="00F958E7" w:rsidRPr="00E96099">
        <w:rPr>
          <w:noProof/>
        </w:rPr>
        <w:t>in the language in which th</w:t>
      </w:r>
      <w:r w:rsidR="004B77FF" w:rsidRPr="00E96099">
        <w:rPr>
          <w:noProof/>
        </w:rPr>
        <w:t>at</w:t>
      </w:r>
      <w:r w:rsidR="00F958E7" w:rsidRPr="00E96099">
        <w:rPr>
          <w:noProof/>
        </w:rPr>
        <w:t xml:space="preserve"> request</w:t>
      </w:r>
      <w:r w:rsidR="00262778">
        <w:rPr>
          <w:noProof/>
        </w:rPr>
        <w:t xml:space="preserve"> for information</w:t>
      </w:r>
      <w:r w:rsidR="00F958E7" w:rsidRPr="00E96099">
        <w:rPr>
          <w:noProof/>
        </w:rPr>
        <w:t xml:space="preserve"> was submitted in accordance with Article 4(</w:t>
      </w:r>
      <w:r w:rsidR="00F76809" w:rsidRPr="00260DBD">
        <w:rPr>
          <w:noProof/>
        </w:rPr>
        <w:t>5</w:t>
      </w:r>
      <w:r w:rsidR="00F958E7" w:rsidRPr="00E96099">
        <w:rPr>
          <w:noProof/>
        </w:rPr>
        <w:t xml:space="preserve">). </w:t>
      </w:r>
    </w:p>
    <w:p w14:paraId="0CA76221" w14:textId="7A595600" w:rsidR="00E85434" w:rsidRDefault="000255B2" w:rsidP="00F61E92">
      <w:pPr>
        <w:pStyle w:val="Text1"/>
        <w:rPr>
          <w:noProof/>
        </w:rPr>
      </w:pPr>
      <w:r>
        <w:rPr>
          <w:noProof/>
        </w:rPr>
        <w:t xml:space="preserve">Member States shall ensure that, where their </w:t>
      </w:r>
      <w:r w:rsidR="006908F8">
        <w:rPr>
          <w:noProof/>
        </w:rPr>
        <w:t>Single Point of Contact</w:t>
      </w:r>
      <w:r w:rsidR="00262778">
        <w:rPr>
          <w:noProof/>
        </w:rPr>
        <w:t xml:space="preserve"> </w:t>
      </w:r>
      <w:r>
        <w:rPr>
          <w:noProof/>
        </w:rPr>
        <w:t xml:space="preserve">provides the requested information to the law enforcement authority of the requesting Member State, it also sends, at the same time, </w:t>
      </w:r>
      <w:r w:rsidR="006908F8">
        <w:rPr>
          <w:noProof/>
        </w:rPr>
        <w:t xml:space="preserve">a copy of the information </w:t>
      </w:r>
      <w:r w:rsidR="00BF40E1" w:rsidRPr="00BF40E1">
        <w:rPr>
          <w:noProof/>
        </w:rPr>
        <w:t xml:space="preserve">to the </w:t>
      </w:r>
      <w:r w:rsidR="00BF40E1">
        <w:rPr>
          <w:noProof/>
        </w:rPr>
        <w:t>Single Point of Contact of th</w:t>
      </w:r>
      <w:r w:rsidR="00262778">
        <w:rPr>
          <w:noProof/>
        </w:rPr>
        <w:t>at</w:t>
      </w:r>
      <w:r w:rsidR="005410A5">
        <w:rPr>
          <w:noProof/>
        </w:rPr>
        <w:t xml:space="preserve"> </w:t>
      </w:r>
      <w:r w:rsidR="00BF40E1" w:rsidRPr="00BF40E1">
        <w:rPr>
          <w:noProof/>
        </w:rPr>
        <w:t>Member State.</w:t>
      </w:r>
    </w:p>
    <w:p w14:paraId="3AB67169" w14:textId="15440135" w:rsidR="009172A7" w:rsidRDefault="009172A7" w:rsidP="001A41DE">
      <w:pPr>
        <w:spacing w:before="360" w:after="0"/>
        <w:jc w:val="center"/>
        <w:rPr>
          <w:i/>
          <w:noProof/>
        </w:rPr>
      </w:pPr>
      <w:r>
        <w:rPr>
          <w:i/>
          <w:noProof/>
        </w:rPr>
        <w:t xml:space="preserve">Article </w:t>
      </w:r>
      <w:r w:rsidR="00E74D12">
        <w:rPr>
          <w:i/>
          <w:noProof/>
        </w:rPr>
        <w:t>6</w:t>
      </w:r>
    </w:p>
    <w:p w14:paraId="7FB8B20E" w14:textId="54F16DA2" w:rsidR="00A24560" w:rsidRDefault="009172A7" w:rsidP="001A41DE">
      <w:pPr>
        <w:spacing w:before="0"/>
        <w:jc w:val="center"/>
        <w:rPr>
          <w:b/>
          <w:i/>
          <w:noProof/>
        </w:rPr>
      </w:pPr>
      <w:r w:rsidRPr="001E2A01">
        <w:rPr>
          <w:b/>
          <w:i/>
          <w:noProof/>
        </w:rPr>
        <w:t>R</w:t>
      </w:r>
      <w:r w:rsidR="009C274F">
        <w:rPr>
          <w:b/>
          <w:i/>
          <w:noProof/>
        </w:rPr>
        <w:t xml:space="preserve">efusals of requests </w:t>
      </w:r>
      <w:r w:rsidR="00E2373F">
        <w:rPr>
          <w:b/>
          <w:i/>
          <w:noProof/>
        </w:rPr>
        <w:t>for information</w:t>
      </w:r>
    </w:p>
    <w:p w14:paraId="4AAF429E" w14:textId="30A30CA6" w:rsidR="009172A7" w:rsidRPr="00F66949" w:rsidRDefault="002E4C52" w:rsidP="002E4C52">
      <w:pPr>
        <w:pStyle w:val="ManualNumPar1"/>
        <w:rPr>
          <w:noProof/>
        </w:rPr>
      </w:pPr>
      <w:r w:rsidRPr="002E4C52">
        <w:t>1.</w:t>
      </w:r>
      <w:r w:rsidRPr="002E4C52">
        <w:tab/>
      </w:r>
      <w:r w:rsidR="00B01835">
        <w:rPr>
          <w:noProof/>
        </w:rPr>
        <w:t xml:space="preserve">Member States shall </w:t>
      </w:r>
      <w:r w:rsidR="00434A3B">
        <w:rPr>
          <w:noProof/>
        </w:rPr>
        <w:t xml:space="preserve">ensure </w:t>
      </w:r>
      <w:r w:rsidR="00B01835">
        <w:rPr>
          <w:noProof/>
        </w:rPr>
        <w:t xml:space="preserve">that their </w:t>
      </w:r>
      <w:r w:rsidR="00D84EFE">
        <w:rPr>
          <w:noProof/>
        </w:rPr>
        <w:t>Single Point of Contact only</w:t>
      </w:r>
      <w:r w:rsidR="00434A3B">
        <w:rPr>
          <w:noProof/>
        </w:rPr>
        <w:t xml:space="preserve"> </w:t>
      </w:r>
      <w:r w:rsidR="009172A7">
        <w:rPr>
          <w:noProof/>
        </w:rPr>
        <w:t>refuse</w:t>
      </w:r>
      <w:r w:rsidR="00242291">
        <w:rPr>
          <w:noProof/>
        </w:rPr>
        <w:t>s</w:t>
      </w:r>
      <w:r w:rsidR="009172A7">
        <w:rPr>
          <w:noProof/>
        </w:rPr>
        <w:t xml:space="preserve"> to </w:t>
      </w:r>
      <w:r w:rsidR="002837A6">
        <w:rPr>
          <w:noProof/>
        </w:rPr>
        <w:t xml:space="preserve">provide the </w:t>
      </w:r>
      <w:r w:rsidR="009172A7">
        <w:rPr>
          <w:noProof/>
        </w:rPr>
        <w:t xml:space="preserve">information </w:t>
      </w:r>
      <w:r w:rsidR="00242291">
        <w:rPr>
          <w:noProof/>
        </w:rPr>
        <w:t xml:space="preserve">requested </w:t>
      </w:r>
      <w:r w:rsidR="002F6461">
        <w:rPr>
          <w:noProof/>
        </w:rPr>
        <w:t>in accordance with Article 4</w:t>
      </w:r>
      <w:r w:rsidR="00242291">
        <w:rPr>
          <w:noProof/>
        </w:rPr>
        <w:t xml:space="preserve"> </w:t>
      </w:r>
      <w:r w:rsidR="00B01835">
        <w:rPr>
          <w:noProof/>
        </w:rPr>
        <w:t>insofar as</w:t>
      </w:r>
      <w:r w:rsidR="00242291">
        <w:rPr>
          <w:noProof/>
        </w:rPr>
        <w:t xml:space="preserve"> any of the following reasons applies</w:t>
      </w:r>
      <w:r w:rsidR="009172A7">
        <w:rPr>
          <w:noProof/>
        </w:rPr>
        <w:t>:</w:t>
      </w:r>
    </w:p>
    <w:p w14:paraId="21EF8160" w14:textId="06D1908C" w:rsidR="006A45DF" w:rsidRPr="00B73C04" w:rsidRDefault="002E4C52" w:rsidP="002E4C52">
      <w:pPr>
        <w:pStyle w:val="Point1"/>
        <w:rPr>
          <w:noProof/>
        </w:rPr>
      </w:pPr>
      <w:r w:rsidRPr="002E4C52">
        <w:t>(a)</w:t>
      </w:r>
      <w:r w:rsidRPr="002E4C52">
        <w:tab/>
      </w:r>
      <w:r w:rsidR="00242291">
        <w:rPr>
          <w:noProof/>
        </w:rPr>
        <w:t>t</w:t>
      </w:r>
      <w:r w:rsidR="006A45DF" w:rsidRPr="009C495B">
        <w:rPr>
          <w:noProof/>
        </w:rPr>
        <w:t>he</w:t>
      </w:r>
      <w:r w:rsidR="00242291">
        <w:rPr>
          <w:noProof/>
        </w:rPr>
        <w:t xml:space="preserve"> requested</w:t>
      </w:r>
      <w:r w:rsidR="006A45DF" w:rsidRPr="009C495B">
        <w:rPr>
          <w:noProof/>
        </w:rPr>
        <w:t xml:space="preserve"> information is not available to the</w:t>
      </w:r>
      <w:r w:rsidR="00F43283">
        <w:rPr>
          <w:noProof/>
        </w:rPr>
        <w:t xml:space="preserve"> </w:t>
      </w:r>
      <w:r w:rsidR="00F43283" w:rsidRPr="004D7408">
        <w:rPr>
          <w:noProof/>
        </w:rPr>
        <w:t xml:space="preserve">Single Point of Contact and  the </w:t>
      </w:r>
      <w:r w:rsidR="006A45DF" w:rsidRPr="009C495B">
        <w:rPr>
          <w:noProof/>
        </w:rPr>
        <w:t>law enforcement authorit</w:t>
      </w:r>
      <w:r w:rsidR="00D84EFE">
        <w:rPr>
          <w:noProof/>
        </w:rPr>
        <w:t>ies of the requested Member State</w:t>
      </w:r>
      <w:r w:rsidR="006A45DF" w:rsidRPr="009C495B">
        <w:rPr>
          <w:noProof/>
        </w:rPr>
        <w:t xml:space="preserve">; </w:t>
      </w:r>
    </w:p>
    <w:p w14:paraId="42C8C128" w14:textId="1A569652" w:rsidR="00E75C62" w:rsidRDefault="002E4C52" w:rsidP="002E4C52">
      <w:pPr>
        <w:pStyle w:val="Point1"/>
        <w:rPr>
          <w:noProof/>
        </w:rPr>
      </w:pPr>
      <w:r w:rsidRPr="002E4C52">
        <w:t>(b)</w:t>
      </w:r>
      <w:r w:rsidRPr="002E4C52">
        <w:tab/>
      </w:r>
      <w:r w:rsidR="00D84EFE">
        <w:rPr>
          <w:noProof/>
        </w:rPr>
        <w:t>t</w:t>
      </w:r>
      <w:r w:rsidR="00E75C62">
        <w:rPr>
          <w:noProof/>
        </w:rPr>
        <w:t xml:space="preserve">he request </w:t>
      </w:r>
      <w:r w:rsidR="00F43283">
        <w:rPr>
          <w:noProof/>
        </w:rPr>
        <w:t xml:space="preserve">for information </w:t>
      </w:r>
      <w:r w:rsidR="00E75C62">
        <w:rPr>
          <w:noProof/>
        </w:rPr>
        <w:t xml:space="preserve">does not meet the requirements set out </w:t>
      </w:r>
      <w:r w:rsidR="007C0EB4">
        <w:rPr>
          <w:noProof/>
        </w:rPr>
        <w:t xml:space="preserve">in </w:t>
      </w:r>
      <w:r w:rsidR="00B7014C" w:rsidRPr="005410A5">
        <w:rPr>
          <w:noProof/>
        </w:rPr>
        <w:t>A</w:t>
      </w:r>
      <w:r w:rsidR="00E75C62" w:rsidRPr="005410A5">
        <w:rPr>
          <w:noProof/>
        </w:rPr>
        <w:t>rticle</w:t>
      </w:r>
      <w:r w:rsidR="0032615D" w:rsidRPr="005410A5">
        <w:rPr>
          <w:noProof/>
        </w:rPr>
        <w:t xml:space="preserve"> </w:t>
      </w:r>
      <w:r w:rsidR="002837A6" w:rsidRPr="005410A5">
        <w:rPr>
          <w:noProof/>
        </w:rPr>
        <w:t>4</w:t>
      </w:r>
      <w:r w:rsidR="00E75C62" w:rsidRPr="00573919">
        <w:rPr>
          <w:noProof/>
        </w:rPr>
        <w:t>;</w:t>
      </w:r>
    </w:p>
    <w:p w14:paraId="5C53E4CD" w14:textId="29E391A1" w:rsidR="00B01835" w:rsidRDefault="002E4C52" w:rsidP="002E4C52">
      <w:pPr>
        <w:pStyle w:val="Point1"/>
        <w:rPr>
          <w:noProof/>
        </w:rPr>
      </w:pPr>
      <w:r w:rsidRPr="002E4C52">
        <w:t>(c)</w:t>
      </w:r>
      <w:r w:rsidRPr="002E4C52">
        <w:tab/>
      </w:r>
      <w:r w:rsidR="00F22384">
        <w:rPr>
          <w:noProof/>
        </w:rPr>
        <w:t>t</w:t>
      </w:r>
      <w:r w:rsidR="00B01835">
        <w:rPr>
          <w:noProof/>
        </w:rPr>
        <w:t xml:space="preserve">he judicial </w:t>
      </w:r>
      <w:r w:rsidR="00B7014C">
        <w:rPr>
          <w:noProof/>
        </w:rPr>
        <w:t>authorisation</w:t>
      </w:r>
      <w:r w:rsidR="00ED589E">
        <w:rPr>
          <w:noProof/>
        </w:rPr>
        <w:t xml:space="preserve"> required under the national law of the </w:t>
      </w:r>
      <w:r w:rsidR="00D84EFE">
        <w:rPr>
          <w:noProof/>
        </w:rPr>
        <w:t>requested</w:t>
      </w:r>
      <w:r w:rsidR="00ED589E">
        <w:rPr>
          <w:noProof/>
        </w:rPr>
        <w:t xml:space="preserve"> Member State in accordance with</w:t>
      </w:r>
      <w:r w:rsidR="00B7014C">
        <w:rPr>
          <w:noProof/>
        </w:rPr>
        <w:t xml:space="preserve"> A</w:t>
      </w:r>
      <w:r w:rsidR="00B01835">
        <w:rPr>
          <w:noProof/>
        </w:rPr>
        <w:t>rticle</w:t>
      </w:r>
      <w:r w:rsidR="002240AF">
        <w:rPr>
          <w:noProof/>
        </w:rPr>
        <w:t xml:space="preserve"> </w:t>
      </w:r>
      <w:r w:rsidR="00A821B4" w:rsidRPr="0085065A">
        <w:rPr>
          <w:noProof/>
        </w:rPr>
        <w:t>9</w:t>
      </w:r>
      <w:r w:rsidR="00462FCC">
        <w:rPr>
          <w:noProof/>
        </w:rPr>
        <w:t xml:space="preserve"> </w:t>
      </w:r>
      <w:r w:rsidR="00B01835">
        <w:rPr>
          <w:noProof/>
        </w:rPr>
        <w:t xml:space="preserve">was </w:t>
      </w:r>
      <w:r w:rsidR="005D5466">
        <w:rPr>
          <w:noProof/>
        </w:rPr>
        <w:t>refused</w:t>
      </w:r>
      <w:r w:rsidR="00B01835">
        <w:rPr>
          <w:noProof/>
        </w:rPr>
        <w:t>;</w:t>
      </w:r>
      <w:r w:rsidR="00242291">
        <w:rPr>
          <w:noProof/>
        </w:rPr>
        <w:t xml:space="preserve"> </w:t>
      </w:r>
    </w:p>
    <w:p w14:paraId="316B7F6E" w14:textId="615C382A" w:rsidR="00CC2B8F" w:rsidRPr="004D7408" w:rsidRDefault="002E4C52" w:rsidP="002E4C52">
      <w:pPr>
        <w:pStyle w:val="Point1"/>
        <w:rPr>
          <w:noProof/>
        </w:rPr>
      </w:pPr>
      <w:r w:rsidRPr="002E4C52">
        <w:t>(d)</w:t>
      </w:r>
      <w:r w:rsidRPr="002E4C52">
        <w:tab/>
      </w:r>
      <w:r w:rsidR="000255B2" w:rsidRPr="004D7408">
        <w:rPr>
          <w:noProof/>
        </w:rPr>
        <w:t xml:space="preserve">the requested information constitutes personal </w:t>
      </w:r>
      <w:r w:rsidR="000255B2" w:rsidRPr="00F66949">
        <w:rPr>
          <w:noProof/>
        </w:rPr>
        <w:t xml:space="preserve">data </w:t>
      </w:r>
      <w:r w:rsidR="000255B2" w:rsidRPr="004D7408">
        <w:rPr>
          <w:noProof/>
        </w:rPr>
        <w:t>other than</w:t>
      </w:r>
      <w:r w:rsidR="000255B2" w:rsidRPr="00F66949">
        <w:rPr>
          <w:noProof/>
        </w:rPr>
        <w:t xml:space="preserve"> that falling within</w:t>
      </w:r>
      <w:r w:rsidR="000255B2" w:rsidRPr="004D7408">
        <w:rPr>
          <w:noProof/>
        </w:rPr>
        <w:t xml:space="preserve"> the categories </w:t>
      </w:r>
      <w:r w:rsidR="000255B2" w:rsidRPr="00F66949">
        <w:rPr>
          <w:noProof/>
        </w:rPr>
        <w:t xml:space="preserve">of personal data </w:t>
      </w:r>
      <w:r w:rsidR="000255B2" w:rsidRPr="004D7408">
        <w:rPr>
          <w:noProof/>
        </w:rPr>
        <w:t>referred to in Article</w:t>
      </w:r>
      <w:r w:rsidR="000255B2">
        <w:rPr>
          <w:noProof/>
        </w:rPr>
        <w:t xml:space="preserve"> </w:t>
      </w:r>
      <w:r w:rsidR="000255B2" w:rsidRPr="0085065A">
        <w:rPr>
          <w:noProof/>
        </w:rPr>
        <w:t>10</w:t>
      </w:r>
      <w:r w:rsidR="000255B2" w:rsidRPr="00F66949">
        <w:rPr>
          <w:noProof/>
        </w:rPr>
        <w:t xml:space="preserve">, point </w:t>
      </w:r>
      <w:r w:rsidR="000255B2" w:rsidRPr="004D7408">
        <w:rPr>
          <w:noProof/>
        </w:rPr>
        <w:t>(</w:t>
      </w:r>
      <w:r w:rsidR="008E04AE">
        <w:rPr>
          <w:noProof/>
        </w:rPr>
        <w:t>i</w:t>
      </w:r>
      <w:r w:rsidR="00CC2B8F" w:rsidRPr="004D7408">
        <w:rPr>
          <w:noProof/>
        </w:rPr>
        <w:t xml:space="preserve">); </w:t>
      </w:r>
    </w:p>
    <w:p w14:paraId="72B3E9F4" w14:textId="3A1561F8" w:rsidR="00B01835" w:rsidRDefault="002E4C52" w:rsidP="002E4C52">
      <w:pPr>
        <w:pStyle w:val="Point1"/>
        <w:rPr>
          <w:noProof/>
        </w:rPr>
      </w:pPr>
      <w:r w:rsidRPr="002E4C52">
        <w:t>(e)</w:t>
      </w:r>
      <w:r w:rsidRPr="002E4C52">
        <w:tab/>
      </w:r>
      <w:r w:rsidR="00F22384">
        <w:rPr>
          <w:noProof/>
        </w:rPr>
        <w:t>t</w:t>
      </w:r>
      <w:r w:rsidR="00B01835">
        <w:rPr>
          <w:noProof/>
        </w:rPr>
        <w:t>here are objective reasons to believe that th</w:t>
      </w:r>
      <w:r w:rsidR="00296ABB">
        <w:rPr>
          <w:noProof/>
        </w:rPr>
        <w:t>e provision of the</w:t>
      </w:r>
      <w:r w:rsidR="00F43283">
        <w:rPr>
          <w:noProof/>
        </w:rPr>
        <w:t xml:space="preserve"> requested</w:t>
      </w:r>
      <w:r w:rsidR="00296ABB">
        <w:rPr>
          <w:noProof/>
        </w:rPr>
        <w:t xml:space="preserve"> information </w:t>
      </w:r>
      <w:r w:rsidR="00B01835">
        <w:rPr>
          <w:noProof/>
        </w:rPr>
        <w:t>would:</w:t>
      </w:r>
    </w:p>
    <w:p w14:paraId="34D0D2F9" w14:textId="5CA58C29" w:rsidR="00296ABB" w:rsidRPr="00AC4331" w:rsidRDefault="00AC4331" w:rsidP="00AC4331">
      <w:pPr>
        <w:pStyle w:val="Point2"/>
        <w:rPr>
          <w:noProof/>
        </w:rPr>
      </w:pPr>
      <w:r>
        <w:rPr>
          <w:noProof/>
        </w:rPr>
        <w:t>(i)</w:t>
      </w:r>
      <w:r>
        <w:rPr>
          <w:noProof/>
        </w:rPr>
        <w:tab/>
      </w:r>
      <w:r w:rsidR="00296ABB" w:rsidRPr="00AC4331">
        <w:rPr>
          <w:noProof/>
        </w:rPr>
        <w:t>b</w:t>
      </w:r>
      <w:r w:rsidRPr="00AC4331">
        <w:rPr>
          <w:noProof/>
        </w:rPr>
        <w:t xml:space="preserve">e contrary to the essential </w:t>
      </w:r>
      <w:r w:rsidR="00296ABB" w:rsidRPr="00AC4331">
        <w:rPr>
          <w:noProof/>
        </w:rPr>
        <w:t xml:space="preserve">interests of the security of the </w:t>
      </w:r>
      <w:r w:rsidR="00D84EFE" w:rsidRPr="00AC4331">
        <w:rPr>
          <w:noProof/>
        </w:rPr>
        <w:t>requested</w:t>
      </w:r>
      <w:r w:rsidR="00296ABB" w:rsidRPr="00AC4331">
        <w:rPr>
          <w:noProof/>
        </w:rPr>
        <w:t xml:space="preserve"> Member State;</w:t>
      </w:r>
    </w:p>
    <w:p w14:paraId="3694DF7F" w14:textId="3FE13ED6" w:rsidR="00E74D12" w:rsidRPr="00242291" w:rsidRDefault="00296ABB" w:rsidP="008B2644">
      <w:pPr>
        <w:pStyle w:val="Point2"/>
        <w:ind w:left="1985"/>
        <w:rPr>
          <w:i/>
          <w:noProof/>
        </w:rPr>
      </w:pPr>
      <w:r w:rsidRPr="00410899">
        <w:rPr>
          <w:noProof/>
        </w:rPr>
        <w:t xml:space="preserve">(ii) </w:t>
      </w:r>
      <w:r w:rsidR="008B2644">
        <w:rPr>
          <w:noProof/>
        </w:rPr>
        <w:tab/>
      </w:r>
      <w:r w:rsidR="00FF152A" w:rsidRPr="00FF152A">
        <w:rPr>
          <w:noProof/>
          <w:color w:val="000000" w:themeColor="text1"/>
          <w:szCs w:val="27"/>
          <w:shd w:val="clear" w:color="auto" w:fill="FFFFFF"/>
        </w:rPr>
        <w:t xml:space="preserve">jeopardise the success </w:t>
      </w:r>
      <w:r w:rsidR="00E93283">
        <w:rPr>
          <w:noProof/>
        </w:rPr>
        <w:t xml:space="preserve">of </w:t>
      </w:r>
      <w:r w:rsidR="00792BCA">
        <w:rPr>
          <w:noProof/>
        </w:rPr>
        <w:t>an ongoing</w:t>
      </w:r>
      <w:r w:rsidR="00E93283">
        <w:rPr>
          <w:noProof/>
        </w:rPr>
        <w:t xml:space="preserve"> investigation of a </w:t>
      </w:r>
      <w:r w:rsidR="00776FD4">
        <w:rPr>
          <w:noProof/>
        </w:rPr>
        <w:t>criminal offence</w:t>
      </w:r>
      <w:r w:rsidR="00D8349F">
        <w:rPr>
          <w:noProof/>
        </w:rPr>
        <w:t>;</w:t>
      </w:r>
      <w:r w:rsidR="00E74D12">
        <w:rPr>
          <w:noProof/>
        </w:rPr>
        <w:t xml:space="preserve"> </w:t>
      </w:r>
      <w:r w:rsidRPr="00410899">
        <w:rPr>
          <w:noProof/>
        </w:rPr>
        <w:t>or</w:t>
      </w:r>
      <w:r w:rsidR="00FE2F33">
        <w:rPr>
          <w:noProof/>
        </w:rPr>
        <w:t>;</w:t>
      </w:r>
      <w:r w:rsidR="00E74D12">
        <w:rPr>
          <w:noProof/>
        </w:rPr>
        <w:t xml:space="preserve"> </w:t>
      </w:r>
    </w:p>
    <w:p w14:paraId="3555AF15" w14:textId="288D370D" w:rsidR="00E74D12" w:rsidRDefault="00E74D12" w:rsidP="00BA6251">
      <w:pPr>
        <w:pStyle w:val="Point2"/>
        <w:rPr>
          <w:noProof/>
        </w:rPr>
      </w:pPr>
      <w:r>
        <w:rPr>
          <w:noProof/>
        </w:rPr>
        <w:t xml:space="preserve">(iii) </w:t>
      </w:r>
      <w:r w:rsidR="008B2644">
        <w:rPr>
          <w:noProof/>
        </w:rPr>
        <w:tab/>
      </w:r>
      <w:r w:rsidR="00ED589E" w:rsidRPr="000731ED">
        <w:rPr>
          <w:noProof/>
        </w:rPr>
        <w:t>unduly</w:t>
      </w:r>
      <w:r w:rsidR="00ED589E">
        <w:rPr>
          <w:noProof/>
        </w:rPr>
        <w:t xml:space="preserve"> </w:t>
      </w:r>
      <w:r>
        <w:rPr>
          <w:noProof/>
        </w:rPr>
        <w:t xml:space="preserve">harm the vital interests of a </w:t>
      </w:r>
      <w:r w:rsidR="00E1478B" w:rsidRPr="00260DBD">
        <w:rPr>
          <w:noProof/>
        </w:rPr>
        <w:t xml:space="preserve">natural </w:t>
      </w:r>
      <w:r w:rsidR="00E1478B" w:rsidRPr="00F66949">
        <w:rPr>
          <w:noProof/>
        </w:rPr>
        <w:t>or legal</w:t>
      </w:r>
      <w:r w:rsidR="00E1478B" w:rsidRPr="00F66949">
        <w:rPr>
          <w:i/>
          <w:noProof/>
        </w:rPr>
        <w:t xml:space="preserve"> </w:t>
      </w:r>
      <w:r>
        <w:rPr>
          <w:noProof/>
        </w:rPr>
        <w:t>person.</w:t>
      </w:r>
    </w:p>
    <w:p w14:paraId="69244401" w14:textId="18B511AD" w:rsidR="00D337A7" w:rsidRDefault="009C274F" w:rsidP="00F61E92">
      <w:pPr>
        <w:pStyle w:val="Text1"/>
        <w:rPr>
          <w:noProof/>
        </w:rPr>
      </w:pPr>
      <w:r>
        <w:rPr>
          <w:noProof/>
        </w:rPr>
        <w:t xml:space="preserve">Any </w:t>
      </w:r>
      <w:r w:rsidR="002540C1">
        <w:rPr>
          <w:noProof/>
        </w:rPr>
        <w:t xml:space="preserve">refusal </w:t>
      </w:r>
      <w:r>
        <w:rPr>
          <w:noProof/>
        </w:rPr>
        <w:t>shall only affect the part of the requested information to which the reasons set out in the first subparagraph relate and shall</w:t>
      </w:r>
      <w:r w:rsidR="002540C1">
        <w:rPr>
          <w:noProof/>
        </w:rPr>
        <w:t>,</w:t>
      </w:r>
      <w:r>
        <w:rPr>
          <w:noProof/>
        </w:rPr>
        <w:t xml:space="preserve"> where applicable, leave the</w:t>
      </w:r>
      <w:r w:rsidR="006041D3">
        <w:rPr>
          <w:noProof/>
        </w:rPr>
        <w:t xml:space="preserve"> obligation to</w:t>
      </w:r>
      <w:r>
        <w:rPr>
          <w:noProof/>
        </w:rPr>
        <w:t xml:space="preserve"> provi</w:t>
      </w:r>
      <w:r w:rsidR="006041D3">
        <w:rPr>
          <w:noProof/>
        </w:rPr>
        <w:t>de</w:t>
      </w:r>
      <w:r>
        <w:rPr>
          <w:noProof/>
        </w:rPr>
        <w:t xml:space="preserve"> </w:t>
      </w:r>
      <w:r w:rsidR="006041D3">
        <w:rPr>
          <w:noProof/>
        </w:rPr>
        <w:t>the</w:t>
      </w:r>
      <w:r>
        <w:rPr>
          <w:noProof/>
        </w:rPr>
        <w:t xml:space="preserve"> other parts of </w:t>
      </w:r>
      <w:r w:rsidR="00D337A7" w:rsidRPr="003F4328">
        <w:rPr>
          <w:noProof/>
        </w:rPr>
        <w:t xml:space="preserve">the information </w:t>
      </w:r>
      <w:r>
        <w:rPr>
          <w:noProof/>
        </w:rPr>
        <w:t>in accordance with this Directive unaffected</w:t>
      </w:r>
      <w:r w:rsidR="00D337A7" w:rsidRPr="003F4328">
        <w:rPr>
          <w:noProof/>
        </w:rPr>
        <w:t>.</w:t>
      </w:r>
      <w:r w:rsidR="00D337A7">
        <w:rPr>
          <w:noProof/>
        </w:rPr>
        <w:t xml:space="preserve"> </w:t>
      </w:r>
    </w:p>
    <w:p w14:paraId="075CCE54" w14:textId="4F603D1D" w:rsidR="009C274F" w:rsidRDefault="002E4C52" w:rsidP="002E4C52">
      <w:pPr>
        <w:pStyle w:val="ManualNumPar1"/>
        <w:rPr>
          <w:noProof/>
        </w:rPr>
      </w:pPr>
      <w:r w:rsidRPr="002E4C52">
        <w:t>2.</w:t>
      </w:r>
      <w:r w:rsidRPr="002E4C52">
        <w:tab/>
      </w:r>
      <w:r w:rsidR="00B01835">
        <w:rPr>
          <w:noProof/>
        </w:rPr>
        <w:t xml:space="preserve">Member States shall ensure that their </w:t>
      </w:r>
      <w:r w:rsidR="00D84EFE">
        <w:rPr>
          <w:noProof/>
        </w:rPr>
        <w:t>Single Point of Contact</w:t>
      </w:r>
      <w:r w:rsidR="00B01835" w:rsidDel="00D84EFE">
        <w:rPr>
          <w:noProof/>
        </w:rPr>
        <w:t xml:space="preserve"> </w:t>
      </w:r>
      <w:r w:rsidR="009C274F">
        <w:rPr>
          <w:noProof/>
        </w:rPr>
        <w:t>inform</w:t>
      </w:r>
      <w:r w:rsidR="00D84EFE">
        <w:rPr>
          <w:noProof/>
        </w:rPr>
        <w:t>s</w:t>
      </w:r>
      <w:r w:rsidR="009C274F">
        <w:rPr>
          <w:noProof/>
        </w:rPr>
        <w:t xml:space="preserve"> the</w:t>
      </w:r>
      <w:r w:rsidR="00D84EFE">
        <w:rPr>
          <w:noProof/>
        </w:rPr>
        <w:t xml:space="preserve"> Single Point of Contact </w:t>
      </w:r>
      <w:r w:rsidR="00D8349F" w:rsidRPr="005410A5">
        <w:rPr>
          <w:noProof/>
        </w:rPr>
        <w:t>or, where applicable, the law enforcement authority</w:t>
      </w:r>
      <w:r w:rsidR="00D8349F" w:rsidRPr="00D8349F">
        <w:rPr>
          <w:noProof/>
        </w:rPr>
        <w:t xml:space="preserve"> </w:t>
      </w:r>
      <w:r w:rsidR="00D84EFE">
        <w:rPr>
          <w:noProof/>
        </w:rPr>
        <w:t>of</w:t>
      </w:r>
      <w:r w:rsidR="009C274F">
        <w:rPr>
          <w:noProof/>
        </w:rPr>
        <w:t xml:space="preserve"> the requesting </w:t>
      </w:r>
      <w:r w:rsidR="00D84EFE">
        <w:rPr>
          <w:noProof/>
        </w:rPr>
        <w:t xml:space="preserve">Member </w:t>
      </w:r>
      <w:r w:rsidR="009C274F">
        <w:rPr>
          <w:noProof/>
        </w:rPr>
        <w:t xml:space="preserve">State of </w:t>
      </w:r>
      <w:r w:rsidR="00AA7B57">
        <w:rPr>
          <w:noProof/>
        </w:rPr>
        <w:t xml:space="preserve">the </w:t>
      </w:r>
      <w:r w:rsidR="009C274F">
        <w:rPr>
          <w:noProof/>
        </w:rPr>
        <w:t xml:space="preserve">refusal, specifying </w:t>
      </w:r>
      <w:r w:rsidR="00B01835">
        <w:rPr>
          <w:noProof/>
        </w:rPr>
        <w:t>the reasons for the refusal</w:t>
      </w:r>
      <w:r w:rsidR="009C274F">
        <w:rPr>
          <w:noProof/>
        </w:rPr>
        <w:t xml:space="preserve">, </w:t>
      </w:r>
      <w:r w:rsidR="00D73851">
        <w:rPr>
          <w:noProof/>
        </w:rPr>
        <w:t xml:space="preserve">within </w:t>
      </w:r>
      <w:r w:rsidR="00B73A16" w:rsidRPr="00410899">
        <w:rPr>
          <w:noProof/>
        </w:rPr>
        <w:t>the time limits</w:t>
      </w:r>
      <w:r w:rsidR="00D73851">
        <w:rPr>
          <w:noProof/>
        </w:rPr>
        <w:t xml:space="preserve"> </w:t>
      </w:r>
      <w:r w:rsidR="00E74D12">
        <w:rPr>
          <w:noProof/>
        </w:rPr>
        <w:t xml:space="preserve">provided for </w:t>
      </w:r>
      <w:r w:rsidR="009C274F">
        <w:rPr>
          <w:noProof/>
        </w:rPr>
        <w:t>in</w:t>
      </w:r>
      <w:r w:rsidR="007C0EB4">
        <w:rPr>
          <w:noProof/>
        </w:rPr>
        <w:t xml:space="preserve"> </w:t>
      </w:r>
      <w:r w:rsidR="00E74D12">
        <w:rPr>
          <w:noProof/>
        </w:rPr>
        <w:t>A</w:t>
      </w:r>
      <w:r w:rsidR="00D73851">
        <w:rPr>
          <w:noProof/>
        </w:rPr>
        <w:t>rticle</w:t>
      </w:r>
      <w:r w:rsidR="00E74D12">
        <w:rPr>
          <w:i/>
          <w:noProof/>
        </w:rPr>
        <w:t xml:space="preserve"> </w:t>
      </w:r>
      <w:r w:rsidR="00E74D12">
        <w:rPr>
          <w:noProof/>
        </w:rPr>
        <w:t>5</w:t>
      </w:r>
      <w:r w:rsidR="00A14E5D">
        <w:rPr>
          <w:noProof/>
        </w:rPr>
        <w:t>(1)</w:t>
      </w:r>
      <w:r w:rsidR="00B01835" w:rsidRPr="00410899">
        <w:rPr>
          <w:noProof/>
        </w:rPr>
        <w:t>.</w:t>
      </w:r>
      <w:r w:rsidR="009C274F" w:rsidRPr="009C274F">
        <w:rPr>
          <w:noProof/>
        </w:rPr>
        <w:t xml:space="preserve"> </w:t>
      </w:r>
    </w:p>
    <w:p w14:paraId="44799245" w14:textId="6F23E6F5" w:rsidR="00296ECD" w:rsidRDefault="002E4C52" w:rsidP="002E4C52">
      <w:pPr>
        <w:pStyle w:val="ManualNumPar1"/>
        <w:rPr>
          <w:noProof/>
        </w:rPr>
      </w:pPr>
      <w:r w:rsidRPr="002E4C52">
        <w:t>3.</w:t>
      </w:r>
      <w:r w:rsidRPr="002E4C52">
        <w:tab/>
      </w:r>
      <w:r w:rsidR="009C274F">
        <w:rPr>
          <w:noProof/>
        </w:rPr>
        <w:t xml:space="preserve">Member States shall ensure that their </w:t>
      </w:r>
      <w:r w:rsidR="00D84EFE">
        <w:rPr>
          <w:noProof/>
        </w:rPr>
        <w:t>Single Point of Contact</w:t>
      </w:r>
      <w:r w:rsidR="009C274F">
        <w:rPr>
          <w:noProof/>
        </w:rPr>
        <w:t xml:space="preserve"> </w:t>
      </w:r>
      <w:r w:rsidR="00AA7B57">
        <w:rPr>
          <w:noProof/>
        </w:rPr>
        <w:t xml:space="preserve">immediately requests </w:t>
      </w:r>
      <w:r w:rsidR="009C274F">
        <w:rPr>
          <w:noProof/>
        </w:rPr>
        <w:t xml:space="preserve">additional clarifications </w:t>
      </w:r>
      <w:r w:rsidR="00AA7B57">
        <w:rPr>
          <w:noProof/>
        </w:rPr>
        <w:t>needed</w:t>
      </w:r>
      <w:r w:rsidR="00EC11C2" w:rsidRPr="00573919">
        <w:rPr>
          <w:noProof/>
        </w:rPr>
        <w:t xml:space="preserve"> to </w:t>
      </w:r>
      <w:r w:rsidR="0008458D" w:rsidRPr="00573919">
        <w:rPr>
          <w:noProof/>
        </w:rPr>
        <w:t xml:space="preserve">process a request for information that otherwise would have to be </w:t>
      </w:r>
      <w:r w:rsidR="009C274F" w:rsidRPr="00573919" w:rsidDel="0008458D">
        <w:rPr>
          <w:noProof/>
        </w:rPr>
        <w:t>refused</w:t>
      </w:r>
      <w:r w:rsidR="009C274F" w:rsidRPr="00573919">
        <w:rPr>
          <w:noProof/>
        </w:rPr>
        <w:t xml:space="preserve"> </w:t>
      </w:r>
      <w:r w:rsidR="00D84EFE">
        <w:rPr>
          <w:noProof/>
        </w:rPr>
        <w:t xml:space="preserve">from the Single Point of Contact </w:t>
      </w:r>
      <w:r w:rsidR="00D8349F" w:rsidRPr="005410A5">
        <w:rPr>
          <w:noProof/>
        </w:rPr>
        <w:t>or, where applicable, the law enforcement authority</w:t>
      </w:r>
      <w:r w:rsidR="00D8349F" w:rsidRPr="00D8349F">
        <w:rPr>
          <w:noProof/>
        </w:rPr>
        <w:t xml:space="preserve"> </w:t>
      </w:r>
      <w:r w:rsidR="00D84EFE">
        <w:rPr>
          <w:noProof/>
        </w:rPr>
        <w:t>of the requesting Member State</w:t>
      </w:r>
      <w:r w:rsidR="009C274F" w:rsidRPr="0085065A">
        <w:rPr>
          <w:noProof/>
        </w:rPr>
        <w:t>.</w:t>
      </w:r>
      <w:r w:rsidR="00712486">
        <w:rPr>
          <w:noProof/>
        </w:rPr>
        <w:t xml:space="preserve"> </w:t>
      </w:r>
    </w:p>
    <w:p w14:paraId="12B305E7" w14:textId="2D584B37" w:rsidR="004B77FF" w:rsidRPr="004B77FF" w:rsidRDefault="009E0272" w:rsidP="00F61E92">
      <w:pPr>
        <w:pStyle w:val="Text1"/>
        <w:rPr>
          <w:noProof/>
        </w:rPr>
      </w:pPr>
      <w:r>
        <w:rPr>
          <w:noProof/>
        </w:rPr>
        <w:t xml:space="preserve">The time limits referred to in </w:t>
      </w:r>
      <w:r w:rsidR="00F61EB8">
        <w:rPr>
          <w:noProof/>
        </w:rPr>
        <w:t>A</w:t>
      </w:r>
      <w:r>
        <w:rPr>
          <w:noProof/>
        </w:rPr>
        <w:t>rticle 5</w:t>
      </w:r>
      <w:r w:rsidR="00620E4E" w:rsidRPr="00747D4D">
        <w:rPr>
          <w:noProof/>
        </w:rPr>
        <w:t>(1)</w:t>
      </w:r>
      <w:r>
        <w:rPr>
          <w:noProof/>
        </w:rPr>
        <w:t xml:space="preserve"> shall be suspended</w:t>
      </w:r>
      <w:r w:rsidR="00EC11C2">
        <w:rPr>
          <w:noProof/>
        </w:rPr>
        <w:t xml:space="preserve"> from the moment that the </w:t>
      </w:r>
      <w:r w:rsidR="00D84EFE">
        <w:rPr>
          <w:noProof/>
        </w:rPr>
        <w:t xml:space="preserve">Single Point of Contact </w:t>
      </w:r>
      <w:r w:rsidR="00D8349F" w:rsidRPr="005410A5">
        <w:rPr>
          <w:noProof/>
        </w:rPr>
        <w:t>or, where applicable, the law enforcement authority</w:t>
      </w:r>
      <w:r w:rsidR="00D8349F" w:rsidRPr="00D8349F">
        <w:rPr>
          <w:noProof/>
        </w:rPr>
        <w:t xml:space="preserve"> </w:t>
      </w:r>
      <w:r w:rsidR="00D84EFE">
        <w:rPr>
          <w:noProof/>
        </w:rPr>
        <w:t>of the</w:t>
      </w:r>
      <w:r w:rsidR="00EC11C2">
        <w:rPr>
          <w:noProof/>
        </w:rPr>
        <w:t xml:space="preserve"> requesting</w:t>
      </w:r>
      <w:r w:rsidR="00D84EFE">
        <w:rPr>
          <w:noProof/>
        </w:rPr>
        <w:t xml:space="preserve"> Member State</w:t>
      </w:r>
      <w:r w:rsidR="00F61EB8">
        <w:rPr>
          <w:noProof/>
        </w:rPr>
        <w:t xml:space="preserve"> </w:t>
      </w:r>
      <w:r w:rsidR="00EC11C2" w:rsidRPr="00F61EB8">
        <w:rPr>
          <w:noProof/>
        </w:rPr>
        <w:t>receives the request for clarifications</w:t>
      </w:r>
      <w:r w:rsidR="002A6CB1">
        <w:rPr>
          <w:noProof/>
        </w:rPr>
        <w:t>,</w:t>
      </w:r>
      <w:r w:rsidRPr="00F61EB8">
        <w:rPr>
          <w:noProof/>
        </w:rPr>
        <w:t xml:space="preserve"> until </w:t>
      </w:r>
      <w:r w:rsidR="00EC11C2" w:rsidRPr="00F61EB8">
        <w:rPr>
          <w:noProof/>
        </w:rPr>
        <w:t xml:space="preserve">the moment that the </w:t>
      </w:r>
      <w:r w:rsidR="00D84EFE" w:rsidRPr="00F61EB8">
        <w:rPr>
          <w:noProof/>
        </w:rPr>
        <w:t>Single Point of Contact of the</w:t>
      </w:r>
      <w:r w:rsidR="00EC11C2" w:rsidRPr="00F61EB8">
        <w:rPr>
          <w:noProof/>
        </w:rPr>
        <w:t xml:space="preserve"> requested </w:t>
      </w:r>
      <w:r w:rsidR="00D84EFE" w:rsidRPr="00F61EB8">
        <w:rPr>
          <w:noProof/>
        </w:rPr>
        <w:t>Member State</w:t>
      </w:r>
      <w:r w:rsidR="00EC11C2" w:rsidRPr="00F61EB8">
        <w:rPr>
          <w:noProof/>
        </w:rPr>
        <w:t xml:space="preserve"> receives the</w:t>
      </w:r>
      <w:r w:rsidRPr="00F61EB8">
        <w:rPr>
          <w:noProof/>
        </w:rPr>
        <w:t xml:space="preserve"> clarifications.</w:t>
      </w:r>
      <w:r w:rsidR="00573919" w:rsidRPr="001E4D80">
        <w:rPr>
          <w:noProof/>
        </w:rPr>
        <w:t xml:space="preserve"> </w:t>
      </w:r>
    </w:p>
    <w:p w14:paraId="6BD42475" w14:textId="75A251AA" w:rsidR="004B77FF" w:rsidRDefault="002E4C52" w:rsidP="002E4C52">
      <w:pPr>
        <w:pStyle w:val="ManualNumPar1"/>
        <w:rPr>
          <w:noProof/>
        </w:rPr>
      </w:pPr>
      <w:r w:rsidRPr="002E4C52">
        <w:t>4.</w:t>
      </w:r>
      <w:r w:rsidRPr="002E4C52">
        <w:tab/>
      </w:r>
      <w:r w:rsidR="004B77FF" w:rsidRPr="005410A5">
        <w:rPr>
          <w:noProof/>
        </w:rPr>
        <w:t>Th</w:t>
      </w:r>
      <w:r w:rsidR="00F43283">
        <w:rPr>
          <w:noProof/>
        </w:rPr>
        <w:t xml:space="preserve">e </w:t>
      </w:r>
      <w:r w:rsidR="00E1478B">
        <w:rPr>
          <w:noProof/>
        </w:rPr>
        <w:t xml:space="preserve">refusals, reasons for the refusals, </w:t>
      </w:r>
      <w:r w:rsidR="004B77FF" w:rsidRPr="005410A5">
        <w:rPr>
          <w:noProof/>
        </w:rPr>
        <w:t>requests for clarifications and clarifications</w:t>
      </w:r>
      <w:r w:rsidR="00F43283">
        <w:rPr>
          <w:noProof/>
        </w:rPr>
        <w:t xml:space="preserve"> referred to in </w:t>
      </w:r>
      <w:r w:rsidR="0070403A">
        <w:rPr>
          <w:noProof/>
        </w:rPr>
        <w:t>paragraphs 3 and 4</w:t>
      </w:r>
      <w:r w:rsidR="004B77FF" w:rsidRPr="005410A5">
        <w:rPr>
          <w:noProof/>
        </w:rPr>
        <w:t xml:space="preserve">, as well as any other communications relating to </w:t>
      </w:r>
      <w:r w:rsidR="0070403A">
        <w:rPr>
          <w:noProof/>
        </w:rPr>
        <w:t>the</w:t>
      </w:r>
      <w:r w:rsidR="0070403A" w:rsidRPr="005410A5">
        <w:rPr>
          <w:noProof/>
        </w:rPr>
        <w:t xml:space="preserve"> </w:t>
      </w:r>
      <w:r w:rsidR="004B77FF" w:rsidRPr="005410A5">
        <w:rPr>
          <w:noProof/>
        </w:rPr>
        <w:t>request</w:t>
      </w:r>
      <w:r w:rsidR="0070403A">
        <w:rPr>
          <w:noProof/>
        </w:rPr>
        <w:t>s</w:t>
      </w:r>
      <w:r w:rsidR="004B77FF" w:rsidRPr="005410A5">
        <w:rPr>
          <w:noProof/>
        </w:rPr>
        <w:t xml:space="preserve"> for information</w:t>
      </w:r>
      <w:r w:rsidR="002A6CB1" w:rsidRPr="002A6CB1">
        <w:rPr>
          <w:noProof/>
        </w:rPr>
        <w:t xml:space="preserve"> to the Single Point of Contact of another Member State</w:t>
      </w:r>
      <w:r w:rsidR="004B77FF" w:rsidRPr="005410A5">
        <w:rPr>
          <w:noProof/>
        </w:rPr>
        <w:t>, shall be</w:t>
      </w:r>
      <w:r w:rsidR="0051081B" w:rsidRPr="005410A5">
        <w:rPr>
          <w:noProof/>
        </w:rPr>
        <w:t xml:space="preserve"> </w:t>
      </w:r>
      <w:r w:rsidR="00DE2923" w:rsidRPr="005410A5">
        <w:rPr>
          <w:noProof/>
        </w:rPr>
        <w:t>transmitted</w:t>
      </w:r>
      <w:r w:rsidR="0051081B" w:rsidRPr="005410A5">
        <w:rPr>
          <w:noProof/>
        </w:rPr>
        <w:t xml:space="preserve"> </w:t>
      </w:r>
      <w:r w:rsidR="004B77FF" w:rsidRPr="005410A5">
        <w:rPr>
          <w:noProof/>
        </w:rPr>
        <w:t>in the language in which that request was submitted in accordance with Article 4(</w:t>
      </w:r>
      <w:r w:rsidR="00296ECD" w:rsidRPr="00C97986">
        <w:rPr>
          <w:noProof/>
        </w:rPr>
        <w:t>5</w:t>
      </w:r>
      <w:r w:rsidR="004B77FF" w:rsidRPr="005410A5">
        <w:rPr>
          <w:noProof/>
        </w:rPr>
        <w:t>)</w:t>
      </w:r>
      <w:r w:rsidR="004B77FF">
        <w:rPr>
          <w:noProof/>
        </w:rPr>
        <w:t>.</w:t>
      </w:r>
      <w:r w:rsidR="0070403A" w:rsidRPr="007F3EA4">
        <w:rPr>
          <w:i/>
          <w:noProof/>
          <w:highlight w:val="yellow"/>
        </w:rPr>
        <w:t xml:space="preserve"> </w:t>
      </w:r>
    </w:p>
    <w:p w14:paraId="7606810B" w14:textId="0C5A8460" w:rsidR="002D64C2" w:rsidRPr="00414504" w:rsidRDefault="00C31E46" w:rsidP="00414504">
      <w:pPr>
        <w:pStyle w:val="ChapterTitle"/>
        <w:spacing w:before="360"/>
        <w:rPr>
          <w:noProof/>
          <w:sz w:val="24"/>
        </w:rPr>
      </w:pPr>
      <w:r w:rsidRPr="00414504">
        <w:rPr>
          <w:noProof/>
          <w:sz w:val="24"/>
        </w:rPr>
        <w:t xml:space="preserve">Chapter </w:t>
      </w:r>
      <w:r w:rsidR="002D64C2" w:rsidRPr="00414504">
        <w:rPr>
          <w:noProof/>
          <w:sz w:val="24"/>
        </w:rPr>
        <w:t>III</w:t>
      </w:r>
    </w:p>
    <w:p w14:paraId="72918A77" w14:textId="7D6FDCB5" w:rsidR="002D64C2" w:rsidRPr="00414504" w:rsidRDefault="002D64C2" w:rsidP="00F61E92">
      <w:pPr>
        <w:pStyle w:val="ChapterTitle"/>
        <w:rPr>
          <w:noProof/>
          <w:sz w:val="24"/>
        </w:rPr>
      </w:pPr>
      <w:r w:rsidRPr="00414504">
        <w:rPr>
          <w:noProof/>
          <w:sz w:val="24"/>
        </w:rPr>
        <w:t>Other exchanges of information</w:t>
      </w:r>
    </w:p>
    <w:p w14:paraId="62AC5662" w14:textId="241AC5FF" w:rsidR="002D64C2" w:rsidRPr="004944DC" w:rsidRDefault="002D64C2" w:rsidP="00414504">
      <w:pPr>
        <w:pStyle w:val="Titrearticle"/>
        <w:spacing w:after="0"/>
        <w:rPr>
          <w:noProof/>
        </w:rPr>
      </w:pPr>
      <w:r w:rsidRPr="001A41DE">
        <w:rPr>
          <w:noProof/>
        </w:rPr>
        <w:t xml:space="preserve">Article </w:t>
      </w:r>
      <w:r>
        <w:rPr>
          <w:noProof/>
        </w:rPr>
        <w:t>7</w:t>
      </w:r>
    </w:p>
    <w:p w14:paraId="087AE724" w14:textId="4C8108A8" w:rsidR="002D64C2" w:rsidRDefault="002D64C2" w:rsidP="002D64C2">
      <w:pPr>
        <w:spacing w:before="0"/>
        <w:jc w:val="center"/>
        <w:rPr>
          <w:b/>
          <w:i/>
          <w:noProof/>
        </w:rPr>
      </w:pPr>
      <w:r>
        <w:rPr>
          <w:b/>
          <w:i/>
          <w:noProof/>
        </w:rPr>
        <w:t>Own-initiative provision</w:t>
      </w:r>
      <w:r w:rsidRPr="0085624E">
        <w:rPr>
          <w:b/>
          <w:i/>
          <w:noProof/>
        </w:rPr>
        <w:t xml:space="preserve"> of information</w:t>
      </w:r>
    </w:p>
    <w:p w14:paraId="6E01F504" w14:textId="795965C6" w:rsidR="002D64C2" w:rsidRPr="00AC4331" w:rsidRDefault="002E4C52" w:rsidP="002E4C52">
      <w:pPr>
        <w:pStyle w:val="ManualNumPar1"/>
        <w:rPr>
          <w:noProof/>
        </w:rPr>
      </w:pPr>
      <w:r w:rsidRPr="002E4C52">
        <w:t>1.</w:t>
      </w:r>
      <w:r w:rsidRPr="002E4C52">
        <w:tab/>
      </w:r>
      <w:r w:rsidR="002D64C2" w:rsidRPr="001B5FAB">
        <w:rPr>
          <w:noProof/>
        </w:rPr>
        <w:t xml:space="preserve">Member States shall ensure that their </w:t>
      </w:r>
      <w:r w:rsidR="002D64C2">
        <w:rPr>
          <w:noProof/>
        </w:rPr>
        <w:t xml:space="preserve">Single Point of Contact or their </w:t>
      </w:r>
      <w:r w:rsidR="002D64C2" w:rsidRPr="001B5FAB">
        <w:rPr>
          <w:noProof/>
        </w:rPr>
        <w:t>law enforcement authorities provide</w:t>
      </w:r>
      <w:r w:rsidR="002D64C2">
        <w:rPr>
          <w:noProof/>
        </w:rPr>
        <w:t>,</w:t>
      </w:r>
      <w:r w:rsidR="002D64C2" w:rsidRPr="001B5FAB">
        <w:rPr>
          <w:noProof/>
        </w:rPr>
        <w:t xml:space="preserve"> on </w:t>
      </w:r>
      <w:r w:rsidR="002D64C2">
        <w:rPr>
          <w:noProof/>
        </w:rPr>
        <w:t>their</w:t>
      </w:r>
      <w:r w:rsidR="002D64C2" w:rsidRPr="001B5FAB">
        <w:rPr>
          <w:noProof/>
        </w:rPr>
        <w:t xml:space="preserve"> own initiative</w:t>
      </w:r>
      <w:r w:rsidR="002D64C2">
        <w:rPr>
          <w:noProof/>
        </w:rPr>
        <w:t>,</w:t>
      </w:r>
      <w:r w:rsidR="002D64C2" w:rsidRPr="001B5FAB">
        <w:rPr>
          <w:noProof/>
        </w:rPr>
        <w:t xml:space="preserve"> any information</w:t>
      </w:r>
      <w:r w:rsidR="002D64C2">
        <w:rPr>
          <w:noProof/>
        </w:rPr>
        <w:t xml:space="preserve"> </w:t>
      </w:r>
      <w:r w:rsidR="002D64C2" w:rsidRPr="007A63BC">
        <w:rPr>
          <w:noProof/>
        </w:rPr>
        <w:t>available</w:t>
      </w:r>
      <w:r w:rsidR="002D64C2">
        <w:rPr>
          <w:noProof/>
        </w:rPr>
        <w:t xml:space="preserve"> to them to the Single Point</w:t>
      </w:r>
      <w:r w:rsidR="00A14E5D">
        <w:rPr>
          <w:noProof/>
        </w:rPr>
        <w:t>s</w:t>
      </w:r>
      <w:r w:rsidR="002D64C2">
        <w:rPr>
          <w:noProof/>
        </w:rPr>
        <w:t xml:space="preserve"> of Contact or to the law enforcement authorities of other Member State</w:t>
      </w:r>
      <w:r w:rsidR="00A14E5D">
        <w:rPr>
          <w:noProof/>
        </w:rPr>
        <w:t>s</w:t>
      </w:r>
      <w:r w:rsidR="002D64C2">
        <w:rPr>
          <w:noProof/>
        </w:rPr>
        <w:t xml:space="preserve">, where there are objective reasons to believe that such information could be </w:t>
      </w:r>
      <w:r w:rsidR="002D64C2" w:rsidRPr="00573919">
        <w:rPr>
          <w:noProof/>
        </w:rPr>
        <w:t>relevant</w:t>
      </w:r>
      <w:r w:rsidR="002D64C2">
        <w:rPr>
          <w:noProof/>
        </w:rPr>
        <w:t xml:space="preserve"> to that Member State for the purpose referred to</w:t>
      </w:r>
      <w:r w:rsidR="00D35815">
        <w:rPr>
          <w:noProof/>
        </w:rPr>
        <w:t xml:space="preserve"> in</w:t>
      </w:r>
      <w:r w:rsidR="002D64C2">
        <w:rPr>
          <w:noProof/>
        </w:rPr>
        <w:t xml:space="preserve"> Article 1(1</w:t>
      </w:r>
      <w:r w:rsidR="002D64C2" w:rsidRPr="00AC4331">
        <w:rPr>
          <w:noProof/>
        </w:rPr>
        <w:t>).</w:t>
      </w:r>
      <w:r w:rsidR="000D61A7">
        <w:rPr>
          <w:noProof/>
        </w:rPr>
        <w:t xml:space="preserve"> </w:t>
      </w:r>
      <w:r w:rsidR="00E1478B" w:rsidRPr="00F47E1E">
        <w:rPr>
          <w:noProof/>
        </w:rPr>
        <w:t>However, no such obligation shall exist insofar as the reasons referred to in points (c)</w:t>
      </w:r>
      <w:r w:rsidR="00E1478B" w:rsidRPr="00F66949">
        <w:rPr>
          <w:noProof/>
        </w:rPr>
        <w:t xml:space="preserve">, </w:t>
      </w:r>
      <w:r w:rsidR="00E1478B" w:rsidRPr="00F47E1E">
        <w:rPr>
          <w:noProof/>
        </w:rPr>
        <w:t>(d)</w:t>
      </w:r>
      <w:r w:rsidR="00E1478B" w:rsidRPr="00F66949">
        <w:rPr>
          <w:noProof/>
        </w:rPr>
        <w:t xml:space="preserve"> or (e)</w:t>
      </w:r>
      <w:r w:rsidR="00E1478B" w:rsidRPr="00F47E1E">
        <w:rPr>
          <w:noProof/>
        </w:rPr>
        <w:t xml:space="preserve"> of Article 6(1) apply in respect of such information</w:t>
      </w:r>
      <w:r w:rsidR="00FE1BFE" w:rsidRPr="00F47E1E">
        <w:rPr>
          <w:noProof/>
        </w:rPr>
        <w:t>.</w:t>
      </w:r>
      <w:r w:rsidR="00FE1BFE">
        <w:rPr>
          <w:noProof/>
        </w:rPr>
        <w:t xml:space="preserve">  </w:t>
      </w:r>
    </w:p>
    <w:p w14:paraId="3FFB93C7" w14:textId="16CAB39E" w:rsidR="003D1338" w:rsidRDefault="002E4C52" w:rsidP="002E4C52">
      <w:pPr>
        <w:pStyle w:val="ManualNumPar1"/>
        <w:rPr>
          <w:noProof/>
        </w:rPr>
      </w:pPr>
      <w:r w:rsidRPr="002E4C52">
        <w:t>2.</w:t>
      </w:r>
      <w:r w:rsidRPr="002E4C52">
        <w:tab/>
      </w:r>
      <w:r w:rsidR="002D64C2" w:rsidRPr="00E80FAC">
        <w:rPr>
          <w:noProof/>
        </w:rPr>
        <w:t>Member States shall ensure that, where their Single Point of Contact or</w:t>
      </w:r>
      <w:r w:rsidR="002D64C2">
        <w:rPr>
          <w:noProof/>
        </w:rPr>
        <w:t xml:space="preserve"> </w:t>
      </w:r>
      <w:r w:rsidR="002D64C2" w:rsidRPr="00E80FAC">
        <w:rPr>
          <w:noProof/>
        </w:rPr>
        <w:t>their law enforcement authorities provide information on their own</w:t>
      </w:r>
      <w:r w:rsidR="00F61EB8">
        <w:rPr>
          <w:noProof/>
        </w:rPr>
        <w:t>-</w:t>
      </w:r>
      <w:r w:rsidR="002D64C2" w:rsidRPr="00E80FAC">
        <w:rPr>
          <w:noProof/>
        </w:rPr>
        <w:t xml:space="preserve">initiative in accordance with paragraph 1, they do so in one of the languages </w:t>
      </w:r>
      <w:r w:rsidR="00D35815">
        <w:rPr>
          <w:noProof/>
        </w:rPr>
        <w:t>included</w:t>
      </w:r>
      <w:r w:rsidR="00D35815" w:rsidRPr="00E80FAC">
        <w:rPr>
          <w:noProof/>
        </w:rPr>
        <w:t xml:space="preserve"> </w:t>
      </w:r>
      <w:r w:rsidR="002D64C2" w:rsidRPr="00E80FAC">
        <w:rPr>
          <w:noProof/>
        </w:rPr>
        <w:t xml:space="preserve">in the list established by the requested Member State and published in accordance with Article </w:t>
      </w:r>
      <w:r w:rsidR="00A14E5D">
        <w:rPr>
          <w:noProof/>
        </w:rPr>
        <w:t>1</w:t>
      </w:r>
      <w:r w:rsidR="008E7581" w:rsidRPr="0085065A">
        <w:rPr>
          <w:noProof/>
        </w:rPr>
        <w:t>1.</w:t>
      </w:r>
      <w:r w:rsidR="002D64C2" w:rsidRPr="00E80FAC">
        <w:rPr>
          <w:noProof/>
        </w:rPr>
        <w:t xml:space="preserve"> </w:t>
      </w:r>
    </w:p>
    <w:p w14:paraId="5C218958" w14:textId="1E60FC7B" w:rsidR="00671B37" w:rsidRDefault="000F5E05" w:rsidP="00F61E92">
      <w:pPr>
        <w:pStyle w:val="Text1"/>
        <w:rPr>
          <w:noProof/>
        </w:rPr>
      </w:pPr>
      <w:r>
        <w:rPr>
          <w:noProof/>
        </w:rPr>
        <w:t>Member States shall ensure that</w:t>
      </w:r>
      <w:r w:rsidR="003D1338">
        <w:rPr>
          <w:noProof/>
        </w:rPr>
        <w:t>, where</w:t>
      </w:r>
      <w:r>
        <w:rPr>
          <w:noProof/>
        </w:rPr>
        <w:t xml:space="preserve"> their </w:t>
      </w:r>
      <w:r w:rsidRPr="00E80FAC">
        <w:rPr>
          <w:noProof/>
        </w:rPr>
        <w:t>Single Point of Contact or</w:t>
      </w:r>
      <w:r>
        <w:rPr>
          <w:noProof/>
        </w:rPr>
        <w:t xml:space="preserve"> </w:t>
      </w:r>
      <w:r w:rsidRPr="00E80FAC">
        <w:rPr>
          <w:noProof/>
        </w:rPr>
        <w:t>their law enforcement authorities</w:t>
      </w:r>
      <w:r w:rsidR="002D64C2" w:rsidRPr="00E80FAC">
        <w:rPr>
          <w:noProof/>
        </w:rPr>
        <w:t xml:space="preserve"> </w:t>
      </w:r>
      <w:r w:rsidR="00E1478B">
        <w:rPr>
          <w:noProof/>
        </w:rPr>
        <w:t>provide such information to the law enforcement authority of another Member State, they also s</w:t>
      </w:r>
      <w:r w:rsidR="00E1478B" w:rsidRPr="00BF40E1">
        <w:rPr>
          <w:noProof/>
        </w:rPr>
        <w:t>en</w:t>
      </w:r>
      <w:r w:rsidR="00E1478B">
        <w:rPr>
          <w:noProof/>
        </w:rPr>
        <w:t xml:space="preserve">d, at the same time, </w:t>
      </w:r>
      <w:r>
        <w:rPr>
          <w:noProof/>
        </w:rPr>
        <w:t>a copy of th</w:t>
      </w:r>
      <w:r w:rsidR="003D1338">
        <w:rPr>
          <w:noProof/>
        </w:rPr>
        <w:t>at</w:t>
      </w:r>
      <w:r>
        <w:rPr>
          <w:noProof/>
        </w:rPr>
        <w:t xml:space="preserve"> information </w:t>
      </w:r>
      <w:r w:rsidR="00A14E5D" w:rsidRPr="00BF40E1">
        <w:rPr>
          <w:noProof/>
        </w:rPr>
        <w:t xml:space="preserve">to the </w:t>
      </w:r>
      <w:r w:rsidR="00A14E5D">
        <w:rPr>
          <w:noProof/>
        </w:rPr>
        <w:t>Single Point of Contact of th</w:t>
      </w:r>
      <w:r w:rsidR="003D1338">
        <w:rPr>
          <w:noProof/>
        </w:rPr>
        <w:t>at</w:t>
      </w:r>
      <w:r w:rsidR="00A14E5D">
        <w:rPr>
          <w:noProof/>
        </w:rPr>
        <w:t xml:space="preserve"> </w:t>
      </w:r>
      <w:r w:rsidR="007E78B4" w:rsidRPr="004271D5">
        <w:rPr>
          <w:noProof/>
        </w:rPr>
        <w:t>other</w:t>
      </w:r>
      <w:r w:rsidR="007E78B4">
        <w:rPr>
          <w:noProof/>
        </w:rPr>
        <w:t xml:space="preserve"> </w:t>
      </w:r>
      <w:r w:rsidR="00A14E5D" w:rsidRPr="00BF40E1">
        <w:rPr>
          <w:noProof/>
        </w:rPr>
        <w:t>Member State.</w:t>
      </w:r>
    </w:p>
    <w:p w14:paraId="0D9EEE95" w14:textId="2BA27010" w:rsidR="002D64C2" w:rsidRPr="005410A5" w:rsidRDefault="002D64C2" w:rsidP="00414504">
      <w:pPr>
        <w:pStyle w:val="Titrearticle"/>
        <w:spacing w:after="0"/>
        <w:rPr>
          <w:noProof/>
        </w:rPr>
      </w:pPr>
      <w:r w:rsidRPr="005410A5">
        <w:rPr>
          <w:noProof/>
        </w:rPr>
        <w:t xml:space="preserve">Article </w:t>
      </w:r>
      <w:r>
        <w:rPr>
          <w:noProof/>
        </w:rPr>
        <w:t>8</w:t>
      </w:r>
    </w:p>
    <w:p w14:paraId="1460E307" w14:textId="683E4DE2" w:rsidR="009615A0" w:rsidRDefault="002D64C2" w:rsidP="00F1189A">
      <w:pPr>
        <w:spacing w:before="0"/>
        <w:jc w:val="center"/>
        <w:rPr>
          <w:b/>
          <w:i/>
          <w:noProof/>
        </w:rPr>
      </w:pPr>
      <w:r w:rsidRPr="005410A5">
        <w:rPr>
          <w:b/>
          <w:i/>
          <w:noProof/>
        </w:rPr>
        <w:t xml:space="preserve">Exchanges of information </w:t>
      </w:r>
      <w:r w:rsidR="00ED2ADB">
        <w:rPr>
          <w:b/>
          <w:i/>
          <w:noProof/>
        </w:rPr>
        <w:t xml:space="preserve">upon </w:t>
      </w:r>
      <w:r w:rsidR="00ED2ADB" w:rsidRPr="004271D5">
        <w:rPr>
          <w:b/>
          <w:i/>
          <w:noProof/>
        </w:rPr>
        <w:t>request</w:t>
      </w:r>
      <w:r w:rsidR="00E0196C" w:rsidRPr="004271D5">
        <w:rPr>
          <w:b/>
          <w:i/>
          <w:noProof/>
        </w:rPr>
        <w:t>s</w:t>
      </w:r>
      <w:r w:rsidR="00ED2ADB" w:rsidRPr="004271D5">
        <w:rPr>
          <w:b/>
          <w:i/>
          <w:noProof/>
        </w:rPr>
        <w:t xml:space="preserve"> </w:t>
      </w:r>
      <w:r w:rsidR="00E0196C" w:rsidRPr="004271D5">
        <w:rPr>
          <w:b/>
          <w:i/>
          <w:noProof/>
        </w:rPr>
        <w:t xml:space="preserve">submitted </w:t>
      </w:r>
      <w:r w:rsidRPr="00631A2B">
        <w:rPr>
          <w:b/>
          <w:i/>
          <w:noProof/>
        </w:rPr>
        <w:t xml:space="preserve">directly </w:t>
      </w:r>
      <w:r w:rsidR="00E0196C" w:rsidRPr="0085065A">
        <w:rPr>
          <w:b/>
          <w:i/>
          <w:noProof/>
        </w:rPr>
        <w:t>to</w:t>
      </w:r>
      <w:r w:rsidR="00E0196C" w:rsidRPr="004271D5">
        <w:rPr>
          <w:b/>
          <w:i/>
          <w:noProof/>
        </w:rPr>
        <w:t xml:space="preserve"> </w:t>
      </w:r>
      <w:r w:rsidRPr="004271D5">
        <w:rPr>
          <w:b/>
          <w:i/>
          <w:noProof/>
        </w:rPr>
        <w:t>law enforcement authorities</w:t>
      </w:r>
    </w:p>
    <w:p w14:paraId="47F52326" w14:textId="264B5079" w:rsidR="002D64C2" w:rsidRPr="00AC4331" w:rsidRDefault="002D64C2" w:rsidP="00F61E92">
      <w:pPr>
        <w:rPr>
          <w:noProof/>
        </w:rPr>
      </w:pPr>
      <w:r w:rsidRPr="005410A5">
        <w:rPr>
          <w:noProof/>
        </w:rPr>
        <w:t xml:space="preserve">Member States shall ensure that, where </w:t>
      </w:r>
      <w:r w:rsidR="00E0196C" w:rsidRPr="004271D5">
        <w:rPr>
          <w:noProof/>
        </w:rPr>
        <w:t>Single</w:t>
      </w:r>
      <w:r w:rsidR="00A821B4" w:rsidRPr="0085065A">
        <w:rPr>
          <w:noProof/>
        </w:rPr>
        <w:t xml:space="preserve"> Point</w:t>
      </w:r>
      <w:r w:rsidR="00187618" w:rsidRPr="0085065A">
        <w:rPr>
          <w:noProof/>
        </w:rPr>
        <w:t>s</w:t>
      </w:r>
      <w:r w:rsidR="00A821B4" w:rsidRPr="0085065A">
        <w:rPr>
          <w:noProof/>
        </w:rPr>
        <w:t xml:space="preserve"> of Contact or</w:t>
      </w:r>
      <w:r w:rsidRPr="005410A5">
        <w:rPr>
          <w:noProof/>
        </w:rPr>
        <w:t xml:space="preserve"> law enforcement authorities </w:t>
      </w:r>
      <w:r w:rsidR="00ED2ADB">
        <w:rPr>
          <w:noProof/>
        </w:rPr>
        <w:t xml:space="preserve">submit requests for information </w:t>
      </w:r>
      <w:r w:rsidRPr="005410A5">
        <w:rPr>
          <w:noProof/>
        </w:rPr>
        <w:t xml:space="preserve">directly </w:t>
      </w:r>
      <w:r w:rsidR="00ED2ADB">
        <w:rPr>
          <w:noProof/>
        </w:rPr>
        <w:t>to the</w:t>
      </w:r>
      <w:r w:rsidR="00ED2ADB" w:rsidRPr="005410A5">
        <w:rPr>
          <w:noProof/>
        </w:rPr>
        <w:t xml:space="preserve"> </w:t>
      </w:r>
      <w:r w:rsidRPr="005410A5">
        <w:rPr>
          <w:noProof/>
        </w:rPr>
        <w:t xml:space="preserve">law enforcement authorities of another Member State, </w:t>
      </w:r>
      <w:r w:rsidRPr="00A821B4">
        <w:rPr>
          <w:noProof/>
        </w:rPr>
        <w:t>the</w:t>
      </w:r>
      <w:r w:rsidRPr="005410A5">
        <w:rPr>
          <w:noProof/>
        </w:rPr>
        <w:t>ir</w:t>
      </w:r>
      <w:r w:rsidR="00A821B4">
        <w:rPr>
          <w:noProof/>
        </w:rPr>
        <w:t xml:space="preserve"> </w:t>
      </w:r>
      <w:r w:rsidR="00A821B4" w:rsidRPr="004271D5">
        <w:rPr>
          <w:noProof/>
        </w:rPr>
        <w:t>Single Points of Contact or their</w:t>
      </w:r>
      <w:r w:rsidRPr="005410A5">
        <w:rPr>
          <w:noProof/>
        </w:rPr>
        <w:t xml:space="preserve"> law enforcement authorities</w:t>
      </w:r>
      <w:r w:rsidR="005740DC">
        <w:rPr>
          <w:noProof/>
        </w:rPr>
        <w:t xml:space="preserve">    </w:t>
      </w:r>
      <w:r w:rsidR="003D1338">
        <w:rPr>
          <w:noProof/>
        </w:rPr>
        <w:t>send</w:t>
      </w:r>
      <w:r w:rsidRPr="005410A5">
        <w:rPr>
          <w:noProof/>
        </w:rPr>
        <w:t>, at the same time</w:t>
      </w:r>
      <w:r w:rsidR="007251BD">
        <w:rPr>
          <w:noProof/>
        </w:rPr>
        <w:t xml:space="preserve"> as they send</w:t>
      </w:r>
      <w:r w:rsidRPr="00671B37">
        <w:rPr>
          <w:noProof/>
        </w:rPr>
        <w:t xml:space="preserve"> such requests, provi</w:t>
      </w:r>
      <w:r w:rsidR="007251BD">
        <w:rPr>
          <w:noProof/>
        </w:rPr>
        <w:t xml:space="preserve">de </w:t>
      </w:r>
      <w:r w:rsidRPr="00671B37">
        <w:rPr>
          <w:noProof/>
        </w:rPr>
        <w:t>information</w:t>
      </w:r>
      <w:r w:rsidR="00187618">
        <w:rPr>
          <w:noProof/>
        </w:rPr>
        <w:t xml:space="preserve"> pursuant to such requests </w:t>
      </w:r>
      <w:r w:rsidR="00A821B4" w:rsidRPr="004271D5">
        <w:rPr>
          <w:noProof/>
        </w:rPr>
        <w:t>or</w:t>
      </w:r>
      <w:r w:rsidR="00A821B4">
        <w:rPr>
          <w:noProof/>
        </w:rPr>
        <w:t xml:space="preserve"> </w:t>
      </w:r>
      <w:r w:rsidR="007251BD">
        <w:rPr>
          <w:noProof/>
        </w:rPr>
        <w:t xml:space="preserve">send </w:t>
      </w:r>
      <w:r w:rsidR="00187618">
        <w:rPr>
          <w:noProof/>
        </w:rPr>
        <w:t>any</w:t>
      </w:r>
      <w:r w:rsidRPr="00671B37">
        <w:rPr>
          <w:noProof/>
        </w:rPr>
        <w:t xml:space="preserve"> other communications</w:t>
      </w:r>
      <w:r w:rsidR="00187618">
        <w:rPr>
          <w:noProof/>
        </w:rPr>
        <w:t xml:space="preserve"> relating thereto</w:t>
      </w:r>
      <w:r w:rsidR="007251BD">
        <w:rPr>
          <w:noProof/>
        </w:rPr>
        <w:t>, a copy thereof</w:t>
      </w:r>
      <w:r w:rsidR="00671B37" w:rsidRPr="00671B37">
        <w:rPr>
          <w:noProof/>
        </w:rPr>
        <w:t xml:space="preserve"> to the Single Point of Contact</w:t>
      </w:r>
      <w:r w:rsidR="00671B37">
        <w:rPr>
          <w:noProof/>
        </w:rPr>
        <w:t xml:space="preserve"> </w:t>
      </w:r>
      <w:r w:rsidR="00671B37" w:rsidRPr="004271D5">
        <w:rPr>
          <w:noProof/>
        </w:rPr>
        <w:t>of th</w:t>
      </w:r>
      <w:r w:rsidR="007E78B4" w:rsidRPr="0085065A">
        <w:rPr>
          <w:noProof/>
        </w:rPr>
        <w:t>at</w:t>
      </w:r>
      <w:r w:rsidR="00671B37" w:rsidRPr="004271D5">
        <w:rPr>
          <w:noProof/>
        </w:rPr>
        <w:t xml:space="preserve"> </w:t>
      </w:r>
      <w:r w:rsidR="00E0196C" w:rsidRPr="0085065A">
        <w:rPr>
          <w:noProof/>
        </w:rPr>
        <w:t>other</w:t>
      </w:r>
      <w:r w:rsidR="00E0196C" w:rsidRPr="004271D5">
        <w:rPr>
          <w:noProof/>
        </w:rPr>
        <w:t xml:space="preserve"> </w:t>
      </w:r>
      <w:r w:rsidR="00671B37" w:rsidRPr="004271D5">
        <w:rPr>
          <w:noProof/>
        </w:rPr>
        <w:t xml:space="preserve">Member State </w:t>
      </w:r>
      <w:r w:rsidR="00E0196C" w:rsidRPr="00631A2B">
        <w:rPr>
          <w:noProof/>
        </w:rPr>
        <w:t xml:space="preserve">and, where </w:t>
      </w:r>
      <w:r w:rsidR="00E0196C" w:rsidRPr="0085065A">
        <w:rPr>
          <w:noProof/>
        </w:rPr>
        <w:t>the sender is a law enforcement authority</w:t>
      </w:r>
      <w:r w:rsidR="00E0196C" w:rsidRPr="004271D5">
        <w:rPr>
          <w:noProof/>
        </w:rPr>
        <w:t xml:space="preserve">, also to the Single Point of Contact of </w:t>
      </w:r>
      <w:r w:rsidR="00A821B4" w:rsidRPr="0085065A">
        <w:rPr>
          <w:noProof/>
        </w:rPr>
        <w:t>its</w:t>
      </w:r>
      <w:r w:rsidR="00E0196C" w:rsidRPr="004271D5">
        <w:rPr>
          <w:noProof/>
        </w:rPr>
        <w:t xml:space="preserve"> </w:t>
      </w:r>
      <w:r w:rsidR="00E0196C" w:rsidRPr="0085065A">
        <w:rPr>
          <w:noProof/>
        </w:rPr>
        <w:t xml:space="preserve">own </w:t>
      </w:r>
      <w:r w:rsidR="00E0196C" w:rsidRPr="004271D5">
        <w:rPr>
          <w:noProof/>
        </w:rPr>
        <w:t>Member State</w:t>
      </w:r>
      <w:r w:rsidRPr="00AC4331">
        <w:rPr>
          <w:noProof/>
        </w:rPr>
        <w:t xml:space="preserve">. </w:t>
      </w:r>
    </w:p>
    <w:p w14:paraId="6CE41634" w14:textId="42CF0ADB" w:rsidR="00804FC7" w:rsidRPr="00414504" w:rsidRDefault="00804FC7" w:rsidP="00414504">
      <w:pPr>
        <w:pStyle w:val="ChapterTitle"/>
        <w:spacing w:before="360"/>
        <w:rPr>
          <w:noProof/>
          <w:sz w:val="24"/>
        </w:rPr>
      </w:pPr>
      <w:r w:rsidRPr="00414504">
        <w:rPr>
          <w:noProof/>
          <w:sz w:val="24"/>
        </w:rPr>
        <w:t>Chapter IV</w:t>
      </w:r>
    </w:p>
    <w:p w14:paraId="0534BF95" w14:textId="4A10E1A3" w:rsidR="00804FC7" w:rsidRPr="00414504" w:rsidRDefault="00804FC7" w:rsidP="00F61E92">
      <w:pPr>
        <w:pStyle w:val="ChapterTitle"/>
        <w:rPr>
          <w:noProof/>
          <w:sz w:val="24"/>
        </w:rPr>
      </w:pPr>
      <w:r w:rsidRPr="00414504">
        <w:rPr>
          <w:noProof/>
          <w:sz w:val="24"/>
        </w:rPr>
        <w:t xml:space="preserve">Additional </w:t>
      </w:r>
      <w:r w:rsidR="00487A7E" w:rsidRPr="00414504">
        <w:rPr>
          <w:noProof/>
          <w:sz w:val="24"/>
        </w:rPr>
        <w:t>rules on</w:t>
      </w:r>
      <w:r w:rsidRPr="00414504">
        <w:rPr>
          <w:noProof/>
          <w:sz w:val="24"/>
        </w:rPr>
        <w:t xml:space="preserve"> the provision of information under Chapters II and III</w:t>
      </w:r>
    </w:p>
    <w:p w14:paraId="7578FEAC" w14:textId="793922FD" w:rsidR="00573919" w:rsidRPr="001A41DE" w:rsidRDefault="00573919" w:rsidP="00414504">
      <w:pPr>
        <w:pStyle w:val="Titrearticle"/>
        <w:spacing w:after="0"/>
        <w:rPr>
          <w:noProof/>
        </w:rPr>
      </w:pPr>
      <w:r w:rsidRPr="001A41DE">
        <w:rPr>
          <w:noProof/>
        </w:rPr>
        <w:t xml:space="preserve">Article </w:t>
      </w:r>
      <w:r w:rsidR="002D64C2">
        <w:rPr>
          <w:noProof/>
        </w:rPr>
        <w:t>9</w:t>
      </w:r>
    </w:p>
    <w:p w14:paraId="3DCF13E1" w14:textId="77777777" w:rsidR="00573919" w:rsidRPr="00573919" w:rsidRDefault="00573919" w:rsidP="00573919">
      <w:pPr>
        <w:spacing w:before="0"/>
        <w:jc w:val="center"/>
        <w:rPr>
          <w:b/>
          <w:noProof/>
        </w:rPr>
      </w:pPr>
      <w:r>
        <w:rPr>
          <w:b/>
          <w:i/>
          <w:noProof/>
        </w:rPr>
        <w:t>J</w:t>
      </w:r>
      <w:r w:rsidRPr="001A41DE">
        <w:rPr>
          <w:b/>
          <w:i/>
          <w:noProof/>
        </w:rPr>
        <w:t>udicial authorisation</w:t>
      </w:r>
    </w:p>
    <w:p w14:paraId="4428D760" w14:textId="0AFC941C" w:rsidR="00573919" w:rsidRPr="00AC4331" w:rsidRDefault="002E4C52" w:rsidP="002E4C52">
      <w:pPr>
        <w:pStyle w:val="ManualNumPar1"/>
        <w:rPr>
          <w:noProof/>
        </w:rPr>
      </w:pPr>
      <w:r w:rsidRPr="002E4C52">
        <w:t>1.</w:t>
      </w:r>
      <w:r w:rsidRPr="002E4C52">
        <w:tab/>
      </w:r>
      <w:r w:rsidR="00573919" w:rsidRPr="00356A5D">
        <w:rPr>
          <w:noProof/>
        </w:rPr>
        <w:t xml:space="preserve">Member States shall not </w:t>
      </w:r>
      <w:r w:rsidR="00573919">
        <w:rPr>
          <w:noProof/>
        </w:rPr>
        <w:t xml:space="preserve">require any judicial </w:t>
      </w:r>
      <w:r w:rsidR="00573919" w:rsidRPr="00356A5D">
        <w:rPr>
          <w:noProof/>
        </w:rPr>
        <w:t xml:space="preserve">authorisation </w:t>
      </w:r>
      <w:r w:rsidR="00573919">
        <w:rPr>
          <w:noProof/>
        </w:rPr>
        <w:t xml:space="preserve">for the </w:t>
      </w:r>
      <w:r w:rsidR="00573919" w:rsidRPr="00804FC7">
        <w:rPr>
          <w:noProof/>
        </w:rPr>
        <w:t>provision</w:t>
      </w:r>
      <w:r w:rsidR="00573919">
        <w:rPr>
          <w:noProof/>
        </w:rPr>
        <w:t xml:space="preserve"> of information to the</w:t>
      </w:r>
      <w:r w:rsidR="007251BD">
        <w:rPr>
          <w:noProof/>
        </w:rPr>
        <w:t xml:space="preserve"> </w:t>
      </w:r>
      <w:r w:rsidR="00E1478B" w:rsidRPr="00FD4B6F">
        <w:rPr>
          <w:noProof/>
        </w:rPr>
        <w:t xml:space="preserve">Single Points of Contact </w:t>
      </w:r>
      <w:r w:rsidR="007251BD" w:rsidRPr="00FD4B6F">
        <w:rPr>
          <w:noProof/>
        </w:rPr>
        <w:t xml:space="preserve">or </w:t>
      </w:r>
      <w:r w:rsidR="00573919">
        <w:rPr>
          <w:noProof/>
        </w:rPr>
        <w:t>law enforcement authority of another Member State</w:t>
      </w:r>
      <w:r w:rsidR="003B1DEF">
        <w:rPr>
          <w:noProof/>
        </w:rPr>
        <w:t xml:space="preserve"> </w:t>
      </w:r>
      <w:r w:rsidR="003B1DEF" w:rsidRPr="002D64C2">
        <w:rPr>
          <w:noProof/>
        </w:rPr>
        <w:t>under Chapter</w:t>
      </w:r>
      <w:r w:rsidR="00CF354D">
        <w:rPr>
          <w:noProof/>
        </w:rPr>
        <w:t>s</w:t>
      </w:r>
      <w:r w:rsidR="003B1DEF" w:rsidRPr="002D64C2">
        <w:rPr>
          <w:noProof/>
        </w:rPr>
        <w:t xml:space="preserve"> II </w:t>
      </w:r>
      <w:r w:rsidR="002D64C2" w:rsidRPr="002D64C2">
        <w:rPr>
          <w:noProof/>
        </w:rPr>
        <w:t>and</w:t>
      </w:r>
      <w:r w:rsidR="003B1DEF" w:rsidRPr="002D64C2">
        <w:rPr>
          <w:noProof/>
        </w:rPr>
        <w:t xml:space="preserve"> I</w:t>
      </w:r>
      <w:r w:rsidR="00804FC7" w:rsidRPr="002D64C2">
        <w:rPr>
          <w:noProof/>
        </w:rPr>
        <w:t>I</w:t>
      </w:r>
      <w:r w:rsidR="003B1DEF" w:rsidRPr="002D64C2">
        <w:rPr>
          <w:noProof/>
        </w:rPr>
        <w:t>I</w:t>
      </w:r>
      <w:r w:rsidR="00A60422" w:rsidRPr="002D64C2">
        <w:rPr>
          <w:noProof/>
        </w:rPr>
        <w:t>,</w:t>
      </w:r>
      <w:r w:rsidR="00A60422">
        <w:rPr>
          <w:noProof/>
        </w:rPr>
        <w:t xml:space="preserve"> </w:t>
      </w:r>
      <w:r w:rsidR="00573919" w:rsidRPr="00356A5D">
        <w:rPr>
          <w:noProof/>
        </w:rPr>
        <w:t xml:space="preserve">where no such </w:t>
      </w:r>
      <w:r w:rsidR="00573919">
        <w:rPr>
          <w:noProof/>
        </w:rPr>
        <w:t>requirement</w:t>
      </w:r>
      <w:r w:rsidR="00573919" w:rsidRPr="00356A5D">
        <w:rPr>
          <w:noProof/>
        </w:rPr>
        <w:t xml:space="preserve"> applies in respect of similar </w:t>
      </w:r>
      <w:r w:rsidR="00573919" w:rsidRPr="0081088D">
        <w:rPr>
          <w:noProof/>
        </w:rPr>
        <w:t>provision</w:t>
      </w:r>
      <w:r w:rsidR="00573919" w:rsidRPr="00356A5D">
        <w:rPr>
          <w:noProof/>
        </w:rPr>
        <w:t xml:space="preserve"> o</w:t>
      </w:r>
      <w:r w:rsidR="00573919">
        <w:rPr>
          <w:noProof/>
        </w:rPr>
        <w:t>f information</w:t>
      </w:r>
      <w:r w:rsidR="00573919" w:rsidRPr="00356A5D">
        <w:rPr>
          <w:noProof/>
        </w:rPr>
        <w:t xml:space="preserve"> to their own </w:t>
      </w:r>
      <w:r w:rsidR="00E1478B" w:rsidRPr="00FD4B6F">
        <w:rPr>
          <w:noProof/>
        </w:rPr>
        <w:t>Single Point of Contact or</w:t>
      </w:r>
      <w:r w:rsidR="00E1478B" w:rsidRPr="00F66949">
        <w:rPr>
          <w:noProof/>
        </w:rPr>
        <w:t xml:space="preserve"> their own</w:t>
      </w:r>
      <w:r w:rsidR="00E1478B" w:rsidRPr="00FD4B6F" w:rsidDel="00E1478B">
        <w:rPr>
          <w:noProof/>
        </w:rPr>
        <w:t xml:space="preserve"> </w:t>
      </w:r>
      <w:r w:rsidR="00573919" w:rsidRPr="00356A5D">
        <w:rPr>
          <w:noProof/>
        </w:rPr>
        <w:t xml:space="preserve">law enforcement </w:t>
      </w:r>
      <w:r w:rsidR="00573919" w:rsidRPr="00AC4331">
        <w:rPr>
          <w:noProof/>
        </w:rPr>
        <w:t>authorities. </w:t>
      </w:r>
    </w:p>
    <w:p w14:paraId="67B89AC5" w14:textId="13A3B8FE" w:rsidR="002D62F2" w:rsidRDefault="002E4C52" w:rsidP="002E4C52">
      <w:pPr>
        <w:pStyle w:val="ManualNumPar1"/>
        <w:rPr>
          <w:noProof/>
        </w:rPr>
      </w:pPr>
      <w:r w:rsidRPr="002E4C52">
        <w:t>2.</w:t>
      </w:r>
      <w:r w:rsidRPr="002E4C52">
        <w:tab/>
      </w:r>
      <w:r w:rsidR="00573919">
        <w:rPr>
          <w:noProof/>
        </w:rPr>
        <w:t xml:space="preserve">Member States shall ensure that, where their national law requires </w:t>
      </w:r>
      <w:r w:rsidR="00AB5C56">
        <w:rPr>
          <w:noProof/>
        </w:rPr>
        <w:t xml:space="preserve">a </w:t>
      </w:r>
      <w:r w:rsidR="00573919">
        <w:rPr>
          <w:noProof/>
        </w:rPr>
        <w:t xml:space="preserve">judicial authorisation </w:t>
      </w:r>
      <w:r w:rsidR="00573919" w:rsidRPr="006041D3">
        <w:rPr>
          <w:noProof/>
        </w:rPr>
        <w:t xml:space="preserve">for the provision of information to </w:t>
      </w:r>
      <w:r w:rsidR="00464286" w:rsidRPr="00FD4B6F">
        <w:rPr>
          <w:noProof/>
        </w:rPr>
        <w:t xml:space="preserve">the </w:t>
      </w:r>
      <w:r w:rsidR="007251BD" w:rsidRPr="00F66949">
        <w:rPr>
          <w:noProof/>
        </w:rPr>
        <w:t>Single Points of Contact or</w:t>
      </w:r>
      <w:r w:rsidR="007251BD">
        <w:rPr>
          <w:noProof/>
        </w:rPr>
        <w:t xml:space="preserve"> </w:t>
      </w:r>
      <w:r w:rsidR="00573919" w:rsidRPr="006041D3">
        <w:rPr>
          <w:noProof/>
        </w:rPr>
        <w:t>the law enforcement authority of another Member State</w:t>
      </w:r>
      <w:r w:rsidR="00620E4E">
        <w:rPr>
          <w:noProof/>
        </w:rPr>
        <w:t xml:space="preserve"> </w:t>
      </w:r>
      <w:r w:rsidR="00620E4E" w:rsidRPr="00747D4D">
        <w:rPr>
          <w:noProof/>
        </w:rPr>
        <w:t>in accordance with paragraph 1</w:t>
      </w:r>
      <w:r w:rsidR="00573919">
        <w:rPr>
          <w:noProof/>
        </w:rPr>
        <w:t>,</w:t>
      </w:r>
      <w:r w:rsidR="00573919" w:rsidRPr="006041D3">
        <w:rPr>
          <w:noProof/>
        </w:rPr>
        <w:t xml:space="preserve"> </w:t>
      </w:r>
      <w:r w:rsidR="00573919">
        <w:rPr>
          <w:noProof/>
        </w:rPr>
        <w:t xml:space="preserve">their </w:t>
      </w:r>
      <w:r w:rsidR="007251BD" w:rsidRPr="00F66949">
        <w:rPr>
          <w:noProof/>
        </w:rPr>
        <w:t>Single Points of Contact or</w:t>
      </w:r>
      <w:r w:rsidR="00464286" w:rsidRPr="00F66949">
        <w:rPr>
          <w:noProof/>
        </w:rPr>
        <w:t xml:space="preserve"> their</w:t>
      </w:r>
      <w:r w:rsidR="007251BD">
        <w:rPr>
          <w:noProof/>
        </w:rPr>
        <w:t xml:space="preserve"> </w:t>
      </w:r>
      <w:r w:rsidR="00573919">
        <w:rPr>
          <w:noProof/>
        </w:rPr>
        <w:t xml:space="preserve">law enforcement </w:t>
      </w:r>
      <w:r w:rsidR="00573919" w:rsidRPr="007E014A">
        <w:rPr>
          <w:noProof/>
        </w:rPr>
        <w:t>authorit</w:t>
      </w:r>
      <w:r w:rsidR="00573919">
        <w:rPr>
          <w:noProof/>
        </w:rPr>
        <w:t>ies</w:t>
      </w:r>
      <w:r w:rsidR="00573919" w:rsidRPr="007E014A">
        <w:rPr>
          <w:noProof/>
        </w:rPr>
        <w:t xml:space="preserve"> </w:t>
      </w:r>
      <w:r w:rsidR="00573919">
        <w:rPr>
          <w:noProof/>
        </w:rPr>
        <w:t>immediately take all necessary steps, in accordance with their national law, to obtain such</w:t>
      </w:r>
      <w:r w:rsidR="00573919" w:rsidRPr="007E014A">
        <w:rPr>
          <w:noProof/>
        </w:rPr>
        <w:t xml:space="preserve"> judicial authori</w:t>
      </w:r>
      <w:r w:rsidR="00573919">
        <w:rPr>
          <w:noProof/>
        </w:rPr>
        <w:t>sation as soon as possible</w:t>
      </w:r>
      <w:r w:rsidR="00573919" w:rsidRPr="007E014A">
        <w:rPr>
          <w:noProof/>
        </w:rPr>
        <w:t>.</w:t>
      </w:r>
    </w:p>
    <w:p w14:paraId="6EB2A376" w14:textId="0F92F3E8" w:rsidR="00E93283" w:rsidRPr="00573919" w:rsidRDefault="002E4C52" w:rsidP="002E4C52">
      <w:pPr>
        <w:pStyle w:val="ManualNumPar1"/>
        <w:rPr>
          <w:noProof/>
        </w:rPr>
      </w:pPr>
      <w:r w:rsidRPr="002E4C52">
        <w:t>3.</w:t>
      </w:r>
      <w:r w:rsidRPr="002E4C52">
        <w:tab/>
      </w:r>
      <w:r w:rsidR="00620E4E" w:rsidRPr="00747D4D">
        <w:rPr>
          <w:noProof/>
        </w:rPr>
        <w:t>The r</w:t>
      </w:r>
      <w:r w:rsidR="002D62F2" w:rsidRPr="00747D4D">
        <w:rPr>
          <w:noProof/>
        </w:rPr>
        <w:t>equests for judicial authorisation</w:t>
      </w:r>
      <w:r w:rsidR="00620E4E" w:rsidRPr="00747D4D">
        <w:rPr>
          <w:noProof/>
        </w:rPr>
        <w:t xml:space="preserve"> referred to in paragraph 1</w:t>
      </w:r>
      <w:r w:rsidR="002D62F2">
        <w:rPr>
          <w:noProof/>
        </w:rPr>
        <w:t xml:space="preserve"> shall be assessed</w:t>
      </w:r>
      <w:r w:rsidR="007251BD">
        <w:rPr>
          <w:noProof/>
        </w:rPr>
        <w:t xml:space="preserve"> and decided upon</w:t>
      </w:r>
      <w:r w:rsidR="002D62F2">
        <w:rPr>
          <w:noProof/>
        </w:rPr>
        <w:t xml:space="preserve"> in accordance with the national law of the</w:t>
      </w:r>
      <w:r w:rsidR="00AD2ECE">
        <w:rPr>
          <w:noProof/>
        </w:rPr>
        <w:t xml:space="preserve"> Member State of the</w:t>
      </w:r>
      <w:r w:rsidR="002D62F2">
        <w:rPr>
          <w:noProof/>
        </w:rPr>
        <w:t xml:space="preserve"> </w:t>
      </w:r>
      <w:r w:rsidR="007251BD">
        <w:rPr>
          <w:noProof/>
        </w:rPr>
        <w:t>comp</w:t>
      </w:r>
      <w:r w:rsidR="00885BAE">
        <w:rPr>
          <w:noProof/>
        </w:rPr>
        <w:t>e</w:t>
      </w:r>
      <w:r w:rsidR="007251BD">
        <w:rPr>
          <w:noProof/>
        </w:rPr>
        <w:t xml:space="preserve">tent </w:t>
      </w:r>
      <w:r w:rsidR="002D62F2">
        <w:rPr>
          <w:noProof/>
        </w:rPr>
        <w:t>judicial authority.</w:t>
      </w:r>
    </w:p>
    <w:p w14:paraId="15713E85" w14:textId="21A38E62" w:rsidR="000973DE" w:rsidRPr="00FD0E3D" w:rsidRDefault="000973DE" w:rsidP="00414504">
      <w:pPr>
        <w:pStyle w:val="Titrearticle"/>
        <w:spacing w:after="0"/>
        <w:rPr>
          <w:noProof/>
        </w:rPr>
      </w:pPr>
      <w:r w:rsidRPr="0085065A">
        <w:rPr>
          <w:noProof/>
        </w:rPr>
        <w:t xml:space="preserve">Article </w:t>
      </w:r>
      <w:r w:rsidR="00AA5B56" w:rsidRPr="004271D5">
        <w:rPr>
          <w:noProof/>
        </w:rPr>
        <w:t>1</w:t>
      </w:r>
      <w:r w:rsidR="00A821B4" w:rsidRPr="004271D5">
        <w:rPr>
          <w:noProof/>
        </w:rPr>
        <w:t>0</w:t>
      </w:r>
    </w:p>
    <w:p w14:paraId="2F478BB8" w14:textId="2336E06F" w:rsidR="00CC2B8F" w:rsidRPr="00F61E92" w:rsidRDefault="002A6CB1" w:rsidP="00F61E92">
      <w:pPr>
        <w:jc w:val="center"/>
        <w:rPr>
          <w:b/>
          <w:i/>
          <w:noProof/>
        </w:rPr>
      </w:pPr>
      <w:r w:rsidRPr="00F61E92">
        <w:rPr>
          <w:b/>
          <w:i/>
          <w:noProof/>
        </w:rPr>
        <w:t>Additional rules for i</w:t>
      </w:r>
      <w:r w:rsidR="000973DE" w:rsidRPr="00F61E92">
        <w:rPr>
          <w:b/>
          <w:i/>
          <w:noProof/>
        </w:rPr>
        <w:t xml:space="preserve">nformation </w:t>
      </w:r>
      <w:r w:rsidR="00CF354D" w:rsidRPr="00F61E92">
        <w:rPr>
          <w:b/>
          <w:i/>
          <w:noProof/>
        </w:rPr>
        <w:t>constituting personal data</w:t>
      </w:r>
    </w:p>
    <w:p w14:paraId="3D3953C3" w14:textId="1F2E469C" w:rsidR="00CF354D" w:rsidRDefault="00CF354D" w:rsidP="000973DE">
      <w:pPr>
        <w:spacing w:before="0"/>
        <w:rPr>
          <w:noProof/>
        </w:rPr>
      </w:pPr>
      <w:r w:rsidRPr="00CF354D">
        <w:rPr>
          <w:noProof/>
        </w:rPr>
        <w:t>Member States shall ensure that, where their Single Point of Contact or</w:t>
      </w:r>
      <w:r w:rsidR="00AB0164">
        <w:rPr>
          <w:noProof/>
        </w:rPr>
        <w:t xml:space="preserve"> their</w:t>
      </w:r>
      <w:r w:rsidRPr="00CF354D">
        <w:rPr>
          <w:noProof/>
        </w:rPr>
        <w:t xml:space="preserve"> law enforcement authorities provide information</w:t>
      </w:r>
      <w:r>
        <w:rPr>
          <w:noProof/>
        </w:rPr>
        <w:t xml:space="preserve"> under Chapters II and III that</w:t>
      </w:r>
      <w:r w:rsidRPr="00CF354D">
        <w:rPr>
          <w:noProof/>
        </w:rPr>
        <w:t xml:space="preserve"> constitut</w:t>
      </w:r>
      <w:r>
        <w:rPr>
          <w:noProof/>
        </w:rPr>
        <w:t>es</w:t>
      </w:r>
      <w:r w:rsidRPr="00CF354D">
        <w:rPr>
          <w:noProof/>
        </w:rPr>
        <w:t xml:space="preserve"> personal data</w:t>
      </w:r>
      <w:r>
        <w:rPr>
          <w:noProof/>
        </w:rPr>
        <w:t>:</w:t>
      </w:r>
    </w:p>
    <w:p w14:paraId="07C53B30" w14:textId="6CEB5B02" w:rsidR="00CF354D" w:rsidRPr="005740DC" w:rsidRDefault="005D507F" w:rsidP="005D507F">
      <w:pPr>
        <w:pStyle w:val="Point2"/>
        <w:rPr>
          <w:i/>
          <w:noProof/>
        </w:rPr>
      </w:pPr>
      <w:r>
        <w:rPr>
          <w:noProof/>
        </w:rPr>
        <w:t>(i)</w:t>
      </w:r>
      <w:r w:rsidR="00970879">
        <w:rPr>
          <w:noProof/>
        </w:rPr>
        <w:tab/>
      </w:r>
      <w:r w:rsidR="000973DE" w:rsidRPr="001478C7">
        <w:rPr>
          <w:noProof/>
        </w:rPr>
        <w:t>the categories of personal data</w:t>
      </w:r>
      <w:r w:rsidR="00CC2B8F">
        <w:rPr>
          <w:noProof/>
        </w:rPr>
        <w:t xml:space="preserve"> provided</w:t>
      </w:r>
      <w:r w:rsidR="000973DE" w:rsidRPr="001478C7">
        <w:rPr>
          <w:noProof/>
        </w:rPr>
        <w:t xml:space="preserve"> </w:t>
      </w:r>
      <w:r w:rsidR="00CF354D">
        <w:rPr>
          <w:noProof/>
        </w:rPr>
        <w:t>remain limited to</w:t>
      </w:r>
      <w:r w:rsidR="000973DE" w:rsidRPr="001478C7">
        <w:rPr>
          <w:noProof/>
        </w:rPr>
        <w:t xml:space="preserve"> those listed in </w:t>
      </w:r>
      <w:r w:rsidR="000973DE">
        <w:rPr>
          <w:noProof/>
        </w:rPr>
        <w:t xml:space="preserve">Section B, point 2, of </w:t>
      </w:r>
      <w:r w:rsidR="000973DE" w:rsidRPr="001478C7">
        <w:rPr>
          <w:noProof/>
        </w:rPr>
        <w:t>Annex II</w:t>
      </w:r>
      <w:r w:rsidR="000973DE">
        <w:rPr>
          <w:noProof/>
        </w:rPr>
        <w:t xml:space="preserve"> to</w:t>
      </w:r>
      <w:r w:rsidR="000973DE" w:rsidRPr="001478C7">
        <w:rPr>
          <w:noProof/>
        </w:rPr>
        <w:t xml:space="preserve"> Regulation </w:t>
      </w:r>
      <w:r w:rsidR="000973DE">
        <w:rPr>
          <w:noProof/>
        </w:rPr>
        <w:t xml:space="preserve">(EU) </w:t>
      </w:r>
      <w:r w:rsidR="000973DE" w:rsidRPr="001478C7">
        <w:rPr>
          <w:noProof/>
        </w:rPr>
        <w:t>2016/794</w:t>
      </w:r>
      <w:r w:rsidR="00CF354D">
        <w:rPr>
          <w:noProof/>
        </w:rPr>
        <w:t>;</w:t>
      </w:r>
      <w:r w:rsidR="000973DE">
        <w:rPr>
          <w:noProof/>
        </w:rPr>
        <w:t xml:space="preserve"> </w:t>
      </w:r>
    </w:p>
    <w:p w14:paraId="7FA43389" w14:textId="6FB32521" w:rsidR="000973DE" w:rsidRPr="00CF354D" w:rsidRDefault="005D507F" w:rsidP="005D507F">
      <w:pPr>
        <w:pStyle w:val="Point2"/>
        <w:rPr>
          <w:i/>
          <w:noProof/>
        </w:rPr>
      </w:pPr>
      <w:r>
        <w:rPr>
          <w:noProof/>
        </w:rPr>
        <w:t>(ii)</w:t>
      </w:r>
      <w:r w:rsidR="00970879">
        <w:rPr>
          <w:noProof/>
        </w:rPr>
        <w:tab/>
      </w:r>
      <w:r w:rsidR="00E1478B">
        <w:rPr>
          <w:noProof/>
        </w:rPr>
        <w:t>t</w:t>
      </w:r>
      <w:r w:rsidR="00E1478B" w:rsidRPr="00CF354D">
        <w:rPr>
          <w:noProof/>
        </w:rPr>
        <w:t>he</w:t>
      </w:r>
      <w:r w:rsidR="00E1478B">
        <w:rPr>
          <w:noProof/>
        </w:rPr>
        <w:t xml:space="preserve">ir Single Point of Contact or their law enforcement authorities </w:t>
      </w:r>
      <w:r w:rsidR="00E1478B" w:rsidRPr="00CF354D">
        <w:rPr>
          <w:noProof/>
        </w:rPr>
        <w:t xml:space="preserve">also provide, at the same time and insofar as possible, the necessary elements enabling the Single Point of Contact or the law enforcement authority of the </w:t>
      </w:r>
      <w:r w:rsidR="00E1478B">
        <w:rPr>
          <w:noProof/>
        </w:rPr>
        <w:t>other</w:t>
      </w:r>
      <w:r w:rsidR="00E1478B" w:rsidRPr="00CF354D">
        <w:rPr>
          <w:noProof/>
        </w:rPr>
        <w:t xml:space="preserve"> Member State to assess the degree of accuracy, completeness and reliability of the personal data, a</w:t>
      </w:r>
      <w:r w:rsidR="00E1478B">
        <w:rPr>
          <w:noProof/>
        </w:rPr>
        <w:t>s well as</w:t>
      </w:r>
      <w:r w:rsidR="00E1478B" w:rsidRPr="00CF354D">
        <w:rPr>
          <w:noProof/>
        </w:rPr>
        <w:t xml:space="preserve"> the extent to which </w:t>
      </w:r>
      <w:r w:rsidR="00E1478B">
        <w:rPr>
          <w:noProof/>
        </w:rPr>
        <w:t>the personal data</w:t>
      </w:r>
      <w:r w:rsidR="00E1478B" w:rsidRPr="00CF354D">
        <w:rPr>
          <w:noProof/>
        </w:rPr>
        <w:t xml:space="preserve"> </w:t>
      </w:r>
      <w:r w:rsidR="00E1478B">
        <w:rPr>
          <w:noProof/>
        </w:rPr>
        <w:t>are</w:t>
      </w:r>
      <w:r w:rsidR="00E1478B" w:rsidRPr="00CF354D">
        <w:rPr>
          <w:noProof/>
        </w:rPr>
        <w:t xml:space="preserve"> up to date</w:t>
      </w:r>
      <w:r w:rsidR="00CF354D" w:rsidRPr="00CF354D">
        <w:rPr>
          <w:noProof/>
        </w:rPr>
        <w:t>.</w:t>
      </w:r>
    </w:p>
    <w:p w14:paraId="40C98B30" w14:textId="2DEB89D2" w:rsidR="005358B3" w:rsidRPr="00FD0E3D" w:rsidRDefault="005358B3" w:rsidP="005740DC">
      <w:pPr>
        <w:spacing w:before="360" w:after="0"/>
        <w:ind w:left="357"/>
        <w:jc w:val="center"/>
        <w:rPr>
          <w:i/>
          <w:noProof/>
        </w:rPr>
      </w:pPr>
      <w:r w:rsidRPr="00FD0E3D">
        <w:rPr>
          <w:i/>
          <w:noProof/>
        </w:rPr>
        <w:t>A</w:t>
      </w:r>
      <w:r w:rsidR="00804FC7">
        <w:rPr>
          <w:i/>
          <w:noProof/>
        </w:rPr>
        <w:t xml:space="preserve">rticle </w:t>
      </w:r>
      <w:r w:rsidR="002D64C2" w:rsidRPr="004271D5">
        <w:rPr>
          <w:i/>
          <w:noProof/>
        </w:rPr>
        <w:t>1</w:t>
      </w:r>
      <w:r w:rsidR="00A821B4" w:rsidRPr="004271D5">
        <w:rPr>
          <w:i/>
          <w:noProof/>
        </w:rPr>
        <w:t>1</w:t>
      </w:r>
    </w:p>
    <w:p w14:paraId="0EED9632" w14:textId="77777777" w:rsidR="005358B3" w:rsidRPr="00810DFA" w:rsidRDefault="005358B3" w:rsidP="005358B3">
      <w:pPr>
        <w:spacing w:before="0"/>
        <w:ind w:left="360"/>
        <w:jc w:val="center"/>
        <w:rPr>
          <w:b/>
          <w:i/>
          <w:noProof/>
        </w:rPr>
      </w:pPr>
      <w:r w:rsidRPr="00810DFA">
        <w:rPr>
          <w:b/>
          <w:i/>
          <w:noProof/>
        </w:rPr>
        <w:t>List of languages</w:t>
      </w:r>
    </w:p>
    <w:p w14:paraId="4BA7A2E7" w14:textId="1B7BE908" w:rsidR="005358B3" w:rsidRPr="009557CC" w:rsidRDefault="001D312C" w:rsidP="001A4D48">
      <w:pPr>
        <w:ind w:left="851" w:hanging="851"/>
        <w:rPr>
          <w:noProof/>
        </w:rPr>
      </w:pPr>
      <w:r>
        <w:rPr>
          <w:noProof/>
        </w:rPr>
        <w:t xml:space="preserve">1. </w:t>
      </w:r>
      <w:r w:rsidR="00970879">
        <w:rPr>
          <w:noProof/>
        </w:rPr>
        <w:tab/>
      </w:r>
      <w:r w:rsidR="009557CC" w:rsidRPr="009557CC">
        <w:rPr>
          <w:noProof/>
        </w:rPr>
        <w:t>Member</w:t>
      </w:r>
      <w:r w:rsidR="005358B3" w:rsidRPr="009557CC">
        <w:rPr>
          <w:noProof/>
        </w:rPr>
        <w:t xml:space="preserve"> States shall establish and keep up to date a list with one</w:t>
      </w:r>
      <w:r w:rsidR="002D64C2" w:rsidRPr="009557CC">
        <w:rPr>
          <w:noProof/>
        </w:rPr>
        <w:t xml:space="preserve"> </w:t>
      </w:r>
      <w:r w:rsidR="005358B3" w:rsidRPr="009557CC">
        <w:rPr>
          <w:noProof/>
        </w:rPr>
        <w:t>or more of the official languages of the Union in which their Single Point of Contact is able to provide information upon a request for information</w:t>
      </w:r>
      <w:r w:rsidR="00A14E5D" w:rsidRPr="009557CC">
        <w:rPr>
          <w:noProof/>
        </w:rPr>
        <w:t xml:space="preserve"> or on its own initiative</w:t>
      </w:r>
      <w:r w:rsidR="005358B3" w:rsidRPr="009557CC">
        <w:rPr>
          <w:noProof/>
        </w:rPr>
        <w:t xml:space="preserve">. </w:t>
      </w:r>
      <w:r w:rsidR="008D08F8" w:rsidRPr="004271D5">
        <w:rPr>
          <w:noProof/>
          <w:szCs w:val="24"/>
        </w:rPr>
        <w:t xml:space="preserve">That list shall include English. </w:t>
      </w:r>
      <w:r w:rsidR="005358B3" w:rsidRPr="009557CC">
        <w:rPr>
          <w:noProof/>
        </w:rPr>
        <w:t xml:space="preserve"> </w:t>
      </w:r>
    </w:p>
    <w:p w14:paraId="0DC3373B" w14:textId="65DD1D4C" w:rsidR="005358B3" w:rsidRPr="009557CC" w:rsidRDefault="001D312C" w:rsidP="001A4D48">
      <w:pPr>
        <w:ind w:left="851" w:hanging="851"/>
        <w:rPr>
          <w:noProof/>
        </w:rPr>
      </w:pPr>
      <w:r>
        <w:rPr>
          <w:noProof/>
        </w:rPr>
        <w:t xml:space="preserve">2. </w:t>
      </w:r>
      <w:r w:rsidR="00970879">
        <w:rPr>
          <w:noProof/>
        </w:rPr>
        <w:tab/>
      </w:r>
      <w:r w:rsidR="005358B3" w:rsidRPr="009557CC">
        <w:rPr>
          <w:noProof/>
        </w:rPr>
        <w:t xml:space="preserve">Member States shall provide those lists, as well as any updates thereof, to the Commission. The Commission shall publish those lists, as well as any updates thereof, in the Official Journal of the European Union. </w:t>
      </w:r>
    </w:p>
    <w:p w14:paraId="2178C19B" w14:textId="74420763" w:rsidR="000E2359" w:rsidRPr="00FD0E3D" w:rsidRDefault="000E2359" w:rsidP="00414504">
      <w:pPr>
        <w:pStyle w:val="Titrearticle"/>
        <w:spacing w:after="0"/>
        <w:rPr>
          <w:noProof/>
        </w:rPr>
      </w:pPr>
      <w:r w:rsidRPr="00FD0E3D">
        <w:rPr>
          <w:noProof/>
        </w:rPr>
        <w:t xml:space="preserve">Article </w:t>
      </w:r>
      <w:r w:rsidRPr="004271D5">
        <w:rPr>
          <w:noProof/>
        </w:rPr>
        <w:t>1</w:t>
      </w:r>
      <w:r w:rsidR="00AB0164" w:rsidRPr="004271D5">
        <w:rPr>
          <w:noProof/>
        </w:rPr>
        <w:t>2</w:t>
      </w:r>
    </w:p>
    <w:p w14:paraId="30A82B9B" w14:textId="5230ABD2" w:rsidR="000E2359" w:rsidRPr="00810DFA" w:rsidRDefault="000E2359" w:rsidP="00E56DD6">
      <w:pPr>
        <w:spacing w:before="0"/>
        <w:ind w:left="360"/>
        <w:jc w:val="center"/>
        <w:rPr>
          <w:b/>
          <w:i/>
          <w:noProof/>
        </w:rPr>
      </w:pPr>
      <w:r w:rsidRPr="00810DFA">
        <w:rPr>
          <w:b/>
          <w:i/>
          <w:noProof/>
        </w:rPr>
        <w:t>Provision of information to Europol</w:t>
      </w:r>
    </w:p>
    <w:p w14:paraId="6BF3B316" w14:textId="5EB3D851" w:rsidR="00A94569" w:rsidRDefault="000E2359" w:rsidP="00E56DD6">
      <w:pPr>
        <w:rPr>
          <w:noProof/>
        </w:rPr>
      </w:pPr>
      <w:r w:rsidRPr="00F421A8">
        <w:rPr>
          <w:noProof/>
        </w:rPr>
        <w:t>Member States shall ensure that, where</w:t>
      </w:r>
      <w:r w:rsidRPr="00F421A8" w:rsidDel="000E64F9">
        <w:rPr>
          <w:noProof/>
        </w:rPr>
        <w:t xml:space="preserve"> their </w:t>
      </w:r>
      <w:r w:rsidRPr="00F421A8">
        <w:rPr>
          <w:noProof/>
        </w:rPr>
        <w:t xml:space="preserve">Single Point of Contact </w:t>
      </w:r>
      <w:r w:rsidR="0051081B" w:rsidRPr="00F421A8">
        <w:rPr>
          <w:noProof/>
        </w:rPr>
        <w:t>or their law enforcement authorit</w:t>
      </w:r>
      <w:r w:rsidR="00DB5D12" w:rsidRPr="00EF4068">
        <w:rPr>
          <w:noProof/>
        </w:rPr>
        <w:t xml:space="preserve">ies send </w:t>
      </w:r>
      <w:r w:rsidR="00A94569" w:rsidRPr="00EF4068">
        <w:rPr>
          <w:noProof/>
        </w:rPr>
        <w:t>request</w:t>
      </w:r>
      <w:r w:rsidR="00DB5D12" w:rsidRPr="00EF4068">
        <w:rPr>
          <w:noProof/>
        </w:rPr>
        <w:t>s for information,</w:t>
      </w:r>
      <w:r w:rsidR="00A94569" w:rsidRPr="00EF4068">
        <w:rPr>
          <w:noProof/>
        </w:rPr>
        <w:t xml:space="preserve"> provide </w:t>
      </w:r>
      <w:r w:rsidR="00A94569" w:rsidRPr="000500F9">
        <w:rPr>
          <w:noProof/>
        </w:rPr>
        <w:t>information</w:t>
      </w:r>
      <w:r w:rsidR="00DB5D12" w:rsidRPr="000500F9">
        <w:rPr>
          <w:noProof/>
        </w:rPr>
        <w:t xml:space="preserve"> pursuant to such requests, provide information on their own initiative or send other communications relating thereto</w:t>
      </w:r>
      <w:r w:rsidR="00A94569" w:rsidRPr="000500F9">
        <w:rPr>
          <w:noProof/>
        </w:rPr>
        <w:t xml:space="preserve"> under Chapters II </w:t>
      </w:r>
      <w:r w:rsidR="00620E4E" w:rsidRPr="00747D4D">
        <w:rPr>
          <w:noProof/>
        </w:rPr>
        <w:t>and</w:t>
      </w:r>
      <w:r w:rsidR="00A94569" w:rsidRPr="000500F9">
        <w:rPr>
          <w:noProof/>
        </w:rPr>
        <w:t xml:space="preserve"> III, they also send, at the same time</w:t>
      </w:r>
      <w:r w:rsidR="00DB5D12" w:rsidRPr="00C33F84">
        <w:rPr>
          <w:noProof/>
        </w:rPr>
        <w:t>,</w:t>
      </w:r>
      <w:r w:rsidR="00A94569" w:rsidRPr="00C33F84">
        <w:rPr>
          <w:noProof/>
        </w:rPr>
        <w:t xml:space="preserve"> </w:t>
      </w:r>
      <w:r w:rsidR="00A94569" w:rsidRPr="00A029CA">
        <w:rPr>
          <w:noProof/>
        </w:rPr>
        <w:t xml:space="preserve">a copy thereof to Europol, insofar as the information </w:t>
      </w:r>
      <w:r w:rsidR="00DB5D12" w:rsidRPr="00476DB7">
        <w:rPr>
          <w:noProof/>
        </w:rPr>
        <w:t xml:space="preserve">to which the communication relates </w:t>
      </w:r>
      <w:r w:rsidR="00A94569" w:rsidRPr="00232257">
        <w:rPr>
          <w:noProof/>
        </w:rPr>
        <w:t>concern</w:t>
      </w:r>
      <w:r w:rsidR="00C24F69" w:rsidRPr="0085065A">
        <w:rPr>
          <w:noProof/>
        </w:rPr>
        <w:t>s</w:t>
      </w:r>
      <w:r w:rsidR="00A94569" w:rsidRPr="00F421A8">
        <w:rPr>
          <w:noProof/>
        </w:rPr>
        <w:t xml:space="preserve"> offences </w:t>
      </w:r>
      <w:r w:rsidR="00A94569" w:rsidRPr="00EF4068">
        <w:rPr>
          <w:noProof/>
        </w:rPr>
        <w:t>falling within the scope of the objectives of Europol in accordance</w:t>
      </w:r>
      <w:r w:rsidR="00A94569" w:rsidRPr="00EF4068">
        <w:rPr>
          <w:noProof/>
          <w:szCs w:val="24"/>
        </w:rPr>
        <w:t xml:space="preserve"> with Regulation </w:t>
      </w:r>
      <w:r w:rsidR="00A94569" w:rsidRPr="00EF4068">
        <w:rPr>
          <w:noProof/>
          <w:szCs w:val="24"/>
          <w:lang w:eastAsia="nl-NL"/>
        </w:rPr>
        <w:t xml:space="preserve">(EU) </w:t>
      </w:r>
      <w:r w:rsidR="00A94569" w:rsidRPr="000500F9">
        <w:rPr>
          <w:noProof/>
        </w:rPr>
        <w:t>2016/794.</w:t>
      </w:r>
      <w:r w:rsidR="00A94569" w:rsidRPr="000328E7">
        <w:rPr>
          <w:noProof/>
        </w:rPr>
        <w:t xml:space="preserve"> </w:t>
      </w:r>
    </w:p>
    <w:p w14:paraId="60ADD049" w14:textId="6BD3F3D0" w:rsidR="00C24F69" w:rsidRPr="00E56DD6" w:rsidRDefault="00C24F69" w:rsidP="00414504">
      <w:pPr>
        <w:pStyle w:val="Titrearticle"/>
        <w:spacing w:after="0"/>
        <w:rPr>
          <w:noProof/>
        </w:rPr>
      </w:pPr>
      <w:r w:rsidRPr="00E56DD6">
        <w:rPr>
          <w:noProof/>
        </w:rPr>
        <w:t>Article 13</w:t>
      </w:r>
    </w:p>
    <w:p w14:paraId="071C586A" w14:textId="253BE002" w:rsidR="00C24F69" w:rsidRPr="00E56DD6" w:rsidRDefault="006E7F14" w:rsidP="00414504">
      <w:pPr>
        <w:spacing w:before="0"/>
        <w:jc w:val="center"/>
        <w:rPr>
          <w:b/>
          <w:i/>
          <w:noProof/>
        </w:rPr>
      </w:pPr>
      <w:r w:rsidRPr="00E56DD6">
        <w:rPr>
          <w:b/>
          <w:i/>
          <w:noProof/>
        </w:rPr>
        <w:t>Use of</w:t>
      </w:r>
      <w:r w:rsidR="00C24F69" w:rsidRPr="00E56DD6">
        <w:rPr>
          <w:b/>
          <w:i/>
          <w:noProof/>
        </w:rPr>
        <w:t xml:space="preserve"> SIENA</w:t>
      </w:r>
    </w:p>
    <w:p w14:paraId="2A24BFE7" w14:textId="6AFB990C" w:rsidR="00C24F69" w:rsidRPr="00F421A8" w:rsidRDefault="001D312C" w:rsidP="001A4D48">
      <w:pPr>
        <w:ind w:left="851" w:hanging="851"/>
        <w:rPr>
          <w:noProof/>
        </w:rPr>
      </w:pPr>
      <w:r>
        <w:rPr>
          <w:noProof/>
        </w:rPr>
        <w:t xml:space="preserve">1. </w:t>
      </w:r>
      <w:r w:rsidR="00970879">
        <w:rPr>
          <w:noProof/>
        </w:rPr>
        <w:tab/>
      </w:r>
      <w:r w:rsidR="00C24F69" w:rsidRPr="00F421A8">
        <w:rPr>
          <w:noProof/>
        </w:rPr>
        <w:t>Member States shall ensure that, where</w:t>
      </w:r>
      <w:r w:rsidR="00C24F69" w:rsidRPr="00F421A8" w:rsidDel="000E64F9">
        <w:rPr>
          <w:noProof/>
        </w:rPr>
        <w:t xml:space="preserve"> their </w:t>
      </w:r>
      <w:r w:rsidR="00C24F69" w:rsidRPr="00F421A8">
        <w:rPr>
          <w:noProof/>
        </w:rPr>
        <w:t>Single Point of Contact or their law enforcement authorities send requests for information, provide information pursuant to such</w:t>
      </w:r>
      <w:r w:rsidR="00C24F69" w:rsidRPr="00EF4068">
        <w:rPr>
          <w:noProof/>
        </w:rPr>
        <w:t xml:space="preserve"> requests, provide information on their own initiative or send other communications relating thereto under Chapters II </w:t>
      </w:r>
      <w:r w:rsidR="00620E4E" w:rsidRPr="00747D4D">
        <w:rPr>
          <w:noProof/>
        </w:rPr>
        <w:t>and</w:t>
      </w:r>
      <w:r w:rsidR="00C24F69" w:rsidRPr="00EF4068">
        <w:rPr>
          <w:noProof/>
        </w:rPr>
        <w:t xml:space="preserve"> III</w:t>
      </w:r>
      <w:r w:rsidR="003B062F" w:rsidRPr="0085065A">
        <w:rPr>
          <w:noProof/>
        </w:rPr>
        <w:t xml:space="preserve"> or under Article 12</w:t>
      </w:r>
      <w:r w:rsidR="00C24F69" w:rsidRPr="00F421A8">
        <w:rPr>
          <w:noProof/>
        </w:rPr>
        <w:t>, they do so through SIENA.</w:t>
      </w:r>
    </w:p>
    <w:p w14:paraId="1466BA21" w14:textId="04EC49DC" w:rsidR="00C24F69" w:rsidRPr="00EF4068" w:rsidRDefault="001D312C" w:rsidP="001A4D48">
      <w:pPr>
        <w:ind w:left="851" w:hanging="851"/>
        <w:rPr>
          <w:noProof/>
        </w:rPr>
      </w:pPr>
      <w:r>
        <w:rPr>
          <w:noProof/>
        </w:rPr>
        <w:t xml:space="preserve">2. </w:t>
      </w:r>
      <w:r w:rsidR="00970879">
        <w:rPr>
          <w:noProof/>
        </w:rPr>
        <w:tab/>
      </w:r>
      <w:r w:rsidR="00C24F69" w:rsidRPr="00EF4068">
        <w:rPr>
          <w:noProof/>
        </w:rPr>
        <w:t xml:space="preserve">Member States shall ensure that their Single Point of Contact, as well as all their law enforcement authorities that may be involved in the exchange of information under this Directive, are directly connected to SIENA. </w:t>
      </w:r>
    </w:p>
    <w:p w14:paraId="02575863" w14:textId="072E849F" w:rsidR="00A20A64" w:rsidRPr="00414504" w:rsidRDefault="00A20A64" w:rsidP="00414504">
      <w:pPr>
        <w:pStyle w:val="ChapterTitle"/>
        <w:spacing w:before="360"/>
        <w:rPr>
          <w:noProof/>
          <w:sz w:val="24"/>
        </w:rPr>
      </w:pPr>
      <w:r w:rsidRPr="00414504">
        <w:rPr>
          <w:noProof/>
          <w:sz w:val="24"/>
        </w:rPr>
        <w:t xml:space="preserve">Chapter </w:t>
      </w:r>
      <w:r w:rsidR="00431104" w:rsidRPr="00414504">
        <w:rPr>
          <w:noProof/>
          <w:sz w:val="24"/>
        </w:rPr>
        <w:t>V</w:t>
      </w:r>
    </w:p>
    <w:p w14:paraId="4BF30DAF" w14:textId="5BC034EC" w:rsidR="00652E84" w:rsidRPr="00414504" w:rsidRDefault="00A20A64" w:rsidP="00E56DD6">
      <w:pPr>
        <w:pStyle w:val="ChapterTitle"/>
        <w:rPr>
          <w:noProof/>
          <w:sz w:val="24"/>
        </w:rPr>
      </w:pPr>
      <w:r w:rsidRPr="00414504">
        <w:rPr>
          <w:noProof/>
          <w:sz w:val="24"/>
        </w:rPr>
        <w:t>Single Point of Contact</w:t>
      </w:r>
      <w:r w:rsidR="004A6531" w:rsidRPr="00414504">
        <w:rPr>
          <w:noProof/>
          <w:sz w:val="24"/>
        </w:rPr>
        <w:t xml:space="preserve"> for information exchange</w:t>
      </w:r>
      <w:r w:rsidR="006D774D" w:rsidRPr="00414504">
        <w:rPr>
          <w:noProof/>
          <w:sz w:val="24"/>
        </w:rPr>
        <w:t xml:space="preserve"> between Member States</w:t>
      </w:r>
      <w:r w:rsidR="005358B3" w:rsidRPr="00414504">
        <w:rPr>
          <w:noProof/>
          <w:sz w:val="24"/>
        </w:rPr>
        <w:t xml:space="preserve"> </w:t>
      </w:r>
    </w:p>
    <w:p w14:paraId="025A47BF" w14:textId="2E417007" w:rsidR="00A20A64" w:rsidRPr="001F3FFD" w:rsidRDefault="00A20A64" w:rsidP="00414504">
      <w:pPr>
        <w:pStyle w:val="Titrearticle"/>
        <w:spacing w:after="0"/>
        <w:rPr>
          <w:noProof/>
        </w:rPr>
      </w:pPr>
      <w:r w:rsidRPr="001F3FFD">
        <w:rPr>
          <w:noProof/>
        </w:rPr>
        <w:t xml:space="preserve">Article </w:t>
      </w:r>
      <w:r w:rsidR="00431104" w:rsidRPr="003F7B8C">
        <w:rPr>
          <w:noProof/>
        </w:rPr>
        <w:t>1</w:t>
      </w:r>
      <w:r w:rsidR="00355B29">
        <w:rPr>
          <w:noProof/>
        </w:rPr>
        <w:t>4</w:t>
      </w:r>
    </w:p>
    <w:p w14:paraId="5C7F22A8" w14:textId="0BBC6E98" w:rsidR="00A20A64" w:rsidRDefault="0064462E" w:rsidP="00A20A64">
      <w:pPr>
        <w:spacing w:before="0"/>
        <w:jc w:val="center"/>
        <w:rPr>
          <w:b/>
          <w:i/>
          <w:noProof/>
        </w:rPr>
      </w:pPr>
      <w:r w:rsidRPr="001F3FFD">
        <w:rPr>
          <w:b/>
          <w:i/>
          <w:noProof/>
        </w:rPr>
        <w:t>Establishment, t</w:t>
      </w:r>
      <w:r w:rsidR="0062481F" w:rsidRPr="001F3FFD">
        <w:rPr>
          <w:b/>
          <w:i/>
          <w:noProof/>
        </w:rPr>
        <w:t xml:space="preserve">asks </w:t>
      </w:r>
      <w:r w:rsidR="00A16485" w:rsidRPr="001F3FFD">
        <w:rPr>
          <w:b/>
          <w:i/>
          <w:noProof/>
        </w:rPr>
        <w:t xml:space="preserve">and </w:t>
      </w:r>
      <w:r w:rsidR="00027BA4" w:rsidRPr="001F3FFD">
        <w:rPr>
          <w:b/>
          <w:i/>
          <w:noProof/>
        </w:rPr>
        <w:t>capabilities</w:t>
      </w:r>
    </w:p>
    <w:p w14:paraId="792CB865" w14:textId="4624DF2F" w:rsidR="00A20A64" w:rsidRPr="00AC4331" w:rsidRDefault="002E4C52" w:rsidP="002E4C52">
      <w:pPr>
        <w:pStyle w:val="ManualNumPar1"/>
        <w:rPr>
          <w:noProof/>
        </w:rPr>
      </w:pPr>
      <w:r w:rsidRPr="002E4C52">
        <w:t>1.</w:t>
      </w:r>
      <w:r w:rsidRPr="002E4C52">
        <w:tab/>
      </w:r>
      <w:r w:rsidR="00A20A64" w:rsidRPr="00AC4331">
        <w:rPr>
          <w:noProof/>
        </w:rPr>
        <w:t xml:space="preserve">Each Member State shall establish or designate </w:t>
      </w:r>
      <w:r w:rsidR="00423D53" w:rsidRPr="00AC4331">
        <w:rPr>
          <w:noProof/>
        </w:rPr>
        <w:t>one</w:t>
      </w:r>
      <w:r w:rsidR="00A20A64" w:rsidRPr="00AC4331">
        <w:rPr>
          <w:noProof/>
        </w:rPr>
        <w:t xml:space="preserve"> national Single Point of Contact</w:t>
      </w:r>
      <w:r w:rsidR="00423D53" w:rsidRPr="00AC4331">
        <w:rPr>
          <w:noProof/>
        </w:rPr>
        <w:t>,</w:t>
      </w:r>
      <w:r w:rsidR="00A20A64" w:rsidRPr="00AC4331">
        <w:rPr>
          <w:noProof/>
        </w:rPr>
        <w:t xml:space="preserve"> which shall be the </w:t>
      </w:r>
      <w:r w:rsidR="00C95124" w:rsidRPr="00AC4331">
        <w:rPr>
          <w:noProof/>
        </w:rPr>
        <w:t xml:space="preserve">central </w:t>
      </w:r>
      <w:r w:rsidR="00A92BA2" w:rsidRPr="00AC4331">
        <w:rPr>
          <w:noProof/>
        </w:rPr>
        <w:t>entity</w:t>
      </w:r>
      <w:r w:rsidR="00027BA4" w:rsidRPr="00AC4331">
        <w:rPr>
          <w:noProof/>
        </w:rPr>
        <w:t xml:space="preserve"> responsible for</w:t>
      </w:r>
      <w:r w:rsidR="0008458D" w:rsidRPr="00AC4331">
        <w:rPr>
          <w:noProof/>
        </w:rPr>
        <w:t xml:space="preserve"> coordinating exchanges of information under this Directive</w:t>
      </w:r>
      <w:r w:rsidR="00652E84" w:rsidRPr="00AC4331">
        <w:rPr>
          <w:noProof/>
        </w:rPr>
        <w:t>.</w:t>
      </w:r>
    </w:p>
    <w:p w14:paraId="6D5365A2" w14:textId="28044056" w:rsidR="000647EF" w:rsidRPr="00AC4331" w:rsidRDefault="002E4C52" w:rsidP="002E4C52">
      <w:pPr>
        <w:pStyle w:val="ManualNumPar1"/>
        <w:rPr>
          <w:noProof/>
        </w:rPr>
      </w:pPr>
      <w:r w:rsidRPr="002E4C52">
        <w:t>2.</w:t>
      </w:r>
      <w:r w:rsidRPr="002E4C52">
        <w:tab/>
      </w:r>
      <w:r w:rsidR="00A20A64" w:rsidRPr="00AC4331">
        <w:rPr>
          <w:noProof/>
        </w:rPr>
        <w:t>Member State</w:t>
      </w:r>
      <w:r w:rsidR="00EF22C4" w:rsidRPr="00AC4331">
        <w:rPr>
          <w:noProof/>
        </w:rPr>
        <w:t>s</w:t>
      </w:r>
      <w:r w:rsidR="00A20A64" w:rsidRPr="00AC4331">
        <w:rPr>
          <w:noProof/>
        </w:rPr>
        <w:t xml:space="preserve"> shall ensure that </w:t>
      </w:r>
      <w:r w:rsidR="00EF22C4" w:rsidRPr="00AC4331">
        <w:rPr>
          <w:noProof/>
        </w:rPr>
        <w:t>their</w:t>
      </w:r>
      <w:r w:rsidR="00A20A64" w:rsidRPr="00AC4331">
        <w:rPr>
          <w:noProof/>
        </w:rPr>
        <w:t xml:space="preserve"> </w:t>
      </w:r>
      <w:r w:rsidR="00674780" w:rsidRPr="00AC4331">
        <w:rPr>
          <w:noProof/>
        </w:rPr>
        <w:t xml:space="preserve">Single Point of Contact </w:t>
      </w:r>
      <w:r w:rsidR="00A20A64" w:rsidRPr="00AC4331">
        <w:rPr>
          <w:noProof/>
        </w:rPr>
        <w:t xml:space="preserve">is </w:t>
      </w:r>
      <w:r w:rsidR="00595199" w:rsidRPr="00AC4331">
        <w:rPr>
          <w:noProof/>
        </w:rPr>
        <w:t xml:space="preserve">empowered </w:t>
      </w:r>
      <w:r w:rsidR="00A20A64" w:rsidRPr="00AC4331">
        <w:rPr>
          <w:noProof/>
        </w:rPr>
        <w:t>to</w:t>
      </w:r>
      <w:r w:rsidR="000647EF" w:rsidRPr="00AC4331">
        <w:rPr>
          <w:noProof/>
        </w:rPr>
        <w:t xml:space="preserve"> </w:t>
      </w:r>
      <w:r w:rsidR="0062481F" w:rsidRPr="00AC4331">
        <w:rPr>
          <w:noProof/>
        </w:rPr>
        <w:t xml:space="preserve">carry out </w:t>
      </w:r>
      <w:r w:rsidR="00E47B3F" w:rsidRPr="00AC4331">
        <w:rPr>
          <w:noProof/>
        </w:rPr>
        <w:t>at least</w:t>
      </w:r>
      <w:r w:rsidR="00976CCB">
        <w:rPr>
          <w:noProof/>
        </w:rPr>
        <w:t xml:space="preserve"> </w:t>
      </w:r>
      <w:r w:rsidR="00E1478B">
        <w:rPr>
          <w:noProof/>
        </w:rPr>
        <w:t>all of</w:t>
      </w:r>
      <w:r w:rsidR="00E1478B" w:rsidRPr="00AC4331">
        <w:rPr>
          <w:noProof/>
        </w:rPr>
        <w:t xml:space="preserve"> </w:t>
      </w:r>
      <w:r w:rsidR="000647EF" w:rsidRPr="00AC4331">
        <w:rPr>
          <w:noProof/>
        </w:rPr>
        <w:t>the following</w:t>
      </w:r>
      <w:r w:rsidR="0062481F" w:rsidRPr="00AC4331">
        <w:rPr>
          <w:noProof/>
        </w:rPr>
        <w:t xml:space="preserve"> tasks</w:t>
      </w:r>
      <w:r w:rsidR="000647EF" w:rsidRPr="00AC4331">
        <w:rPr>
          <w:noProof/>
        </w:rPr>
        <w:t>:</w:t>
      </w:r>
    </w:p>
    <w:p w14:paraId="2BD0CCC3" w14:textId="695CCBD3" w:rsidR="000647EF" w:rsidRPr="00AC4331" w:rsidRDefault="002E4C52" w:rsidP="002E4C52">
      <w:pPr>
        <w:pStyle w:val="Point1"/>
        <w:rPr>
          <w:noProof/>
        </w:rPr>
      </w:pPr>
      <w:r w:rsidRPr="002E4C52">
        <w:t>(a)</w:t>
      </w:r>
      <w:r w:rsidRPr="002E4C52">
        <w:tab/>
      </w:r>
      <w:r w:rsidR="00CD1433" w:rsidRPr="00AC4331">
        <w:rPr>
          <w:noProof/>
        </w:rPr>
        <w:t>receive</w:t>
      </w:r>
      <w:r w:rsidR="001168AD" w:rsidRPr="00AC4331">
        <w:rPr>
          <w:noProof/>
        </w:rPr>
        <w:t xml:space="preserve"> </w:t>
      </w:r>
      <w:r w:rsidR="00FB4285" w:rsidRPr="00AC4331">
        <w:rPr>
          <w:noProof/>
        </w:rPr>
        <w:t xml:space="preserve">and evaluate </w:t>
      </w:r>
      <w:r w:rsidR="001168AD" w:rsidRPr="00AC4331">
        <w:rPr>
          <w:noProof/>
        </w:rPr>
        <w:t>requests for information</w:t>
      </w:r>
      <w:r w:rsidR="000647EF" w:rsidRPr="00AC4331">
        <w:rPr>
          <w:noProof/>
        </w:rPr>
        <w:t>;</w:t>
      </w:r>
    </w:p>
    <w:p w14:paraId="13720EA0" w14:textId="0715C615" w:rsidR="000647EF" w:rsidRPr="00AC4331" w:rsidRDefault="002E4C52" w:rsidP="002E4C52">
      <w:pPr>
        <w:pStyle w:val="Point1"/>
        <w:rPr>
          <w:noProof/>
        </w:rPr>
      </w:pPr>
      <w:r w:rsidRPr="002E4C52">
        <w:t>(b)</w:t>
      </w:r>
      <w:r w:rsidRPr="002E4C52">
        <w:tab/>
      </w:r>
      <w:r w:rsidR="00FB4285" w:rsidRPr="00AC4331">
        <w:rPr>
          <w:noProof/>
        </w:rPr>
        <w:t>channel request</w:t>
      </w:r>
      <w:r w:rsidR="000647EF" w:rsidRPr="00AC4331">
        <w:rPr>
          <w:noProof/>
        </w:rPr>
        <w:t>s</w:t>
      </w:r>
      <w:r w:rsidR="00FB4285" w:rsidRPr="00AC4331">
        <w:rPr>
          <w:noProof/>
        </w:rPr>
        <w:t xml:space="preserve"> </w:t>
      </w:r>
      <w:r w:rsidR="000647EF" w:rsidRPr="00AC4331">
        <w:rPr>
          <w:noProof/>
        </w:rPr>
        <w:t xml:space="preserve">for information to the appropriate </w:t>
      </w:r>
      <w:r w:rsidR="00121DBD" w:rsidRPr="00AC4331">
        <w:rPr>
          <w:noProof/>
        </w:rPr>
        <w:t xml:space="preserve">national </w:t>
      </w:r>
      <w:r w:rsidR="000647EF" w:rsidRPr="00AC4331">
        <w:rPr>
          <w:noProof/>
        </w:rPr>
        <w:t xml:space="preserve">law enforcement authority or authorities </w:t>
      </w:r>
      <w:r w:rsidR="00FB4285" w:rsidRPr="00AC4331">
        <w:rPr>
          <w:noProof/>
        </w:rPr>
        <w:t>and</w:t>
      </w:r>
      <w:r w:rsidR="000647EF" w:rsidRPr="00AC4331">
        <w:rPr>
          <w:noProof/>
        </w:rPr>
        <w:t>, where necessary,</w:t>
      </w:r>
      <w:r w:rsidR="00FB4285" w:rsidRPr="00AC4331">
        <w:rPr>
          <w:noProof/>
        </w:rPr>
        <w:t xml:space="preserve"> </w:t>
      </w:r>
      <w:r w:rsidR="001168AD" w:rsidRPr="00AC4331">
        <w:rPr>
          <w:noProof/>
        </w:rPr>
        <w:t xml:space="preserve">coordinate </w:t>
      </w:r>
      <w:r w:rsidR="00E1478B" w:rsidRPr="00AC4331">
        <w:rPr>
          <w:noProof/>
        </w:rPr>
        <w:t>among them</w:t>
      </w:r>
      <w:r w:rsidR="00E1478B">
        <w:rPr>
          <w:noProof/>
        </w:rPr>
        <w:t xml:space="preserve"> the processing of such requests and </w:t>
      </w:r>
      <w:r w:rsidR="001168AD" w:rsidRPr="00AC4331">
        <w:rPr>
          <w:noProof/>
        </w:rPr>
        <w:t xml:space="preserve">the </w:t>
      </w:r>
      <w:r w:rsidR="00413636" w:rsidRPr="00AC4331">
        <w:rPr>
          <w:noProof/>
        </w:rPr>
        <w:t>provision of information</w:t>
      </w:r>
      <w:r w:rsidR="00AD2ECE">
        <w:rPr>
          <w:noProof/>
        </w:rPr>
        <w:t xml:space="preserve"> upon such requests</w:t>
      </w:r>
      <w:r w:rsidR="000647EF" w:rsidRPr="00AC4331">
        <w:rPr>
          <w:noProof/>
        </w:rPr>
        <w:t>;</w:t>
      </w:r>
    </w:p>
    <w:p w14:paraId="37C08498" w14:textId="21459FF2" w:rsidR="000647EF" w:rsidRPr="00AC4331" w:rsidRDefault="002E4C52" w:rsidP="002E4C52">
      <w:pPr>
        <w:pStyle w:val="Point1"/>
        <w:rPr>
          <w:noProof/>
        </w:rPr>
      </w:pPr>
      <w:r w:rsidRPr="002E4C52">
        <w:t>(c)</w:t>
      </w:r>
      <w:r w:rsidRPr="002E4C52">
        <w:tab/>
      </w:r>
      <w:r w:rsidR="00FB4285" w:rsidRPr="00AC4331">
        <w:rPr>
          <w:noProof/>
        </w:rPr>
        <w:t xml:space="preserve">analyse and structure information </w:t>
      </w:r>
      <w:r w:rsidR="000647EF" w:rsidRPr="00AC4331">
        <w:rPr>
          <w:noProof/>
        </w:rPr>
        <w:t xml:space="preserve">with a view to providing it </w:t>
      </w:r>
      <w:r w:rsidR="003F0170" w:rsidRPr="00AC4331">
        <w:rPr>
          <w:noProof/>
        </w:rPr>
        <w:t xml:space="preserve">to </w:t>
      </w:r>
      <w:r w:rsidR="00846FA5" w:rsidRPr="00AC4331" w:rsidDel="00846FA5">
        <w:rPr>
          <w:noProof/>
        </w:rPr>
        <w:t xml:space="preserve">the Single </w:t>
      </w:r>
      <w:r w:rsidR="00846FA5" w:rsidRPr="00AC4331">
        <w:rPr>
          <w:noProof/>
        </w:rPr>
        <w:t>Point</w:t>
      </w:r>
      <w:r w:rsidR="00413636" w:rsidRPr="00AC4331">
        <w:rPr>
          <w:noProof/>
        </w:rPr>
        <w:t>s</w:t>
      </w:r>
      <w:r w:rsidR="00846FA5" w:rsidRPr="00AC4331" w:rsidDel="00846FA5">
        <w:rPr>
          <w:noProof/>
        </w:rPr>
        <w:t xml:space="preserve"> of Contact </w:t>
      </w:r>
      <w:r w:rsidR="002C2669" w:rsidRPr="00AC4331">
        <w:rPr>
          <w:noProof/>
        </w:rPr>
        <w:t>and, where applicable, to the law enforcement authorities</w:t>
      </w:r>
      <w:r w:rsidR="00846FA5" w:rsidRPr="00AC4331" w:rsidDel="00846FA5">
        <w:rPr>
          <w:noProof/>
        </w:rPr>
        <w:t xml:space="preserve"> </w:t>
      </w:r>
      <w:r w:rsidR="000647EF" w:rsidRPr="00AC4331">
        <w:rPr>
          <w:noProof/>
        </w:rPr>
        <w:t>of other Member States</w:t>
      </w:r>
      <w:r w:rsidR="00E47B3F" w:rsidRPr="00AC4331">
        <w:rPr>
          <w:noProof/>
        </w:rPr>
        <w:t>;</w:t>
      </w:r>
      <w:r w:rsidR="000647EF" w:rsidRPr="00AC4331">
        <w:rPr>
          <w:noProof/>
        </w:rPr>
        <w:t xml:space="preserve"> </w:t>
      </w:r>
    </w:p>
    <w:p w14:paraId="6489984D" w14:textId="689E7043" w:rsidR="00CD1433" w:rsidRPr="00AC4331" w:rsidRDefault="002E4C52" w:rsidP="002E4C52">
      <w:pPr>
        <w:pStyle w:val="Point1"/>
        <w:rPr>
          <w:noProof/>
        </w:rPr>
      </w:pPr>
      <w:r w:rsidRPr="002E4C52">
        <w:t>(d)</w:t>
      </w:r>
      <w:r w:rsidRPr="002E4C52">
        <w:tab/>
      </w:r>
      <w:r w:rsidR="000647EF" w:rsidRPr="00AC4331">
        <w:rPr>
          <w:noProof/>
        </w:rPr>
        <w:t>provide</w:t>
      </w:r>
      <w:r w:rsidR="00595199" w:rsidRPr="00AC4331">
        <w:rPr>
          <w:noProof/>
        </w:rPr>
        <w:t xml:space="preserve">, upon request or upon </w:t>
      </w:r>
      <w:r w:rsidR="00121DBD" w:rsidRPr="00AC4331">
        <w:rPr>
          <w:noProof/>
        </w:rPr>
        <w:t>its</w:t>
      </w:r>
      <w:r w:rsidR="00595199" w:rsidRPr="00AC4331">
        <w:rPr>
          <w:noProof/>
        </w:rPr>
        <w:t xml:space="preserve"> own initiative, </w:t>
      </w:r>
      <w:r w:rsidR="001168AD" w:rsidRPr="00AC4331">
        <w:rPr>
          <w:noProof/>
        </w:rPr>
        <w:t xml:space="preserve">information to </w:t>
      </w:r>
      <w:r w:rsidR="001168AD" w:rsidRPr="00AC4331" w:rsidDel="000647EF">
        <w:rPr>
          <w:noProof/>
        </w:rPr>
        <w:t xml:space="preserve">the Single </w:t>
      </w:r>
      <w:r w:rsidR="001168AD" w:rsidRPr="00AC4331">
        <w:rPr>
          <w:noProof/>
        </w:rPr>
        <w:t>Point</w:t>
      </w:r>
      <w:r w:rsidR="00413636" w:rsidRPr="00AC4331">
        <w:rPr>
          <w:noProof/>
        </w:rPr>
        <w:t>s</w:t>
      </w:r>
      <w:r w:rsidR="001168AD" w:rsidRPr="00AC4331" w:rsidDel="000647EF">
        <w:rPr>
          <w:noProof/>
        </w:rPr>
        <w:t xml:space="preserve"> of Contact </w:t>
      </w:r>
      <w:r w:rsidR="00652E84" w:rsidRPr="00AC4331">
        <w:rPr>
          <w:noProof/>
        </w:rPr>
        <w:t xml:space="preserve">and, where applicable, to the law enforcement authorities </w:t>
      </w:r>
      <w:r w:rsidR="001168AD" w:rsidRPr="00AC4331" w:rsidDel="000647EF">
        <w:rPr>
          <w:noProof/>
        </w:rPr>
        <w:t xml:space="preserve">of </w:t>
      </w:r>
      <w:r w:rsidR="00413636" w:rsidRPr="00AC4331">
        <w:rPr>
          <w:noProof/>
        </w:rPr>
        <w:t>other</w:t>
      </w:r>
      <w:r w:rsidR="001168AD" w:rsidRPr="00AC4331" w:rsidDel="000647EF">
        <w:rPr>
          <w:noProof/>
        </w:rPr>
        <w:t xml:space="preserve"> </w:t>
      </w:r>
      <w:r w:rsidR="001168AD" w:rsidRPr="00AC4331">
        <w:rPr>
          <w:noProof/>
        </w:rPr>
        <w:t>Member State</w:t>
      </w:r>
      <w:r w:rsidR="000647EF" w:rsidRPr="00AC4331">
        <w:rPr>
          <w:noProof/>
        </w:rPr>
        <w:t>s</w:t>
      </w:r>
      <w:r w:rsidR="00E1478B">
        <w:rPr>
          <w:noProof/>
        </w:rPr>
        <w:t xml:space="preserve"> in accordance with Articles 5 and 7</w:t>
      </w:r>
      <w:r w:rsidR="00F5181E" w:rsidRPr="00AC4331">
        <w:rPr>
          <w:noProof/>
        </w:rPr>
        <w:t>;</w:t>
      </w:r>
    </w:p>
    <w:p w14:paraId="481B2345" w14:textId="2DB089AD" w:rsidR="00A43B47" w:rsidRPr="00AC4331" w:rsidRDefault="002E4C52" w:rsidP="002E4C52">
      <w:pPr>
        <w:pStyle w:val="Point1"/>
        <w:rPr>
          <w:noProof/>
        </w:rPr>
      </w:pPr>
      <w:r w:rsidRPr="002E4C52">
        <w:t>(e)</w:t>
      </w:r>
      <w:r w:rsidRPr="002E4C52">
        <w:tab/>
      </w:r>
      <w:r w:rsidR="001F3FFD" w:rsidRPr="00AC4331">
        <w:rPr>
          <w:noProof/>
        </w:rPr>
        <w:t>r</w:t>
      </w:r>
      <w:r w:rsidR="00652E84" w:rsidRPr="00AC4331">
        <w:rPr>
          <w:noProof/>
        </w:rPr>
        <w:t xml:space="preserve">efuse </w:t>
      </w:r>
      <w:r w:rsidR="00A14E5D" w:rsidRPr="00AC4331">
        <w:rPr>
          <w:noProof/>
        </w:rPr>
        <w:t>to provide</w:t>
      </w:r>
      <w:r w:rsidR="00652E84" w:rsidRPr="00AC4331">
        <w:rPr>
          <w:noProof/>
        </w:rPr>
        <w:t xml:space="preserve"> </w:t>
      </w:r>
      <w:r w:rsidR="00A43B47" w:rsidRPr="00AC4331">
        <w:rPr>
          <w:noProof/>
        </w:rPr>
        <w:t>information in accordance with A</w:t>
      </w:r>
      <w:r w:rsidR="00652E84" w:rsidRPr="00AC4331">
        <w:rPr>
          <w:noProof/>
        </w:rPr>
        <w:t>rticle 6</w:t>
      </w:r>
      <w:r w:rsidR="00A63134">
        <w:rPr>
          <w:noProof/>
        </w:rPr>
        <w:t xml:space="preserve"> and</w:t>
      </w:r>
      <w:r w:rsidR="00AD2ECE">
        <w:rPr>
          <w:noProof/>
        </w:rPr>
        <w:t>, where necessary,</w:t>
      </w:r>
      <w:r w:rsidR="00A63134">
        <w:rPr>
          <w:noProof/>
        </w:rPr>
        <w:t xml:space="preserve"> request clarifications in accordance with Article 6(3)</w:t>
      </w:r>
      <w:r w:rsidR="00A43B47" w:rsidRPr="00AC4331">
        <w:rPr>
          <w:noProof/>
        </w:rPr>
        <w:t>;</w:t>
      </w:r>
    </w:p>
    <w:p w14:paraId="3C45B1B3" w14:textId="1A22374F" w:rsidR="00652E84" w:rsidRPr="00AC4331" w:rsidRDefault="002E4C52" w:rsidP="002E4C52">
      <w:pPr>
        <w:pStyle w:val="Point1"/>
        <w:rPr>
          <w:noProof/>
        </w:rPr>
      </w:pPr>
      <w:r w:rsidRPr="002E4C52">
        <w:t>(f)</w:t>
      </w:r>
      <w:r w:rsidRPr="002E4C52">
        <w:tab/>
      </w:r>
      <w:r w:rsidR="00413636" w:rsidRPr="00AC4331">
        <w:rPr>
          <w:noProof/>
        </w:rPr>
        <w:t>send requests for information</w:t>
      </w:r>
      <w:r w:rsidR="00573919" w:rsidRPr="00AC4331">
        <w:rPr>
          <w:noProof/>
        </w:rPr>
        <w:t xml:space="preserve"> to the Single Points of Contact of other Member States</w:t>
      </w:r>
      <w:r w:rsidR="00A43B47" w:rsidRPr="00AC4331">
        <w:rPr>
          <w:noProof/>
        </w:rPr>
        <w:t xml:space="preserve"> </w:t>
      </w:r>
      <w:r w:rsidR="00976CCB">
        <w:rPr>
          <w:noProof/>
        </w:rPr>
        <w:t>in accordance with</w:t>
      </w:r>
      <w:r w:rsidR="00A43B47" w:rsidRPr="00AC4331">
        <w:rPr>
          <w:noProof/>
        </w:rPr>
        <w:t xml:space="preserve"> Article 4 and</w:t>
      </w:r>
      <w:r w:rsidR="00AD2ECE">
        <w:rPr>
          <w:noProof/>
        </w:rPr>
        <w:t>, where necessary,</w:t>
      </w:r>
      <w:r w:rsidR="00A43B47" w:rsidRPr="00AC4331">
        <w:rPr>
          <w:noProof/>
        </w:rPr>
        <w:t xml:space="preserve"> provide clarifications</w:t>
      </w:r>
      <w:r w:rsidR="00976CCB">
        <w:rPr>
          <w:noProof/>
        </w:rPr>
        <w:t xml:space="preserve"> in accordance with</w:t>
      </w:r>
      <w:r w:rsidR="00A43B47" w:rsidRPr="00AC4331">
        <w:rPr>
          <w:noProof/>
        </w:rPr>
        <w:t xml:space="preserve"> Article 6(3)</w:t>
      </w:r>
      <w:r w:rsidR="00F5181E" w:rsidRPr="00AC4331">
        <w:rPr>
          <w:noProof/>
        </w:rPr>
        <w:t>.</w:t>
      </w:r>
      <w:r w:rsidR="00413636" w:rsidRPr="00AC4331">
        <w:rPr>
          <w:noProof/>
        </w:rPr>
        <w:t xml:space="preserve"> </w:t>
      </w:r>
    </w:p>
    <w:p w14:paraId="111D2D5D" w14:textId="02693BA7" w:rsidR="0064462E" w:rsidRPr="00AC4331" w:rsidRDefault="002E4C52" w:rsidP="002E4C52">
      <w:pPr>
        <w:pStyle w:val="ManualNumPar1"/>
        <w:rPr>
          <w:noProof/>
        </w:rPr>
      </w:pPr>
      <w:r w:rsidRPr="002E4C52">
        <w:t>3.</w:t>
      </w:r>
      <w:r w:rsidRPr="002E4C52">
        <w:tab/>
      </w:r>
      <w:r w:rsidR="00CD1433" w:rsidRPr="00AC4331">
        <w:rPr>
          <w:noProof/>
        </w:rPr>
        <w:t>Member State</w:t>
      </w:r>
      <w:r w:rsidR="0062481F" w:rsidRPr="00AC4331">
        <w:rPr>
          <w:noProof/>
        </w:rPr>
        <w:t>s</w:t>
      </w:r>
      <w:r w:rsidR="00CD1433" w:rsidRPr="00AC4331">
        <w:rPr>
          <w:noProof/>
        </w:rPr>
        <w:t xml:space="preserve"> shall ensure that</w:t>
      </w:r>
      <w:r w:rsidR="0064462E" w:rsidRPr="00AC4331">
        <w:rPr>
          <w:noProof/>
        </w:rPr>
        <w:t>:</w:t>
      </w:r>
      <w:r w:rsidR="00674780" w:rsidRPr="00AC4331">
        <w:rPr>
          <w:noProof/>
        </w:rPr>
        <w:t xml:space="preserve"> </w:t>
      </w:r>
    </w:p>
    <w:p w14:paraId="618343DA" w14:textId="2E9AC44B" w:rsidR="0064462E" w:rsidRPr="00AC4331" w:rsidRDefault="002E4C52" w:rsidP="002E4C52">
      <w:pPr>
        <w:pStyle w:val="Point1"/>
        <w:rPr>
          <w:noProof/>
        </w:rPr>
      </w:pPr>
      <w:r w:rsidRPr="002E4C52">
        <w:t>(a)</w:t>
      </w:r>
      <w:r w:rsidRPr="002E4C52">
        <w:tab/>
      </w:r>
      <w:r w:rsidR="001817BC" w:rsidRPr="00AC4331">
        <w:rPr>
          <w:noProof/>
        </w:rPr>
        <w:t xml:space="preserve">their Single Point of Contact </w:t>
      </w:r>
      <w:r w:rsidR="00671B37" w:rsidRPr="005740DC">
        <w:rPr>
          <w:noProof/>
        </w:rPr>
        <w:t xml:space="preserve">has access to </w:t>
      </w:r>
      <w:r w:rsidR="0062481F" w:rsidRPr="005740DC">
        <w:rPr>
          <w:noProof/>
        </w:rPr>
        <w:t xml:space="preserve">all </w:t>
      </w:r>
      <w:r w:rsidR="00CD1433" w:rsidRPr="005740DC">
        <w:rPr>
          <w:noProof/>
        </w:rPr>
        <w:t xml:space="preserve">information </w:t>
      </w:r>
      <w:r w:rsidR="005740DC" w:rsidRPr="005740DC">
        <w:rPr>
          <w:noProof/>
        </w:rPr>
        <w:t>available to their l</w:t>
      </w:r>
      <w:r w:rsidR="005740DC">
        <w:rPr>
          <w:noProof/>
        </w:rPr>
        <w:t>a</w:t>
      </w:r>
      <w:r w:rsidR="005740DC" w:rsidRPr="005740DC">
        <w:rPr>
          <w:noProof/>
        </w:rPr>
        <w:t>w enforcement authorities</w:t>
      </w:r>
      <w:r w:rsidR="007E78B4">
        <w:rPr>
          <w:noProof/>
        </w:rPr>
        <w:t>,</w:t>
      </w:r>
      <w:r w:rsidR="005740DC" w:rsidRPr="005740DC">
        <w:rPr>
          <w:noProof/>
        </w:rPr>
        <w:t xml:space="preserve"> insofar as </w:t>
      </w:r>
      <w:r w:rsidR="00A20A64" w:rsidRPr="005740DC">
        <w:rPr>
          <w:noProof/>
        </w:rPr>
        <w:t xml:space="preserve">necessary </w:t>
      </w:r>
      <w:r w:rsidR="00CD1433" w:rsidRPr="005740DC">
        <w:rPr>
          <w:noProof/>
        </w:rPr>
        <w:t xml:space="preserve">to </w:t>
      </w:r>
      <w:r w:rsidR="0062481F" w:rsidRPr="005740DC">
        <w:rPr>
          <w:noProof/>
        </w:rPr>
        <w:t xml:space="preserve">carry out its </w:t>
      </w:r>
      <w:r w:rsidR="00CD1433" w:rsidRPr="005740DC">
        <w:rPr>
          <w:noProof/>
        </w:rPr>
        <w:t>tasks under this Directive</w:t>
      </w:r>
      <w:r w:rsidR="0064462E" w:rsidRPr="00AC4331">
        <w:rPr>
          <w:noProof/>
        </w:rPr>
        <w:t>;</w:t>
      </w:r>
      <w:r w:rsidR="00D62B59" w:rsidRPr="00AC4331">
        <w:rPr>
          <w:noProof/>
        </w:rPr>
        <w:t xml:space="preserve"> </w:t>
      </w:r>
    </w:p>
    <w:p w14:paraId="4BE3C085" w14:textId="13473A78" w:rsidR="0064462E" w:rsidRPr="00AC4331" w:rsidRDefault="002E4C52" w:rsidP="002E4C52">
      <w:pPr>
        <w:pStyle w:val="Point1"/>
        <w:rPr>
          <w:noProof/>
        </w:rPr>
      </w:pPr>
      <w:r w:rsidRPr="002E4C52">
        <w:t>(b)</w:t>
      </w:r>
      <w:r w:rsidRPr="002E4C52">
        <w:tab/>
      </w:r>
      <w:r w:rsidR="001817BC" w:rsidRPr="00AC4331">
        <w:rPr>
          <w:noProof/>
        </w:rPr>
        <w:t xml:space="preserve">their Single Point of Contact </w:t>
      </w:r>
      <w:r w:rsidR="0062481F" w:rsidRPr="00AC4331">
        <w:rPr>
          <w:noProof/>
        </w:rPr>
        <w:t>carries out</w:t>
      </w:r>
      <w:r w:rsidR="0064462E" w:rsidRPr="00AC4331">
        <w:rPr>
          <w:noProof/>
        </w:rPr>
        <w:t xml:space="preserve"> </w:t>
      </w:r>
      <w:r w:rsidR="00027BA4" w:rsidRPr="00AC4331">
        <w:rPr>
          <w:noProof/>
        </w:rPr>
        <w:t>its</w:t>
      </w:r>
      <w:r w:rsidR="0062481F" w:rsidRPr="00AC4331">
        <w:rPr>
          <w:noProof/>
        </w:rPr>
        <w:t xml:space="preserve"> tasks 24 hours a day, 7 days a week</w:t>
      </w:r>
      <w:r w:rsidR="0064462E" w:rsidRPr="00AC4331">
        <w:rPr>
          <w:noProof/>
        </w:rPr>
        <w:t>;</w:t>
      </w:r>
      <w:r w:rsidR="0062481F" w:rsidRPr="00AC4331">
        <w:rPr>
          <w:noProof/>
        </w:rPr>
        <w:t xml:space="preserve"> </w:t>
      </w:r>
    </w:p>
    <w:p w14:paraId="4B6F3015" w14:textId="22CFA705" w:rsidR="00027BA4" w:rsidRPr="00AC4331" w:rsidRDefault="002E4C52" w:rsidP="002E4C52">
      <w:pPr>
        <w:pStyle w:val="Point1"/>
        <w:rPr>
          <w:noProof/>
        </w:rPr>
      </w:pPr>
      <w:r w:rsidRPr="002E4C52">
        <w:t>(c)</w:t>
      </w:r>
      <w:r w:rsidRPr="002E4C52">
        <w:tab/>
      </w:r>
      <w:r w:rsidR="001817BC" w:rsidRPr="00AC4331">
        <w:rPr>
          <w:noProof/>
        </w:rPr>
        <w:t xml:space="preserve">their Single Point of Contact </w:t>
      </w:r>
      <w:r w:rsidR="0064462E" w:rsidRPr="00AC4331">
        <w:rPr>
          <w:noProof/>
        </w:rPr>
        <w:t>is provided with the staff</w:t>
      </w:r>
      <w:r w:rsidR="00121DBD" w:rsidRPr="00AC4331">
        <w:rPr>
          <w:noProof/>
        </w:rPr>
        <w:t>,</w:t>
      </w:r>
      <w:r w:rsidR="0064462E" w:rsidRPr="00AC4331">
        <w:rPr>
          <w:noProof/>
        </w:rPr>
        <w:t xml:space="preserve"> resources</w:t>
      </w:r>
      <w:r w:rsidR="00121DBD" w:rsidRPr="00AC4331">
        <w:rPr>
          <w:noProof/>
        </w:rPr>
        <w:t xml:space="preserve"> and capabilities</w:t>
      </w:r>
      <w:r w:rsidR="00EF22C4" w:rsidRPr="00AC4331">
        <w:rPr>
          <w:noProof/>
        </w:rPr>
        <w:t>, including for translation,</w:t>
      </w:r>
      <w:r w:rsidR="0064462E" w:rsidRPr="00AC4331">
        <w:rPr>
          <w:noProof/>
        </w:rPr>
        <w:t xml:space="preserve"> necessary to carry out its tasks in an adequate and rapid manner</w:t>
      </w:r>
      <w:r w:rsidR="00121DBD" w:rsidRPr="00AC4331">
        <w:rPr>
          <w:noProof/>
        </w:rPr>
        <w:t xml:space="preserve"> in accordance with this Directive and in particular the time limits set out in Article 5</w:t>
      </w:r>
      <w:r w:rsidR="005D1176" w:rsidRPr="00747D4D">
        <w:rPr>
          <w:noProof/>
        </w:rPr>
        <w:t>(1)</w:t>
      </w:r>
      <w:r w:rsidR="00027BA4" w:rsidRPr="00747D4D">
        <w:rPr>
          <w:noProof/>
        </w:rPr>
        <w:t>;</w:t>
      </w:r>
      <w:r w:rsidR="00027BA4" w:rsidRPr="00AC4331">
        <w:rPr>
          <w:noProof/>
        </w:rPr>
        <w:t xml:space="preserve"> </w:t>
      </w:r>
    </w:p>
    <w:p w14:paraId="4513E3E2" w14:textId="2290A9D2" w:rsidR="00EF22C4" w:rsidRDefault="002E4C52" w:rsidP="002E4C52">
      <w:pPr>
        <w:pStyle w:val="Point1"/>
        <w:rPr>
          <w:noProof/>
        </w:rPr>
      </w:pPr>
      <w:r w:rsidRPr="002E4C52">
        <w:t>(d)</w:t>
      </w:r>
      <w:r w:rsidRPr="002E4C52">
        <w:tab/>
      </w:r>
      <w:r w:rsidR="00BB118D">
        <w:rPr>
          <w:noProof/>
        </w:rPr>
        <w:t xml:space="preserve">the </w:t>
      </w:r>
      <w:r w:rsidR="00EF22C4" w:rsidRPr="00AC4331">
        <w:rPr>
          <w:noProof/>
        </w:rPr>
        <w:t>judicial authorit</w:t>
      </w:r>
      <w:r w:rsidR="00027BA4" w:rsidRPr="00AC4331">
        <w:rPr>
          <w:noProof/>
        </w:rPr>
        <w:t>ies</w:t>
      </w:r>
      <w:r w:rsidR="00EF22C4" w:rsidRPr="00AC4331">
        <w:rPr>
          <w:noProof/>
        </w:rPr>
        <w:t xml:space="preserve"> competent to </w:t>
      </w:r>
      <w:r w:rsidR="00027BA4" w:rsidRPr="00AC4331">
        <w:rPr>
          <w:noProof/>
        </w:rPr>
        <w:t>grant</w:t>
      </w:r>
      <w:r w:rsidR="008E04AE">
        <w:rPr>
          <w:noProof/>
        </w:rPr>
        <w:t xml:space="preserve"> </w:t>
      </w:r>
      <w:r w:rsidR="002C5237" w:rsidRPr="00AC4331">
        <w:rPr>
          <w:noProof/>
        </w:rPr>
        <w:t>the</w:t>
      </w:r>
      <w:r w:rsidR="00027BA4" w:rsidRPr="00AC4331">
        <w:rPr>
          <w:noProof/>
        </w:rPr>
        <w:t xml:space="preserve"> judicial authorisations required</w:t>
      </w:r>
      <w:r w:rsidR="00EF22C4" w:rsidRPr="00AC4331">
        <w:rPr>
          <w:noProof/>
        </w:rPr>
        <w:t xml:space="preserve"> under national law in accordance with Article </w:t>
      </w:r>
      <w:r w:rsidR="007E78B4" w:rsidRPr="004271D5">
        <w:rPr>
          <w:noProof/>
        </w:rPr>
        <w:t>9</w:t>
      </w:r>
      <w:r w:rsidR="00AD2ECE" w:rsidRPr="00AC4331">
        <w:rPr>
          <w:noProof/>
        </w:rPr>
        <w:t xml:space="preserve"> </w:t>
      </w:r>
      <w:r w:rsidR="00027BA4" w:rsidRPr="00AC4331">
        <w:rPr>
          <w:noProof/>
        </w:rPr>
        <w:t>are</w:t>
      </w:r>
      <w:r w:rsidR="00EF22C4" w:rsidRPr="00AC4331">
        <w:rPr>
          <w:noProof/>
        </w:rPr>
        <w:t xml:space="preserve"> available to the Single Point of Contact 24 hours a day, 7 days a week. </w:t>
      </w:r>
    </w:p>
    <w:p w14:paraId="2241495B" w14:textId="18EEF744" w:rsidR="00810F59" w:rsidRDefault="002E4C52" w:rsidP="002E4C52">
      <w:pPr>
        <w:pStyle w:val="ManualNumPar1"/>
        <w:rPr>
          <w:noProof/>
        </w:rPr>
      </w:pPr>
      <w:r w:rsidRPr="002E4C52">
        <w:t>4.</w:t>
      </w:r>
      <w:r w:rsidRPr="002E4C52">
        <w:tab/>
      </w:r>
      <w:r w:rsidR="00810F59">
        <w:rPr>
          <w:noProof/>
        </w:rPr>
        <w:t xml:space="preserve">Within one month of the establishment or designation of their Single Point of Contact, Member States shall notify the Commission thereof. They shall update that information where necessary. </w:t>
      </w:r>
    </w:p>
    <w:p w14:paraId="1858F11A" w14:textId="639CEFBD" w:rsidR="004A0E8C" w:rsidRDefault="00810F59" w:rsidP="00E56DD6">
      <w:pPr>
        <w:pStyle w:val="Text1"/>
        <w:rPr>
          <w:noProof/>
        </w:rPr>
      </w:pPr>
      <w:r>
        <w:rPr>
          <w:noProof/>
        </w:rPr>
        <w:t xml:space="preserve">The Commission shall publish those notifications, as well as any updates thereof, in the Official Journal of the European Union. </w:t>
      </w:r>
    </w:p>
    <w:p w14:paraId="02D23F66" w14:textId="6492D4BB" w:rsidR="00A20A64" w:rsidRDefault="00A20A64" w:rsidP="00414504">
      <w:pPr>
        <w:pStyle w:val="Titrearticle"/>
        <w:spacing w:after="0"/>
        <w:rPr>
          <w:noProof/>
          <w:lang w:eastAsia="nl-NL"/>
        </w:rPr>
      </w:pPr>
      <w:r>
        <w:rPr>
          <w:noProof/>
          <w:lang w:eastAsia="nl-NL"/>
        </w:rPr>
        <w:t xml:space="preserve">Article </w:t>
      </w:r>
      <w:r w:rsidR="001168AD">
        <w:rPr>
          <w:noProof/>
          <w:lang w:eastAsia="nl-NL"/>
        </w:rPr>
        <w:t>1</w:t>
      </w:r>
      <w:r w:rsidR="00355B29">
        <w:rPr>
          <w:noProof/>
          <w:lang w:eastAsia="nl-NL"/>
        </w:rPr>
        <w:t>5</w:t>
      </w:r>
    </w:p>
    <w:p w14:paraId="56D6D783" w14:textId="15E3DDD8" w:rsidR="00A20A64" w:rsidRPr="00E56DD6" w:rsidRDefault="00A20A64" w:rsidP="00D46B89">
      <w:pPr>
        <w:spacing w:before="0"/>
        <w:jc w:val="center"/>
        <w:rPr>
          <w:b/>
          <w:i/>
          <w:noProof/>
          <w:lang w:eastAsia="nl-NL"/>
        </w:rPr>
      </w:pPr>
      <w:r w:rsidRPr="00E56DD6">
        <w:rPr>
          <w:b/>
          <w:i/>
          <w:noProof/>
          <w:lang w:eastAsia="nl-NL"/>
        </w:rPr>
        <w:t>Composition</w:t>
      </w:r>
    </w:p>
    <w:p w14:paraId="4B98E34E" w14:textId="0AC7107A" w:rsidR="0032615D" w:rsidRPr="00AC4331" w:rsidRDefault="001D312C" w:rsidP="009D0634">
      <w:pPr>
        <w:ind w:left="851" w:hanging="851"/>
        <w:rPr>
          <w:noProof/>
        </w:rPr>
      </w:pPr>
      <w:r>
        <w:rPr>
          <w:noProof/>
        </w:rPr>
        <w:t xml:space="preserve">1. </w:t>
      </w:r>
      <w:r w:rsidR="00970879">
        <w:rPr>
          <w:noProof/>
        </w:rPr>
        <w:tab/>
      </w:r>
      <w:r w:rsidR="00EE3EBD" w:rsidRPr="00AC4331">
        <w:rPr>
          <w:noProof/>
        </w:rPr>
        <w:t>Member State</w:t>
      </w:r>
      <w:r w:rsidR="0064462E" w:rsidRPr="00AC4331">
        <w:rPr>
          <w:noProof/>
        </w:rPr>
        <w:t>s</w:t>
      </w:r>
      <w:r w:rsidR="00EE3EBD" w:rsidRPr="00AC4331">
        <w:rPr>
          <w:noProof/>
        </w:rPr>
        <w:t xml:space="preserve"> shall determine the organisation and the </w:t>
      </w:r>
      <w:r w:rsidR="00F03A4E" w:rsidRPr="00AC4331">
        <w:rPr>
          <w:noProof/>
        </w:rPr>
        <w:t>composition</w:t>
      </w:r>
      <w:r w:rsidR="00EE3EBD" w:rsidRPr="00AC4331">
        <w:rPr>
          <w:noProof/>
        </w:rPr>
        <w:t xml:space="preserve"> of its Single Point of Contact</w:t>
      </w:r>
      <w:r w:rsidR="00E1478B">
        <w:rPr>
          <w:noProof/>
        </w:rPr>
        <w:t xml:space="preserve"> in such a manner that it can carry out its</w:t>
      </w:r>
      <w:r w:rsidR="00E1478B" w:rsidRPr="00AC4331">
        <w:rPr>
          <w:noProof/>
        </w:rPr>
        <w:t xml:space="preserve"> tasks</w:t>
      </w:r>
      <w:r w:rsidR="00E1478B">
        <w:rPr>
          <w:noProof/>
        </w:rPr>
        <w:t xml:space="preserve"> under this Directive</w:t>
      </w:r>
      <w:r w:rsidR="00E1478B" w:rsidRPr="00AC4331">
        <w:rPr>
          <w:noProof/>
        </w:rPr>
        <w:t xml:space="preserve"> </w:t>
      </w:r>
      <w:r w:rsidR="00E1478B">
        <w:rPr>
          <w:noProof/>
        </w:rPr>
        <w:t>in an efficient and effective manner</w:t>
      </w:r>
      <w:r w:rsidR="00EE3EBD" w:rsidRPr="00AC4331">
        <w:rPr>
          <w:noProof/>
        </w:rPr>
        <w:t>.</w:t>
      </w:r>
      <w:r w:rsidR="0062481F" w:rsidRPr="00AC4331">
        <w:rPr>
          <w:noProof/>
        </w:rPr>
        <w:t xml:space="preserve"> </w:t>
      </w:r>
    </w:p>
    <w:p w14:paraId="549475D4" w14:textId="6CD8569F" w:rsidR="00736D2C" w:rsidRDefault="001D312C" w:rsidP="009D0634">
      <w:pPr>
        <w:ind w:left="851" w:hanging="851"/>
        <w:rPr>
          <w:noProof/>
          <w:lang w:eastAsia="nl-NL"/>
        </w:rPr>
      </w:pPr>
      <w:r>
        <w:rPr>
          <w:noProof/>
        </w:rPr>
        <w:t xml:space="preserve">2. </w:t>
      </w:r>
      <w:r w:rsidR="00970879">
        <w:rPr>
          <w:noProof/>
        </w:rPr>
        <w:tab/>
      </w:r>
      <w:r w:rsidR="00E23FAA" w:rsidRPr="00AC4331">
        <w:rPr>
          <w:noProof/>
        </w:rPr>
        <w:t>Member States shall ensure that their Single Point of Contact is composed</w:t>
      </w:r>
      <w:r w:rsidR="00E23FAA" w:rsidRPr="003F0170">
        <w:rPr>
          <w:noProof/>
          <w:lang w:eastAsia="nl-NL"/>
        </w:rPr>
        <w:t xml:space="preserve"> of representatives</w:t>
      </w:r>
      <w:r w:rsidR="0062481F">
        <w:rPr>
          <w:noProof/>
          <w:lang w:eastAsia="nl-NL"/>
        </w:rPr>
        <w:t xml:space="preserve"> </w:t>
      </w:r>
      <w:r w:rsidR="00E23FAA">
        <w:rPr>
          <w:noProof/>
          <w:lang w:eastAsia="nl-NL"/>
        </w:rPr>
        <w:t xml:space="preserve">of </w:t>
      </w:r>
      <w:r w:rsidR="00E23FAA" w:rsidRPr="003F0170">
        <w:rPr>
          <w:noProof/>
          <w:lang w:eastAsia="nl-NL"/>
        </w:rPr>
        <w:t>national</w:t>
      </w:r>
      <w:r w:rsidR="00E144BA" w:rsidRPr="003F0170">
        <w:rPr>
          <w:noProof/>
          <w:lang w:eastAsia="nl-NL"/>
        </w:rPr>
        <w:t xml:space="preserve"> law enforcement</w:t>
      </w:r>
      <w:r w:rsidR="00E23FAA" w:rsidRPr="003F0170">
        <w:rPr>
          <w:noProof/>
          <w:lang w:eastAsia="nl-NL"/>
        </w:rPr>
        <w:t xml:space="preserve"> authorities</w:t>
      </w:r>
      <w:r w:rsidR="0062481F">
        <w:rPr>
          <w:noProof/>
          <w:lang w:eastAsia="nl-NL"/>
        </w:rPr>
        <w:t xml:space="preserve"> </w:t>
      </w:r>
      <w:r w:rsidR="0064462E">
        <w:rPr>
          <w:noProof/>
          <w:lang w:eastAsia="nl-NL"/>
        </w:rPr>
        <w:t>whose involvement is necessary for the adequate and rapid exchange of information under this Directive</w:t>
      </w:r>
      <w:r w:rsidR="0062481F">
        <w:rPr>
          <w:noProof/>
          <w:lang w:eastAsia="nl-NL"/>
        </w:rPr>
        <w:t>,</w:t>
      </w:r>
      <w:r w:rsidR="00EF0A87">
        <w:rPr>
          <w:noProof/>
          <w:lang w:eastAsia="nl-NL"/>
        </w:rPr>
        <w:t xml:space="preserve"> </w:t>
      </w:r>
      <w:r w:rsidR="00E23FAA" w:rsidDel="002C5237">
        <w:rPr>
          <w:noProof/>
          <w:lang w:eastAsia="nl-NL"/>
        </w:rPr>
        <w:t xml:space="preserve">including </w:t>
      </w:r>
      <w:r w:rsidR="00A9703F" w:rsidRPr="000D6152">
        <w:rPr>
          <w:noProof/>
          <w:lang w:eastAsia="nl-NL"/>
        </w:rPr>
        <w:t xml:space="preserve">at least </w:t>
      </w:r>
      <w:r w:rsidR="00736D2C">
        <w:rPr>
          <w:noProof/>
          <w:lang w:eastAsia="nl-NL"/>
        </w:rPr>
        <w:t>the following</w:t>
      </w:r>
      <w:r w:rsidR="003D5D8B">
        <w:rPr>
          <w:noProof/>
          <w:lang w:eastAsia="nl-NL"/>
        </w:rPr>
        <w:t xml:space="preserve"> </w:t>
      </w:r>
      <w:r w:rsidR="003D5D8B" w:rsidRPr="00747D4D">
        <w:rPr>
          <w:noProof/>
          <w:lang w:eastAsia="nl-NL"/>
        </w:rPr>
        <w:t>in</w:t>
      </w:r>
      <w:r w:rsidR="005D1176" w:rsidRPr="00747D4D">
        <w:rPr>
          <w:noProof/>
          <w:lang w:eastAsia="nl-NL"/>
        </w:rPr>
        <w:t>so</w:t>
      </w:r>
      <w:r w:rsidR="003D5D8B" w:rsidRPr="00747D4D">
        <w:rPr>
          <w:noProof/>
          <w:lang w:eastAsia="nl-NL"/>
        </w:rPr>
        <w:t>far</w:t>
      </w:r>
      <w:r w:rsidR="003D5D8B" w:rsidRPr="00464286">
        <w:rPr>
          <w:noProof/>
          <w:lang w:eastAsia="nl-NL"/>
        </w:rPr>
        <w:t xml:space="preserve"> as the Member State concerned is bound by the relevant legislation to establish or designate such units or </w:t>
      </w:r>
      <w:r w:rsidR="000D6152" w:rsidRPr="00464286">
        <w:rPr>
          <w:noProof/>
          <w:lang w:eastAsia="nl-NL"/>
        </w:rPr>
        <w:t>bureau</w:t>
      </w:r>
      <w:r w:rsidR="008A55B7" w:rsidRPr="00464286">
        <w:rPr>
          <w:noProof/>
          <w:lang w:eastAsia="nl-NL"/>
        </w:rPr>
        <w:t>x</w:t>
      </w:r>
      <w:r w:rsidR="00E144BA" w:rsidRPr="00464286">
        <w:rPr>
          <w:noProof/>
          <w:lang w:eastAsia="nl-NL"/>
        </w:rPr>
        <w:t>:</w:t>
      </w:r>
    </w:p>
    <w:p w14:paraId="1A3DAE77" w14:textId="459D09B8" w:rsidR="00736D2C" w:rsidRDefault="001D312C" w:rsidP="009D0634">
      <w:pPr>
        <w:ind w:left="1418" w:hanging="567"/>
        <w:rPr>
          <w:noProof/>
          <w:lang w:eastAsia="nl-NL"/>
        </w:rPr>
      </w:pPr>
      <w:r>
        <w:rPr>
          <w:noProof/>
          <w:lang w:eastAsia="nl-NL"/>
        </w:rPr>
        <w:t xml:space="preserve">(a) </w:t>
      </w:r>
      <w:r w:rsidR="00970879">
        <w:rPr>
          <w:noProof/>
          <w:lang w:eastAsia="nl-NL"/>
        </w:rPr>
        <w:tab/>
      </w:r>
      <w:r w:rsidR="00736D2C" w:rsidRPr="00736D2C">
        <w:rPr>
          <w:noProof/>
          <w:lang w:eastAsia="nl-NL"/>
        </w:rPr>
        <w:t xml:space="preserve">the Europol </w:t>
      </w:r>
      <w:r w:rsidR="00B72149">
        <w:rPr>
          <w:noProof/>
          <w:lang w:eastAsia="nl-NL"/>
        </w:rPr>
        <w:t>n</w:t>
      </w:r>
      <w:r w:rsidR="00736D2C" w:rsidRPr="00736D2C">
        <w:rPr>
          <w:noProof/>
          <w:lang w:eastAsia="nl-NL"/>
        </w:rPr>
        <w:t>atio</w:t>
      </w:r>
      <w:r w:rsidR="00736D2C">
        <w:rPr>
          <w:noProof/>
          <w:lang w:eastAsia="nl-NL"/>
        </w:rPr>
        <w:t xml:space="preserve">nal </w:t>
      </w:r>
      <w:r w:rsidR="00B72149">
        <w:rPr>
          <w:noProof/>
          <w:lang w:eastAsia="nl-NL"/>
        </w:rPr>
        <w:t>u</w:t>
      </w:r>
      <w:r w:rsidR="00736D2C">
        <w:rPr>
          <w:noProof/>
          <w:lang w:eastAsia="nl-NL"/>
        </w:rPr>
        <w:t>nit established by A</w:t>
      </w:r>
      <w:r w:rsidR="00736D2C" w:rsidRPr="00736D2C">
        <w:rPr>
          <w:noProof/>
          <w:lang w:eastAsia="nl-NL"/>
        </w:rPr>
        <w:t xml:space="preserve">rticle 7 of Regulation </w:t>
      </w:r>
      <w:r w:rsidR="00184FBC">
        <w:rPr>
          <w:noProof/>
          <w:lang w:eastAsia="nl-NL"/>
        </w:rPr>
        <w:t xml:space="preserve">(EU) </w:t>
      </w:r>
      <w:r w:rsidR="00736D2C" w:rsidRPr="00736D2C">
        <w:rPr>
          <w:noProof/>
          <w:lang w:eastAsia="nl-NL"/>
        </w:rPr>
        <w:t xml:space="preserve">2016/794; </w:t>
      </w:r>
    </w:p>
    <w:p w14:paraId="4B5AD9E8" w14:textId="48E06BF6" w:rsidR="00736D2C" w:rsidRPr="00736D2C" w:rsidRDefault="00970879" w:rsidP="009D0634">
      <w:pPr>
        <w:ind w:left="1418" w:hanging="567"/>
        <w:rPr>
          <w:noProof/>
          <w:lang w:eastAsia="nl-NL"/>
        </w:rPr>
      </w:pPr>
      <w:r>
        <w:rPr>
          <w:noProof/>
          <w:lang w:eastAsia="nl-NL"/>
        </w:rPr>
        <w:t xml:space="preserve">(b) </w:t>
      </w:r>
      <w:r>
        <w:rPr>
          <w:noProof/>
          <w:lang w:eastAsia="nl-NL"/>
        </w:rPr>
        <w:tab/>
      </w:r>
      <w:r w:rsidRPr="00736D2C">
        <w:rPr>
          <w:noProof/>
          <w:lang w:eastAsia="nl-NL"/>
        </w:rPr>
        <w:t>the</w:t>
      </w:r>
      <w:r>
        <w:rPr>
          <w:noProof/>
          <w:lang w:eastAsia="nl-NL"/>
        </w:rPr>
        <w:t xml:space="preserve"> SIRENE Bureau established by Article 7(2)</w:t>
      </w:r>
      <w:r w:rsidDel="00DD7D7B">
        <w:rPr>
          <w:noProof/>
          <w:lang w:eastAsia="nl-NL"/>
        </w:rPr>
        <w:t xml:space="preserve"> </w:t>
      </w:r>
      <w:r w:rsidDel="00730D98">
        <w:rPr>
          <w:noProof/>
          <w:lang w:eastAsia="nl-NL"/>
        </w:rPr>
        <w:t>of</w:t>
      </w:r>
      <w:r w:rsidRPr="00736D2C">
        <w:rPr>
          <w:noProof/>
          <w:lang w:eastAsia="nl-NL"/>
        </w:rPr>
        <w:t xml:space="preserve"> Regulation </w:t>
      </w:r>
      <w:r>
        <w:rPr>
          <w:noProof/>
          <w:lang w:eastAsia="nl-NL"/>
        </w:rPr>
        <w:t xml:space="preserve">(EU) </w:t>
      </w:r>
      <w:r w:rsidRPr="00736D2C">
        <w:rPr>
          <w:noProof/>
          <w:lang w:eastAsia="nl-NL"/>
        </w:rPr>
        <w:t>2018/1862</w:t>
      </w:r>
      <w:r>
        <w:rPr>
          <w:noProof/>
          <w:lang w:eastAsia="nl-NL"/>
        </w:rPr>
        <w:t xml:space="preserve"> </w:t>
      </w:r>
      <w:r w:rsidRPr="00184FBC">
        <w:rPr>
          <w:noProof/>
        </w:rPr>
        <w:t>of the Europea</w:t>
      </w:r>
      <w:r>
        <w:rPr>
          <w:noProof/>
        </w:rPr>
        <w:t>n Parliament and of the Council</w:t>
      </w:r>
      <w:r>
        <w:rPr>
          <w:rStyle w:val="FootnoteReference0"/>
          <w:noProof/>
          <w:szCs w:val="24"/>
          <w:lang w:eastAsia="nl-NL"/>
        </w:rPr>
        <w:footnoteReference w:id="74"/>
      </w:r>
      <w:r>
        <w:rPr>
          <w:noProof/>
        </w:rPr>
        <w:t>;</w:t>
      </w:r>
    </w:p>
    <w:p w14:paraId="7766687A" w14:textId="18422F49" w:rsidR="00736D2C" w:rsidRPr="00736D2C" w:rsidRDefault="001D312C" w:rsidP="009D0634">
      <w:pPr>
        <w:ind w:left="1418" w:hanging="567"/>
        <w:rPr>
          <w:noProof/>
          <w:lang w:eastAsia="nl-NL"/>
        </w:rPr>
      </w:pPr>
      <w:r>
        <w:rPr>
          <w:noProof/>
          <w:lang w:eastAsia="nl-NL"/>
        </w:rPr>
        <w:t xml:space="preserve">(c) </w:t>
      </w:r>
      <w:r w:rsidR="00970879">
        <w:rPr>
          <w:noProof/>
          <w:lang w:eastAsia="nl-NL"/>
        </w:rPr>
        <w:tab/>
      </w:r>
      <w:r w:rsidR="002C5237">
        <w:rPr>
          <w:noProof/>
          <w:lang w:eastAsia="nl-NL"/>
        </w:rPr>
        <w:t xml:space="preserve">the </w:t>
      </w:r>
      <w:r w:rsidR="00B72149">
        <w:rPr>
          <w:noProof/>
          <w:lang w:eastAsia="nl-NL"/>
        </w:rPr>
        <w:t>p</w:t>
      </w:r>
      <w:r w:rsidR="00736D2C" w:rsidRPr="00736D2C">
        <w:rPr>
          <w:noProof/>
          <w:lang w:eastAsia="nl-NL"/>
        </w:rPr>
        <w:t xml:space="preserve">assenger </w:t>
      </w:r>
      <w:r w:rsidR="00B72149">
        <w:rPr>
          <w:noProof/>
          <w:lang w:eastAsia="nl-NL"/>
        </w:rPr>
        <w:t>i</w:t>
      </w:r>
      <w:r w:rsidR="00736D2C" w:rsidRPr="00736D2C">
        <w:rPr>
          <w:noProof/>
          <w:lang w:eastAsia="nl-NL"/>
        </w:rPr>
        <w:t xml:space="preserve">nformation </w:t>
      </w:r>
      <w:r w:rsidR="00B72149">
        <w:rPr>
          <w:noProof/>
          <w:lang w:eastAsia="nl-NL"/>
        </w:rPr>
        <w:t>u</w:t>
      </w:r>
      <w:r w:rsidR="00736D2C" w:rsidRPr="00736D2C">
        <w:rPr>
          <w:noProof/>
          <w:lang w:eastAsia="nl-NL"/>
        </w:rPr>
        <w:t xml:space="preserve">nit established under </w:t>
      </w:r>
      <w:r w:rsidR="00736D2C">
        <w:rPr>
          <w:noProof/>
          <w:lang w:eastAsia="nl-NL"/>
        </w:rPr>
        <w:t xml:space="preserve">Article 4 of Directive </w:t>
      </w:r>
      <w:r w:rsidR="00184FBC">
        <w:rPr>
          <w:noProof/>
          <w:lang w:eastAsia="nl-NL"/>
        </w:rPr>
        <w:t xml:space="preserve">(EU) </w:t>
      </w:r>
      <w:r w:rsidR="00736D2C">
        <w:rPr>
          <w:noProof/>
          <w:lang w:eastAsia="nl-NL"/>
        </w:rPr>
        <w:t>2016/681</w:t>
      </w:r>
      <w:r w:rsidR="00736D2C" w:rsidRPr="00736D2C">
        <w:rPr>
          <w:noProof/>
          <w:lang w:eastAsia="nl-NL"/>
        </w:rPr>
        <w:t>;</w:t>
      </w:r>
    </w:p>
    <w:p w14:paraId="2EC3104D" w14:textId="6E23CC20" w:rsidR="00736D2C" w:rsidRDefault="001D312C" w:rsidP="009D0634">
      <w:pPr>
        <w:ind w:left="1418" w:hanging="567"/>
        <w:rPr>
          <w:noProof/>
          <w:lang w:eastAsia="nl-NL"/>
        </w:rPr>
      </w:pPr>
      <w:r>
        <w:rPr>
          <w:noProof/>
          <w:lang w:eastAsia="nl-NL"/>
        </w:rPr>
        <w:t xml:space="preserve">(d) </w:t>
      </w:r>
      <w:r w:rsidR="00970879">
        <w:rPr>
          <w:noProof/>
          <w:lang w:eastAsia="nl-NL"/>
        </w:rPr>
        <w:tab/>
      </w:r>
      <w:r w:rsidR="00736D2C" w:rsidRPr="00736D2C">
        <w:rPr>
          <w:noProof/>
          <w:lang w:eastAsia="nl-NL"/>
        </w:rPr>
        <w:t>the I</w:t>
      </w:r>
      <w:r w:rsidR="005740DC">
        <w:rPr>
          <w:noProof/>
          <w:lang w:eastAsia="nl-NL"/>
        </w:rPr>
        <w:t>NTERPOL</w:t>
      </w:r>
      <w:r w:rsidR="00736D2C" w:rsidRPr="00736D2C">
        <w:rPr>
          <w:noProof/>
          <w:lang w:eastAsia="nl-NL"/>
        </w:rPr>
        <w:t xml:space="preserve"> National Central Bureau (NCB)</w:t>
      </w:r>
      <w:r w:rsidR="002C5237">
        <w:rPr>
          <w:noProof/>
          <w:lang w:eastAsia="nl-NL"/>
        </w:rPr>
        <w:t xml:space="preserve"> </w:t>
      </w:r>
      <w:r w:rsidR="002C5237" w:rsidRPr="000D6152">
        <w:rPr>
          <w:noProof/>
          <w:lang w:eastAsia="nl-NL"/>
        </w:rPr>
        <w:t xml:space="preserve">established by </w:t>
      </w:r>
      <w:r w:rsidR="00730D98" w:rsidRPr="000D6152">
        <w:rPr>
          <w:noProof/>
          <w:lang w:eastAsia="nl-NL"/>
        </w:rPr>
        <w:t xml:space="preserve">Article </w:t>
      </w:r>
      <w:r w:rsidR="00730D98" w:rsidRPr="00494327">
        <w:rPr>
          <w:noProof/>
          <w:lang w:eastAsia="nl-NL"/>
        </w:rPr>
        <w:t>3</w:t>
      </w:r>
      <w:r w:rsidR="00494327" w:rsidRPr="005740DC">
        <w:rPr>
          <w:noProof/>
          <w:lang w:eastAsia="nl-NL"/>
        </w:rPr>
        <w:t>2</w:t>
      </w:r>
      <w:r w:rsidR="00730D98" w:rsidRPr="000D6152">
        <w:rPr>
          <w:noProof/>
          <w:lang w:eastAsia="nl-NL"/>
        </w:rPr>
        <w:t xml:space="preserve"> of </w:t>
      </w:r>
      <w:r w:rsidR="00E40DB0" w:rsidRPr="000D6152">
        <w:rPr>
          <w:noProof/>
          <w:lang w:eastAsia="nl-NL"/>
        </w:rPr>
        <w:t xml:space="preserve">Constitution of the International Criminal Police Organisation </w:t>
      </w:r>
      <w:r w:rsidR="00494327">
        <w:rPr>
          <w:noProof/>
          <w:lang w:eastAsia="nl-NL"/>
        </w:rPr>
        <w:t>–</w:t>
      </w:r>
      <w:r w:rsidR="00E40DB0" w:rsidRPr="000D6152">
        <w:rPr>
          <w:noProof/>
          <w:lang w:eastAsia="nl-NL"/>
        </w:rPr>
        <w:t xml:space="preserve"> I</w:t>
      </w:r>
      <w:r w:rsidR="00494327">
        <w:rPr>
          <w:noProof/>
          <w:lang w:eastAsia="nl-NL"/>
        </w:rPr>
        <w:t>NTERPOL</w:t>
      </w:r>
      <w:r w:rsidR="000E10A8" w:rsidRPr="000D6152">
        <w:rPr>
          <w:noProof/>
          <w:lang w:eastAsia="nl-NL"/>
        </w:rPr>
        <w:t>.</w:t>
      </w:r>
    </w:p>
    <w:p w14:paraId="60DFD06D" w14:textId="0666C113" w:rsidR="00D572E7" w:rsidRPr="00022B80" w:rsidRDefault="00D572E7" w:rsidP="00414504">
      <w:pPr>
        <w:pStyle w:val="Titrearticle"/>
        <w:spacing w:after="0"/>
        <w:rPr>
          <w:noProof/>
        </w:rPr>
      </w:pPr>
      <w:r>
        <w:rPr>
          <w:noProof/>
        </w:rPr>
        <w:t xml:space="preserve">Article </w:t>
      </w:r>
      <w:r w:rsidDel="00431104">
        <w:rPr>
          <w:noProof/>
        </w:rPr>
        <w:t>1</w:t>
      </w:r>
      <w:r w:rsidR="00355B29">
        <w:rPr>
          <w:noProof/>
        </w:rPr>
        <w:t>6</w:t>
      </w:r>
    </w:p>
    <w:p w14:paraId="054BD086" w14:textId="77777777" w:rsidR="00D572E7" w:rsidRDefault="00D572E7" w:rsidP="00D572E7">
      <w:pPr>
        <w:spacing w:before="0"/>
        <w:jc w:val="center"/>
        <w:rPr>
          <w:b/>
          <w:i/>
          <w:noProof/>
          <w:szCs w:val="24"/>
        </w:rPr>
      </w:pPr>
      <w:r>
        <w:rPr>
          <w:b/>
          <w:i/>
          <w:noProof/>
          <w:szCs w:val="24"/>
        </w:rPr>
        <w:t>Case Management System</w:t>
      </w:r>
    </w:p>
    <w:p w14:paraId="25E9DAE2" w14:textId="2F76ED75" w:rsidR="00D572E7" w:rsidRPr="00241AFC" w:rsidRDefault="001D312C" w:rsidP="009D0634">
      <w:pPr>
        <w:ind w:left="851" w:hanging="851"/>
        <w:rPr>
          <w:noProof/>
        </w:rPr>
      </w:pPr>
      <w:r>
        <w:rPr>
          <w:noProof/>
          <w:szCs w:val="20"/>
        </w:rPr>
        <w:t xml:space="preserve">1. </w:t>
      </w:r>
      <w:r w:rsidR="006457D1">
        <w:rPr>
          <w:noProof/>
          <w:szCs w:val="20"/>
        </w:rPr>
        <w:tab/>
      </w:r>
      <w:r w:rsidR="00D572E7" w:rsidRPr="003D48D4">
        <w:rPr>
          <w:noProof/>
          <w:szCs w:val="20"/>
        </w:rPr>
        <w:t>Member States shall ensure that t</w:t>
      </w:r>
      <w:r w:rsidR="00D572E7" w:rsidRPr="00241AFC">
        <w:rPr>
          <w:noProof/>
        </w:rPr>
        <w:t>he</w:t>
      </w:r>
      <w:r w:rsidR="00D572E7">
        <w:rPr>
          <w:noProof/>
        </w:rPr>
        <w:t>ir Single Point of Contact deploys</w:t>
      </w:r>
      <w:r w:rsidR="003E16DF">
        <w:rPr>
          <w:noProof/>
        </w:rPr>
        <w:t xml:space="preserve"> </w:t>
      </w:r>
      <w:r w:rsidR="004A2E61" w:rsidRPr="0069258F">
        <w:rPr>
          <w:noProof/>
        </w:rPr>
        <w:t>and operates</w:t>
      </w:r>
      <w:r w:rsidR="004A2E61">
        <w:rPr>
          <w:noProof/>
        </w:rPr>
        <w:t xml:space="preserve"> </w:t>
      </w:r>
      <w:r w:rsidR="00D572E7">
        <w:rPr>
          <w:noProof/>
        </w:rPr>
        <w:t xml:space="preserve">an electronic single Case Management System as the repository that allows the Single Point of Contact to carry out its </w:t>
      </w:r>
      <w:r w:rsidR="003E16DF">
        <w:rPr>
          <w:noProof/>
        </w:rPr>
        <w:t>tasks under this Directive</w:t>
      </w:r>
      <w:r w:rsidR="00D572E7">
        <w:rPr>
          <w:noProof/>
        </w:rPr>
        <w:t>.</w:t>
      </w:r>
      <w:r w:rsidR="00D2137D">
        <w:rPr>
          <w:noProof/>
        </w:rPr>
        <w:t xml:space="preserve"> </w:t>
      </w:r>
      <w:r w:rsidR="00D572E7">
        <w:rPr>
          <w:noProof/>
        </w:rPr>
        <w:t>T</w:t>
      </w:r>
      <w:r w:rsidR="00D572E7" w:rsidRPr="00241AFC">
        <w:rPr>
          <w:noProof/>
        </w:rPr>
        <w:t xml:space="preserve">he Case Management System </w:t>
      </w:r>
      <w:r w:rsidR="00D572E7">
        <w:rPr>
          <w:noProof/>
        </w:rPr>
        <w:t>shall have</w:t>
      </w:r>
      <w:r w:rsidR="00D572E7" w:rsidRPr="00241AFC">
        <w:rPr>
          <w:noProof/>
        </w:rPr>
        <w:t xml:space="preserve"> at least </w:t>
      </w:r>
      <w:r w:rsidR="00E1478B">
        <w:rPr>
          <w:noProof/>
        </w:rPr>
        <w:t xml:space="preserve">all of </w:t>
      </w:r>
      <w:r w:rsidR="00D572E7" w:rsidRPr="00241AFC">
        <w:rPr>
          <w:noProof/>
        </w:rPr>
        <w:t>the following functions and capabilities:</w:t>
      </w:r>
    </w:p>
    <w:p w14:paraId="4E646BD8" w14:textId="5AAFC029" w:rsidR="002256FD" w:rsidRDefault="00970879" w:rsidP="009D0634">
      <w:pPr>
        <w:ind w:left="1418" w:hanging="567"/>
        <w:rPr>
          <w:noProof/>
        </w:rPr>
      </w:pPr>
      <w:r>
        <w:rPr>
          <w:noProof/>
        </w:rPr>
        <w:t xml:space="preserve">(a) </w:t>
      </w:r>
      <w:r>
        <w:rPr>
          <w:noProof/>
        </w:rPr>
        <w:tab/>
      </w:r>
      <w:r w:rsidR="00D572E7" w:rsidRPr="005E3B12">
        <w:rPr>
          <w:noProof/>
        </w:rPr>
        <w:t>recording incoming and outgoing requests</w:t>
      </w:r>
      <w:r w:rsidR="00C2159B" w:rsidRPr="005E3B12">
        <w:rPr>
          <w:noProof/>
        </w:rPr>
        <w:t xml:space="preserve"> for information</w:t>
      </w:r>
      <w:r w:rsidR="009A4D97">
        <w:rPr>
          <w:noProof/>
        </w:rPr>
        <w:t xml:space="preserve"> </w:t>
      </w:r>
      <w:r w:rsidR="00E1478B">
        <w:rPr>
          <w:noProof/>
        </w:rPr>
        <w:t>referred to in Articles 5 and 8</w:t>
      </w:r>
      <w:r w:rsidR="00E1478B" w:rsidRPr="005E3B12">
        <w:rPr>
          <w:noProof/>
        </w:rPr>
        <w:t xml:space="preserve">, </w:t>
      </w:r>
      <w:r w:rsidR="00E1478B">
        <w:rPr>
          <w:noProof/>
        </w:rPr>
        <w:t>as well as any</w:t>
      </w:r>
      <w:r w:rsidR="00E1478B" w:rsidRPr="005E3B12">
        <w:rPr>
          <w:noProof/>
        </w:rPr>
        <w:t xml:space="preserve"> </w:t>
      </w:r>
      <w:r w:rsidR="00E1478B">
        <w:rPr>
          <w:noProof/>
        </w:rPr>
        <w:t xml:space="preserve">other </w:t>
      </w:r>
      <w:r w:rsidR="00D572E7" w:rsidRPr="005E3B12">
        <w:rPr>
          <w:noProof/>
        </w:rPr>
        <w:t>communication</w:t>
      </w:r>
      <w:r w:rsidR="00C2159B" w:rsidRPr="005E3B12">
        <w:rPr>
          <w:noProof/>
        </w:rPr>
        <w:t>s</w:t>
      </w:r>
      <w:r w:rsidR="00D572E7" w:rsidRPr="005E3B12">
        <w:rPr>
          <w:noProof/>
        </w:rPr>
        <w:t xml:space="preserve"> with </w:t>
      </w:r>
      <w:r w:rsidR="00052B85" w:rsidRPr="005E3B12">
        <w:rPr>
          <w:noProof/>
        </w:rPr>
        <w:t>Single Points of Contact and</w:t>
      </w:r>
      <w:r w:rsidR="00A43B47" w:rsidRPr="005E3B12">
        <w:rPr>
          <w:noProof/>
        </w:rPr>
        <w:t>, where applicable,</w:t>
      </w:r>
      <w:r w:rsidR="00052B85" w:rsidRPr="005E3B12">
        <w:rPr>
          <w:noProof/>
        </w:rPr>
        <w:t xml:space="preserve"> </w:t>
      </w:r>
      <w:r w:rsidR="00EA48EC" w:rsidRPr="005E3B12">
        <w:rPr>
          <w:noProof/>
        </w:rPr>
        <w:t>law enforcement authorities of other Member States</w:t>
      </w:r>
      <w:r w:rsidR="00E1478B">
        <w:rPr>
          <w:noProof/>
        </w:rPr>
        <w:t xml:space="preserve"> relating to such requests, </w:t>
      </w:r>
      <w:r w:rsidR="00E1478B" w:rsidRPr="00F421A8">
        <w:rPr>
          <w:noProof/>
        </w:rPr>
        <w:t>including the information about refusals and the requests for and provision of clarifications referred to in Article 6(2) and (3) respectively</w:t>
      </w:r>
      <w:r w:rsidR="00BB118D">
        <w:rPr>
          <w:noProof/>
        </w:rPr>
        <w:t>;</w:t>
      </w:r>
    </w:p>
    <w:p w14:paraId="0AD63F81" w14:textId="76CED773" w:rsidR="00970879" w:rsidRPr="005E3B12" w:rsidRDefault="00970879" w:rsidP="009D0634">
      <w:pPr>
        <w:ind w:left="1418" w:hanging="567"/>
        <w:rPr>
          <w:noProof/>
        </w:rPr>
      </w:pPr>
      <w:r>
        <w:rPr>
          <w:noProof/>
        </w:rPr>
        <w:t>(b)</w:t>
      </w:r>
      <w:r w:rsidRPr="00970879">
        <w:rPr>
          <w:noProof/>
        </w:rPr>
        <w:t xml:space="preserve"> </w:t>
      </w:r>
      <w:r>
        <w:rPr>
          <w:noProof/>
        </w:rPr>
        <w:tab/>
      </w:r>
      <w:r w:rsidRPr="005E3B12">
        <w:rPr>
          <w:noProof/>
        </w:rPr>
        <w:t>recording communications between the Single Point of Contact and national law enforcement authorities, pursuant to Article 1</w:t>
      </w:r>
      <w:r>
        <w:rPr>
          <w:noProof/>
        </w:rPr>
        <w:t xml:space="preserve">5(2), point </w:t>
      </w:r>
      <w:r w:rsidRPr="005E3B12">
        <w:rPr>
          <w:noProof/>
        </w:rPr>
        <w:t>(b)</w:t>
      </w:r>
      <w:r>
        <w:rPr>
          <w:noProof/>
        </w:rPr>
        <w:t>;</w:t>
      </w:r>
    </w:p>
    <w:p w14:paraId="62B10223" w14:textId="54D8B1F9" w:rsidR="00A43B47" w:rsidRPr="005E3B12" w:rsidRDefault="00970879" w:rsidP="009D0634">
      <w:pPr>
        <w:ind w:left="1418" w:hanging="567"/>
        <w:rPr>
          <w:noProof/>
        </w:rPr>
      </w:pPr>
      <w:r>
        <w:rPr>
          <w:noProof/>
        </w:rPr>
        <w:t>(c)</w:t>
      </w:r>
      <w:r w:rsidR="00F053BB" w:rsidRPr="005E3B12" w:rsidDel="00EA48EC">
        <w:rPr>
          <w:noProof/>
        </w:rPr>
        <w:t xml:space="preserve"> </w:t>
      </w:r>
      <w:r>
        <w:rPr>
          <w:noProof/>
        </w:rPr>
        <w:tab/>
      </w:r>
      <w:r w:rsidRPr="005E3B12">
        <w:rPr>
          <w:noProof/>
        </w:rPr>
        <w:t>recording provisions of information to the Single Point of Contact and, where applicable, to the law enforcement authorities of other Member States in accordance with Article</w:t>
      </w:r>
      <w:r>
        <w:rPr>
          <w:noProof/>
        </w:rPr>
        <w:t>s</w:t>
      </w:r>
      <w:r w:rsidRPr="005E3B12">
        <w:rPr>
          <w:noProof/>
        </w:rPr>
        <w:t xml:space="preserve"> </w:t>
      </w:r>
      <w:r w:rsidRPr="001B155D">
        <w:rPr>
          <w:noProof/>
        </w:rPr>
        <w:t>5, 7 and 8</w:t>
      </w:r>
      <w:r>
        <w:rPr>
          <w:noProof/>
        </w:rPr>
        <w:t>;</w:t>
      </w:r>
    </w:p>
    <w:p w14:paraId="7A717943" w14:textId="1554FC2F" w:rsidR="00D572E7" w:rsidRPr="005E3B12" w:rsidRDefault="00970879" w:rsidP="009D0634">
      <w:pPr>
        <w:ind w:left="1418" w:hanging="567"/>
        <w:rPr>
          <w:noProof/>
        </w:rPr>
      </w:pPr>
      <w:r>
        <w:rPr>
          <w:noProof/>
        </w:rPr>
        <w:t xml:space="preserve">(d) </w:t>
      </w:r>
      <w:r w:rsidR="009A4D97" w:rsidRPr="001B155D">
        <w:rPr>
          <w:noProof/>
        </w:rPr>
        <w:t xml:space="preserve"> </w:t>
      </w:r>
      <w:r>
        <w:rPr>
          <w:noProof/>
        </w:rPr>
        <w:tab/>
      </w:r>
      <w:r w:rsidRPr="005E3B12">
        <w:rPr>
          <w:noProof/>
        </w:rPr>
        <w:t xml:space="preserve">cross-checking incoming requests for information </w:t>
      </w:r>
      <w:r w:rsidRPr="001B155D">
        <w:rPr>
          <w:noProof/>
        </w:rPr>
        <w:t>referred to in Articles 5 and 8,</w:t>
      </w:r>
      <w:r w:rsidRPr="009A4D97">
        <w:rPr>
          <w:noProof/>
        </w:rPr>
        <w:t xml:space="preserve"> </w:t>
      </w:r>
      <w:r w:rsidRPr="005E3B12">
        <w:rPr>
          <w:noProof/>
        </w:rPr>
        <w:t xml:space="preserve">against information available to the Single Point of Contact, including information provided in accordance with </w:t>
      </w:r>
      <w:r>
        <w:rPr>
          <w:noProof/>
        </w:rPr>
        <w:t xml:space="preserve">the second subparagraph of </w:t>
      </w:r>
      <w:r w:rsidRPr="00633BAD">
        <w:rPr>
          <w:noProof/>
        </w:rPr>
        <w:t>Article 5(</w:t>
      </w:r>
      <w:r w:rsidRPr="00AA5B56">
        <w:rPr>
          <w:noProof/>
        </w:rPr>
        <w:t>3</w:t>
      </w:r>
      <w:r w:rsidRPr="00633BAD">
        <w:rPr>
          <w:noProof/>
        </w:rPr>
        <w:t>)</w:t>
      </w:r>
      <w:r>
        <w:rPr>
          <w:noProof/>
        </w:rPr>
        <w:t xml:space="preserve"> </w:t>
      </w:r>
      <w:r w:rsidRPr="001B155D">
        <w:rPr>
          <w:noProof/>
        </w:rPr>
        <w:t xml:space="preserve">and the second subparagraph of Article 7(2) </w:t>
      </w:r>
      <w:r w:rsidRPr="005E3B12">
        <w:rPr>
          <w:noProof/>
        </w:rPr>
        <w:t xml:space="preserve">and </w:t>
      </w:r>
      <w:r w:rsidRPr="0085065A">
        <w:rPr>
          <w:noProof/>
        </w:rPr>
        <w:t>other</w:t>
      </w:r>
      <w:r>
        <w:rPr>
          <w:noProof/>
        </w:rPr>
        <w:t xml:space="preserve"> relevant information </w:t>
      </w:r>
      <w:r w:rsidRPr="001B155D">
        <w:rPr>
          <w:noProof/>
        </w:rPr>
        <w:t>recorded in the Case Management System</w:t>
      </w:r>
      <w:r>
        <w:rPr>
          <w:noProof/>
        </w:rPr>
        <w:t>;</w:t>
      </w:r>
      <w:r w:rsidR="004A2E61" w:rsidRPr="005E3B12">
        <w:rPr>
          <w:noProof/>
        </w:rPr>
        <w:t xml:space="preserve"> </w:t>
      </w:r>
    </w:p>
    <w:p w14:paraId="6E46065C" w14:textId="06D79EAD" w:rsidR="00D572E7" w:rsidRPr="005E3B12" w:rsidRDefault="002E4C52" w:rsidP="002E4C52">
      <w:pPr>
        <w:pStyle w:val="Point1"/>
        <w:rPr>
          <w:noProof/>
        </w:rPr>
      </w:pPr>
      <w:r w:rsidRPr="002E4C52">
        <w:t>(e)</w:t>
      </w:r>
      <w:r w:rsidRPr="002E4C52">
        <w:tab/>
      </w:r>
      <w:r w:rsidR="00D572E7" w:rsidRPr="005E3B12">
        <w:rPr>
          <w:noProof/>
        </w:rPr>
        <w:t xml:space="preserve">ensuring </w:t>
      </w:r>
      <w:r w:rsidR="00C2159B" w:rsidRPr="005E3B12">
        <w:rPr>
          <w:noProof/>
        </w:rPr>
        <w:t xml:space="preserve">adequate and rapid </w:t>
      </w:r>
      <w:r w:rsidR="00D572E7" w:rsidRPr="005E3B12">
        <w:rPr>
          <w:noProof/>
        </w:rPr>
        <w:t xml:space="preserve">follow-up to incoming requests </w:t>
      </w:r>
      <w:r w:rsidR="00C2159B" w:rsidRPr="005E3B12">
        <w:rPr>
          <w:noProof/>
        </w:rPr>
        <w:t>for information</w:t>
      </w:r>
      <w:r w:rsidR="00633BAD">
        <w:rPr>
          <w:noProof/>
        </w:rPr>
        <w:t xml:space="preserve"> referred to in Article 4</w:t>
      </w:r>
      <w:r w:rsidR="00C2159B" w:rsidRPr="005E3B12">
        <w:rPr>
          <w:noProof/>
        </w:rPr>
        <w:t>, in particular with a view to</w:t>
      </w:r>
      <w:r w:rsidR="00D572E7" w:rsidRPr="005E3B12">
        <w:rPr>
          <w:noProof/>
        </w:rPr>
        <w:t xml:space="preserve"> respect</w:t>
      </w:r>
      <w:r w:rsidR="00C2159B" w:rsidRPr="005E3B12">
        <w:rPr>
          <w:noProof/>
        </w:rPr>
        <w:t>ing</w:t>
      </w:r>
      <w:r w:rsidR="00D572E7" w:rsidRPr="005E3B12">
        <w:rPr>
          <w:noProof/>
        </w:rPr>
        <w:t xml:space="preserve"> </w:t>
      </w:r>
      <w:r w:rsidR="00C2159B" w:rsidRPr="005E3B12">
        <w:rPr>
          <w:noProof/>
        </w:rPr>
        <w:t>the</w:t>
      </w:r>
      <w:r w:rsidR="00D572E7" w:rsidRPr="005E3B12">
        <w:rPr>
          <w:noProof/>
        </w:rPr>
        <w:t xml:space="preserve"> </w:t>
      </w:r>
      <w:r w:rsidR="00D649FC" w:rsidRPr="005E3B12">
        <w:rPr>
          <w:noProof/>
        </w:rPr>
        <w:t xml:space="preserve">time limits </w:t>
      </w:r>
      <w:r w:rsidR="00633BAD">
        <w:rPr>
          <w:noProof/>
        </w:rPr>
        <w:t xml:space="preserve">for the provision of the requested information </w:t>
      </w:r>
      <w:r w:rsidR="00D649FC" w:rsidRPr="005E3B12">
        <w:rPr>
          <w:noProof/>
        </w:rPr>
        <w:t xml:space="preserve">set out in </w:t>
      </w:r>
      <w:r w:rsidR="00255D4C" w:rsidRPr="005E3B12">
        <w:rPr>
          <w:noProof/>
        </w:rPr>
        <w:t>A</w:t>
      </w:r>
      <w:r w:rsidR="00D649FC" w:rsidRPr="005E3B12">
        <w:rPr>
          <w:noProof/>
        </w:rPr>
        <w:t>rticle 5</w:t>
      </w:r>
      <w:r w:rsidR="00D572E7" w:rsidRPr="005E3B12">
        <w:rPr>
          <w:noProof/>
        </w:rPr>
        <w:t>;</w:t>
      </w:r>
    </w:p>
    <w:p w14:paraId="0FBE2822" w14:textId="201CAAF8" w:rsidR="00E551E0" w:rsidRPr="00C73E72" w:rsidRDefault="002E4C52" w:rsidP="002E4C52">
      <w:pPr>
        <w:pStyle w:val="Point1"/>
        <w:rPr>
          <w:noProof/>
        </w:rPr>
      </w:pPr>
      <w:r w:rsidRPr="002E4C52">
        <w:t>(f)</w:t>
      </w:r>
      <w:r w:rsidRPr="002E4C52">
        <w:tab/>
      </w:r>
      <w:r w:rsidR="00F421A8" w:rsidRPr="00A029CA">
        <w:rPr>
          <w:noProof/>
        </w:rPr>
        <w:t>be interoperable with SIENA, ensuring in particular that incoming communications through SIENA can be directly recorded in, and that outgoing communications through SIENA can be directly sent from, the Case Management System</w:t>
      </w:r>
      <w:r w:rsidR="00E551E0" w:rsidRPr="00C73E72">
        <w:rPr>
          <w:noProof/>
        </w:rPr>
        <w:t>;</w:t>
      </w:r>
    </w:p>
    <w:p w14:paraId="0F6EDD8D" w14:textId="7FB00E2C" w:rsidR="00D572E7" w:rsidRPr="005E3B12" w:rsidRDefault="002E4C52" w:rsidP="002E4C52">
      <w:pPr>
        <w:pStyle w:val="Point1"/>
        <w:rPr>
          <w:noProof/>
        </w:rPr>
      </w:pPr>
      <w:r w:rsidRPr="002E4C52">
        <w:t>(g)</w:t>
      </w:r>
      <w:r w:rsidRPr="002E4C52">
        <w:tab/>
      </w:r>
      <w:r w:rsidR="00D572E7" w:rsidRPr="005E3B12">
        <w:rPr>
          <w:noProof/>
        </w:rPr>
        <w:t>generating statistics</w:t>
      </w:r>
      <w:r w:rsidR="00297D9B">
        <w:rPr>
          <w:noProof/>
        </w:rPr>
        <w:t xml:space="preserve"> in respect of exchanges of information under this Directive</w:t>
      </w:r>
      <w:r w:rsidR="00D572E7" w:rsidRPr="005E3B12">
        <w:rPr>
          <w:noProof/>
        </w:rPr>
        <w:t xml:space="preserve"> for evaluation and monitoring purposes</w:t>
      </w:r>
      <w:r w:rsidR="00C2159B" w:rsidRPr="005E3B12">
        <w:rPr>
          <w:noProof/>
        </w:rPr>
        <w:t xml:space="preserve">, in particular </w:t>
      </w:r>
      <w:r w:rsidR="00F053BB" w:rsidRPr="005E3B12">
        <w:rPr>
          <w:noProof/>
        </w:rPr>
        <w:t xml:space="preserve">for the purpose of </w:t>
      </w:r>
      <w:r w:rsidR="00C2159B" w:rsidRPr="005E3B12">
        <w:rPr>
          <w:noProof/>
        </w:rPr>
        <w:t>Article 1</w:t>
      </w:r>
      <w:r w:rsidR="00A44354" w:rsidRPr="0085065A">
        <w:rPr>
          <w:noProof/>
        </w:rPr>
        <w:t>7</w:t>
      </w:r>
      <w:r w:rsidR="008717BA" w:rsidRPr="0085065A">
        <w:rPr>
          <w:noProof/>
        </w:rPr>
        <w:t>;</w:t>
      </w:r>
    </w:p>
    <w:p w14:paraId="17ADA1DF" w14:textId="26C571EB" w:rsidR="0030522E" w:rsidRPr="005E3B12" w:rsidRDefault="002E4C52" w:rsidP="002E4C52">
      <w:pPr>
        <w:pStyle w:val="Point1"/>
        <w:rPr>
          <w:noProof/>
        </w:rPr>
      </w:pPr>
      <w:r w:rsidRPr="002E4C52">
        <w:t>(h)</w:t>
      </w:r>
      <w:r w:rsidRPr="002E4C52">
        <w:tab/>
      </w:r>
      <w:r w:rsidR="00EB3BB0" w:rsidRPr="005E3B12">
        <w:rPr>
          <w:noProof/>
        </w:rPr>
        <w:t>logging</w:t>
      </w:r>
      <w:r w:rsidR="00C2159B" w:rsidRPr="005E3B12">
        <w:rPr>
          <w:noProof/>
        </w:rPr>
        <w:t xml:space="preserve"> </w:t>
      </w:r>
      <w:r w:rsidR="0088083A">
        <w:rPr>
          <w:noProof/>
        </w:rPr>
        <w:t>of access and of</w:t>
      </w:r>
      <w:r w:rsidR="00A44354">
        <w:rPr>
          <w:noProof/>
        </w:rPr>
        <w:t xml:space="preserve"> </w:t>
      </w:r>
      <w:r w:rsidR="00A44354" w:rsidRPr="0085065A">
        <w:rPr>
          <w:noProof/>
        </w:rPr>
        <w:t>other</w:t>
      </w:r>
      <w:r w:rsidR="0088083A">
        <w:rPr>
          <w:noProof/>
        </w:rPr>
        <w:t xml:space="preserve"> </w:t>
      </w:r>
      <w:r w:rsidR="00125964" w:rsidRPr="005E3B12">
        <w:rPr>
          <w:noProof/>
        </w:rPr>
        <w:t>processing activities</w:t>
      </w:r>
      <w:r w:rsidR="00C2159B" w:rsidRPr="005E3B12">
        <w:rPr>
          <w:noProof/>
        </w:rPr>
        <w:t xml:space="preserve"> </w:t>
      </w:r>
      <w:r w:rsidR="00F63477" w:rsidRPr="005E3B12">
        <w:rPr>
          <w:noProof/>
        </w:rPr>
        <w:t>in relation to the information</w:t>
      </w:r>
      <w:r w:rsidR="00297D9B">
        <w:rPr>
          <w:noProof/>
        </w:rPr>
        <w:t xml:space="preserve"> </w:t>
      </w:r>
      <w:r w:rsidR="00297D9B" w:rsidRPr="0088083A">
        <w:rPr>
          <w:noProof/>
        </w:rPr>
        <w:t>contained in the Case Management</w:t>
      </w:r>
      <w:r w:rsidR="00297D9B" w:rsidRPr="00DE7187">
        <w:rPr>
          <w:noProof/>
        </w:rPr>
        <w:t xml:space="preserve"> System</w:t>
      </w:r>
      <w:r w:rsidR="00511844" w:rsidRPr="0085065A">
        <w:rPr>
          <w:noProof/>
        </w:rPr>
        <w:t>,</w:t>
      </w:r>
      <w:r w:rsidR="00297D9B" w:rsidRPr="00DE7187">
        <w:rPr>
          <w:noProof/>
        </w:rPr>
        <w:t xml:space="preserve"> </w:t>
      </w:r>
      <w:r w:rsidR="00D572E7" w:rsidRPr="005E3B12">
        <w:rPr>
          <w:noProof/>
        </w:rPr>
        <w:t xml:space="preserve">for </w:t>
      </w:r>
      <w:r w:rsidR="00EE45DE" w:rsidRPr="005E3B12">
        <w:rPr>
          <w:noProof/>
        </w:rPr>
        <w:t>accountability</w:t>
      </w:r>
      <w:r w:rsidR="0088083A">
        <w:rPr>
          <w:noProof/>
        </w:rPr>
        <w:t xml:space="preserve"> and cybersecurity</w:t>
      </w:r>
      <w:r w:rsidR="00D572E7" w:rsidRPr="005E3B12">
        <w:rPr>
          <w:noProof/>
        </w:rPr>
        <w:t xml:space="preserve"> purposes</w:t>
      </w:r>
      <w:r w:rsidR="0030522E" w:rsidRPr="005E3B12">
        <w:rPr>
          <w:noProof/>
        </w:rPr>
        <w:t>.</w:t>
      </w:r>
    </w:p>
    <w:p w14:paraId="66FB8AE9" w14:textId="608A1D6E" w:rsidR="007A0B4D" w:rsidRDefault="006457D1" w:rsidP="009D0634">
      <w:pPr>
        <w:ind w:left="851" w:hanging="851"/>
        <w:rPr>
          <w:noProof/>
        </w:rPr>
      </w:pPr>
      <w:r>
        <w:rPr>
          <w:noProof/>
        </w:rPr>
        <w:t xml:space="preserve">2. </w:t>
      </w:r>
      <w:r>
        <w:rPr>
          <w:noProof/>
        </w:rPr>
        <w:tab/>
      </w:r>
      <w:r w:rsidR="00E1478B">
        <w:rPr>
          <w:noProof/>
        </w:rPr>
        <w:t>Member States shall take the necessary measures</w:t>
      </w:r>
      <w:r w:rsidR="00E1478B" w:rsidRPr="007A0B4D">
        <w:rPr>
          <w:noProof/>
        </w:rPr>
        <w:t xml:space="preserve"> </w:t>
      </w:r>
      <w:r w:rsidR="00E1478B" w:rsidRPr="005E3B12">
        <w:rPr>
          <w:noProof/>
        </w:rPr>
        <w:t>t</w:t>
      </w:r>
      <w:r w:rsidR="00E1478B">
        <w:rPr>
          <w:noProof/>
        </w:rPr>
        <w:t xml:space="preserve">o ensure that </w:t>
      </w:r>
      <w:r w:rsidR="00E1478B" w:rsidRPr="005E3B12">
        <w:rPr>
          <w:noProof/>
        </w:rPr>
        <w:t>all cybersecurity risks</w:t>
      </w:r>
      <w:r w:rsidR="00E1478B">
        <w:rPr>
          <w:noProof/>
        </w:rPr>
        <w:t xml:space="preserve"> relating to the Case Management System, in particular as regards its </w:t>
      </w:r>
      <w:r w:rsidR="00E1478B" w:rsidRPr="009E13B3">
        <w:rPr>
          <w:noProof/>
        </w:rPr>
        <w:t>architecture</w:t>
      </w:r>
      <w:r w:rsidR="00E1478B">
        <w:rPr>
          <w:noProof/>
        </w:rPr>
        <w:t xml:space="preserve">, </w:t>
      </w:r>
      <w:r w:rsidR="00E1478B" w:rsidRPr="005E3B12">
        <w:rPr>
          <w:noProof/>
        </w:rPr>
        <w:t>governance and control</w:t>
      </w:r>
      <w:r w:rsidR="00E1478B">
        <w:rPr>
          <w:noProof/>
        </w:rPr>
        <w:t>,</w:t>
      </w:r>
      <w:r w:rsidR="00E1478B" w:rsidRPr="005E3B12">
        <w:rPr>
          <w:noProof/>
        </w:rPr>
        <w:t xml:space="preserve"> </w:t>
      </w:r>
      <w:r w:rsidR="00E1478B">
        <w:rPr>
          <w:noProof/>
        </w:rPr>
        <w:t>are managed and addressed in a prudent and</w:t>
      </w:r>
      <w:r w:rsidR="00E1478B" w:rsidRPr="005E3B12">
        <w:rPr>
          <w:noProof/>
        </w:rPr>
        <w:t xml:space="preserve"> effective </w:t>
      </w:r>
      <w:r w:rsidR="00E1478B">
        <w:rPr>
          <w:noProof/>
        </w:rPr>
        <w:t>manner</w:t>
      </w:r>
      <w:r w:rsidR="00E1478B" w:rsidRPr="005E3B12">
        <w:rPr>
          <w:noProof/>
        </w:rPr>
        <w:t xml:space="preserve"> </w:t>
      </w:r>
      <w:r w:rsidR="00E1478B" w:rsidRPr="009E13B3">
        <w:rPr>
          <w:noProof/>
        </w:rPr>
        <w:t>and that adequate safeguards against</w:t>
      </w:r>
      <w:r w:rsidR="00E1478B" w:rsidRPr="00C73E72">
        <w:rPr>
          <w:noProof/>
        </w:rPr>
        <w:t xml:space="preserve"> unauthorised access and</w:t>
      </w:r>
      <w:r w:rsidR="00E1478B" w:rsidRPr="009E13B3">
        <w:rPr>
          <w:noProof/>
        </w:rPr>
        <w:t xml:space="preserve"> abuse are provided for</w:t>
      </w:r>
      <w:r w:rsidR="009E13B3">
        <w:rPr>
          <w:noProof/>
        </w:rPr>
        <w:t>.</w:t>
      </w:r>
      <w:r w:rsidR="007A0B4D">
        <w:rPr>
          <w:noProof/>
        </w:rPr>
        <w:t xml:space="preserve">  </w:t>
      </w:r>
    </w:p>
    <w:p w14:paraId="5971076B" w14:textId="36BE2AF9" w:rsidR="00D572E7" w:rsidRPr="00AC4331" w:rsidRDefault="006457D1" w:rsidP="009D0634">
      <w:pPr>
        <w:ind w:left="851" w:hanging="851"/>
        <w:rPr>
          <w:noProof/>
        </w:rPr>
      </w:pPr>
      <w:r>
        <w:rPr>
          <w:noProof/>
        </w:rPr>
        <w:t xml:space="preserve">3. </w:t>
      </w:r>
      <w:r>
        <w:rPr>
          <w:noProof/>
        </w:rPr>
        <w:tab/>
      </w:r>
      <w:r w:rsidR="00D572E7" w:rsidRPr="000533EE">
        <w:rPr>
          <w:noProof/>
        </w:rPr>
        <w:t xml:space="preserve">Member States shall ensure that </w:t>
      </w:r>
      <w:r w:rsidR="00C23B5E">
        <w:rPr>
          <w:noProof/>
        </w:rPr>
        <w:t xml:space="preserve">any </w:t>
      </w:r>
      <w:r w:rsidR="00D572E7" w:rsidRPr="00052B85">
        <w:rPr>
          <w:noProof/>
        </w:rPr>
        <w:t>personal data</w:t>
      </w:r>
      <w:r w:rsidR="00D572E7" w:rsidRPr="000533EE">
        <w:rPr>
          <w:noProof/>
        </w:rPr>
        <w:t xml:space="preserve"> processed by the</w:t>
      </w:r>
      <w:r w:rsidR="00C23B5E">
        <w:rPr>
          <w:noProof/>
        </w:rPr>
        <w:t>ir</w:t>
      </w:r>
      <w:r w:rsidR="00D572E7" w:rsidRPr="000533EE">
        <w:rPr>
          <w:noProof/>
        </w:rPr>
        <w:t xml:space="preserve"> Single Point of Contact </w:t>
      </w:r>
      <w:r w:rsidR="00BB118D">
        <w:rPr>
          <w:noProof/>
        </w:rPr>
        <w:t>are</w:t>
      </w:r>
      <w:r w:rsidR="00D572E7" w:rsidRPr="000533EE">
        <w:rPr>
          <w:noProof/>
        </w:rPr>
        <w:t xml:space="preserve"> </w:t>
      </w:r>
      <w:r w:rsidR="00C2159B">
        <w:rPr>
          <w:noProof/>
        </w:rPr>
        <w:t>contained</w:t>
      </w:r>
      <w:r w:rsidR="00C2159B" w:rsidRPr="000533EE">
        <w:rPr>
          <w:noProof/>
        </w:rPr>
        <w:t xml:space="preserve"> </w:t>
      </w:r>
      <w:r w:rsidR="00D572E7" w:rsidRPr="000533EE">
        <w:rPr>
          <w:noProof/>
        </w:rPr>
        <w:t>in the Case Management System only for as long as is necessary and proportionate for the purposes for which the</w:t>
      </w:r>
      <w:r w:rsidR="007A0B4D">
        <w:rPr>
          <w:noProof/>
        </w:rPr>
        <w:t xml:space="preserve"> personal</w:t>
      </w:r>
      <w:r w:rsidR="00D572E7" w:rsidRPr="000533EE">
        <w:rPr>
          <w:noProof/>
        </w:rPr>
        <w:t xml:space="preserve"> data are processed</w:t>
      </w:r>
      <w:r w:rsidR="00E1478B">
        <w:rPr>
          <w:noProof/>
        </w:rPr>
        <w:t xml:space="preserve"> </w:t>
      </w:r>
      <w:r w:rsidR="00E1478B" w:rsidRPr="009E13B3">
        <w:rPr>
          <w:noProof/>
        </w:rPr>
        <w:t>and are subsequently irrevocably deleted</w:t>
      </w:r>
      <w:r w:rsidR="00D572E7" w:rsidRPr="00AC4331">
        <w:rPr>
          <w:noProof/>
        </w:rPr>
        <w:t>.</w:t>
      </w:r>
      <w:r w:rsidR="007A0B4D">
        <w:rPr>
          <w:noProof/>
        </w:rPr>
        <w:t xml:space="preserve"> </w:t>
      </w:r>
      <w:r w:rsidR="00D572E7" w:rsidRPr="00AC4331">
        <w:rPr>
          <w:noProof/>
        </w:rPr>
        <w:t xml:space="preserve"> </w:t>
      </w:r>
    </w:p>
    <w:p w14:paraId="75556584" w14:textId="30577426" w:rsidR="007A702B" w:rsidRPr="00414504" w:rsidRDefault="007A702B" w:rsidP="00414504">
      <w:pPr>
        <w:pStyle w:val="ChapterTitle"/>
        <w:spacing w:before="360"/>
        <w:rPr>
          <w:noProof/>
          <w:sz w:val="24"/>
        </w:rPr>
      </w:pPr>
      <w:r w:rsidRPr="00414504">
        <w:rPr>
          <w:noProof/>
          <w:sz w:val="24"/>
        </w:rPr>
        <w:t>Chapter V</w:t>
      </w:r>
      <w:r w:rsidR="008A55B7" w:rsidRPr="00414504">
        <w:rPr>
          <w:noProof/>
          <w:sz w:val="24"/>
        </w:rPr>
        <w:t>I</w:t>
      </w:r>
    </w:p>
    <w:p w14:paraId="68245C9B" w14:textId="77777777" w:rsidR="007A702B" w:rsidRPr="00414504" w:rsidRDefault="007A702B" w:rsidP="00E56DD6">
      <w:pPr>
        <w:pStyle w:val="ChapterTitle"/>
        <w:rPr>
          <w:noProof/>
          <w:sz w:val="24"/>
        </w:rPr>
      </w:pPr>
      <w:r w:rsidRPr="00414504">
        <w:rPr>
          <w:noProof/>
          <w:sz w:val="24"/>
        </w:rPr>
        <w:t>Final provisions</w:t>
      </w:r>
    </w:p>
    <w:p w14:paraId="560196A0" w14:textId="6DF49161" w:rsidR="007A702B" w:rsidRPr="001A034D" w:rsidRDefault="007A702B" w:rsidP="00414504">
      <w:pPr>
        <w:pStyle w:val="Titrearticle"/>
        <w:spacing w:after="0"/>
        <w:rPr>
          <w:noProof/>
        </w:rPr>
      </w:pPr>
      <w:r w:rsidRPr="001A034D">
        <w:rPr>
          <w:noProof/>
        </w:rPr>
        <w:t>Article 1</w:t>
      </w:r>
      <w:r w:rsidR="00511844" w:rsidRPr="004271D5">
        <w:rPr>
          <w:noProof/>
        </w:rPr>
        <w:t>7</w:t>
      </w:r>
    </w:p>
    <w:p w14:paraId="15FC5CAF" w14:textId="3FCD9812" w:rsidR="007A702B" w:rsidRDefault="007A702B" w:rsidP="007A702B">
      <w:pPr>
        <w:spacing w:before="0"/>
        <w:jc w:val="center"/>
        <w:rPr>
          <w:b/>
          <w:i/>
          <w:noProof/>
        </w:rPr>
      </w:pPr>
      <w:r>
        <w:rPr>
          <w:b/>
          <w:i/>
          <w:noProof/>
        </w:rPr>
        <w:t>S</w:t>
      </w:r>
      <w:r w:rsidRPr="001A034D">
        <w:rPr>
          <w:b/>
          <w:i/>
          <w:noProof/>
        </w:rPr>
        <w:t>tatistic</w:t>
      </w:r>
      <w:r>
        <w:rPr>
          <w:b/>
          <w:i/>
          <w:noProof/>
        </w:rPr>
        <w:t>s</w:t>
      </w:r>
    </w:p>
    <w:p w14:paraId="0D7C4FEA" w14:textId="231845B7" w:rsidR="007A702B" w:rsidRDefault="001D312C" w:rsidP="009D0634">
      <w:pPr>
        <w:ind w:left="851" w:hanging="851"/>
        <w:rPr>
          <w:noProof/>
          <w:shd w:val="clear" w:color="auto" w:fill="FFFFFF"/>
        </w:rPr>
      </w:pPr>
      <w:r>
        <w:rPr>
          <w:noProof/>
          <w:shd w:val="clear" w:color="auto" w:fill="FFFFFF"/>
        </w:rPr>
        <w:t xml:space="preserve">1. </w:t>
      </w:r>
      <w:r w:rsidR="006457D1">
        <w:rPr>
          <w:noProof/>
          <w:shd w:val="clear" w:color="auto" w:fill="FFFFFF"/>
        </w:rPr>
        <w:tab/>
      </w:r>
      <w:r w:rsidR="00A82A10" w:rsidRPr="00D35DBC">
        <w:rPr>
          <w:noProof/>
          <w:shd w:val="clear" w:color="auto" w:fill="FFFFFF"/>
        </w:rPr>
        <w:t>Member States shall provide the Commission with statistics on the exchanges of information with other Member States under this Directive, by 1 March of</w:t>
      </w:r>
      <w:r w:rsidR="00A82A10" w:rsidRPr="00D35DBC" w:rsidDel="00423D53">
        <w:rPr>
          <w:noProof/>
          <w:shd w:val="clear" w:color="auto" w:fill="FFFFFF"/>
        </w:rPr>
        <w:t xml:space="preserve"> </w:t>
      </w:r>
      <w:r w:rsidR="00A82A10" w:rsidRPr="00D35DBC">
        <w:rPr>
          <w:noProof/>
          <w:shd w:val="clear" w:color="auto" w:fill="FFFFFF"/>
        </w:rPr>
        <w:t>each year.</w:t>
      </w:r>
    </w:p>
    <w:p w14:paraId="2F6C3B4E" w14:textId="66E4390C" w:rsidR="006457D1" w:rsidRPr="00AA5B56" w:rsidRDefault="006457D1" w:rsidP="00514A9C">
      <w:pPr>
        <w:rPr>
          <w:noProof/>
        </w:rPr>
      </w:pPr>
      <w:r>
        <w:rPr>
          <w:noProof/>
        </w:rPr>
        <w:t xml:space="preserve">2. </w:t>
      </w:r>
      <w:r>
        <w:rPr>
          <w:noProof/>
        </w:rPr>
        <w:tab/>
      </w:r>
      <w:r w:rsidRPr="00323FA4">
        <w:rPr>
          <w:noProof/>
        </w:rPr>
        <w:t>The statistic</w:t>
      </w:r>
      <w:r>
        <w:rPr>
          <w:noProof/>
        </w:rPr>
        <w:t>s</w:t>
      </w:r>
      <w:r w:rsidRPr="00323FA4">
        <w:rPr>
          <w:noProof/>
        </w:rPr>
        <w:t xml:space="preserve"> shall cover, as a minimum</w:t>
      </w:r>
      <w:r>
        <w:rPr>
          <w:noProof/>
        </w:rPr>
        <w:t>:</w:t>
      </w:r>
    </w:p>
    <w:p w14:paraId="69988736" w14:textId="6B1F7BE3" w:rsidR="00C23B5E" w:rsidRDefault="006457D1" w:rsidP="009D0634">
      <w:pPr>
        <w:ind w:left="1418" w:hanging="567"/>
        <w:rPr>
          <w:noProof/>
          <w:shd w:val="clear" w:color="auto" w:fill="FFFFFF"/>
        </w:rPr>
      </w:pPr>
      <w:r>
        <w:rPr>
          <w:noProof/>
          <w:shd w:val="clear" w:color="auto" w:fill="FFFFFF"/>
        </w:rPr>
        <w:t xml:space="preserve">(a) </w:t>
      </w:r>
      <w:r>
        <w:rPr>
          <w:noProof/>
          <w:shd w:val="clear" w:color="auto" w:fill="FFFFFF"/>
        </w:rPr>
        <w:tab/>
      </w:r>
      <w:r w:rsidR="007A702B" w:rsidRPr="00E56DD6">
        <w:rPr>
          <w:noProof/>
          <w:shd w:val="clear" w:color="auto" w:fill="FFFFFF"/>
        </w:rPr>
        <w:t>the number of requests for information submitted</w:t>
      </w:r>
      <w:r w:rsidR="00C23B5E" w:rsidRPr="00E56DD6">
        <w:rPr>
          <w:noProof/>
          <w:shd w:val="clear" w:color="auto" w:fill="FFFFFF"/>
        </w:rPr>
        <w:t xml:space="preserve"> by the</w:t>
      </w:r>
      <w:r w:rsidR="00A14E5D" w:rsidRPr="00E56DD6">
        <w:rPr>
          <w:noProof/>
          <w:shd w:val="clear" w:color="auto" w:fill="FFFFFF"/>
        </w:rPr>
        <w:t>ir</w:t>
      </w:r>
      <w:r w:rsidR="00C23B5E" w:rsidRPr="00E56DD6">
        <w:rPr>
          <w:noProof/>
          <w:shd w:val="clear" w:color="auto" w:fill="FFFFFF"/>
        </w:rPr>
        <w:t xml:space="preserve"> Single Point of Contact and by the</w:t>
      </w:r>
      <w:r w:rsidR="00A14E5D" w:rsidRPr="00E56DD6">
        <w:rPr>
          <w:noProof/>
          <w:shd w:val="clear" w:color="auto" w:fill="FFFFFF"/>
        </w:rPr>
        <w:t>ir</w:t>
      </w:r>
      <w:r w:rsidR="00C23B5E" w:rsidRPr="00E56DD6">
        <w:rPr>
          <w:noProof/>
          <w:shd w:val="clear" w:color="auto" w:fill="FFFFFF"/>
        </w:rPr>
        <w:t xml:space="preserve"> law enforcement authorities;</w:t>
      </w:r>
    </w:p>
    <w:p w14:paraId="5E599A6B" w14:textId="100F6A46" w:rsidR="007A702B" w:rsidRPr="00E56DD6" w:rsidRDefault="006457D1" w:rsidP="009D0634">
      <w:pPr>
        <w:ind w:left="1418" w:hanging="567"/>
        <w:rPr>
          <w:noProof/>
          <w:shd w:val="clear" w:color="auto" w:fill="FFFFFF"/>
        </w:rPr>
      </w:pPr>
      <w:r>
        <w:rPr>
          <w:noProof/>
          <w:shd w:val="clear" w:color="auto" w:fill="FFFFFF"/>
        </w:rPr>
        <w:t xml:space="preserve">(b) </w:t>
      </w:r>
      <w:r>
        <w:rPr>
          <w:noProof/>
          <w:shd w:val="clear" w:color="auto" w:fill="FFFFFF"/>
        </w:rPr>
        <w:tab/>
      </w:r>
      <w:r w:rsidR="00C23B5E" w:rsidRPr="00E56DD6">
        <w:rPr>
          <w:noProof/>
          <w:shd w:val="clear" w:color="auto" w:fill="FFFFFF"/>
        </w:rPr>
        <w:t>the number of requests</w:t>
      </w:r>
      <w:r w:rsidR="008460CE" w:rsidRPr="00E56DD6">
        <w:rPr>
          <w:noProof/>
          <w:shd w:val="clear" w:color="auto" w:fill="FFFFFF"/>
        </w:rPr>
        <w:t xml:space="preserve"> for information</w:t>
      </w:r>
      <w:r w:rsidR="007A702B" w:rsidRPr="00E56DD6">
        <w:rPr>
          <w:noProof/>
          <w:shd w:val="clear" w:color="auto" w:fill="FFFFFF"/>
        </w:rPr>
        <w:t xml:space="preserve"> received and replied to</w:t>
      </w:r>
      <w:r w:rsidR="00C23B5E" w:rsidRPr="00E56DD6">
        <w:rPr>
          <w:noProof/>
          <w:shd w:val="clear" w:color="auto" w:fill="FFFFFF"/>
        </w:rPr>
        <w:t xml:space="preserve"> by the Single Point of Contact</w:t>
      </w:r>
      <w:r w:rsidR="008460CE" w:rsidRPr="00E56DD6">
        <w:rPr>
          <w:noProof/>
          <w:shd w:val="clear" w:color="auto" w:fill="FFFFFF"/>
        </w:rPr>
        <w:t xml:space="preserve"> and</w:t>
      </w:r>
      <w:r w:rsidR="00511844" w:rsidRPr="00E56DD6">
        <w:rPr>
          <w:noProof/>
          <w:shd w:val="clear" w:color="auto" w:fill="FFFFFF"/>
        </w:rPr>
        <w:t xml:space="preserve"> </w:t>
      </w:r>
      <w:r w:rsidR="008460CE" w:rsidRPr="00E56DD6">
        <w:rPr>
          <w:noProof/>
          <w:shd w:val="clear" w:color="auto" w:fill="FFFFFF"/>
        </w:rPr>
        <w:t>by their law enforcement authorities</w:t>
      </w:r>
      <w:r w:rsidR="007A702B" w:rsidRPr="00E56DD6">
        <w:rPr>
          <w:noProof/>
          <w:shd w:val="clear" w:color="auto" w:fill="FFFFFF"/>
        </w:rPr>
        <w:t xml:space="preserve">, broken down by urgent and non-urgent, and broken down by the other Member States </w:t>
      </w:r>
      <w:r w:rsidR="00C23B5E" w:rsidRPr="00E56DD6">
        <w:rPr>
          <w:noProof/>
          <w:shd w:val="clear" w:color="auto" w:fill="FFFFFF"/>
        </w:rPr>
        <w:t>receiving the information</w:t>
      </w:r>
      <w:r w:rsidR="007A702B" w:rsidRPr="00E56DD6">
        <w:rPr>
          <w:noProof/>
          <w:shd w:val="clear" w:color="auto" w:fill="FFFFFF"/>
        </w:rPr>
        <w:t>;</w:t>
      </w:r>
      <w:r w:rsidR="00745F53" w:rsidRPr="00E56DD6">
        <w:rPr>
          <w:noProof/>
          <w:highlight w:val="yellow"/>
          <w:shd w:val="clear" w:color="auto" w:fill="FFFFFF"/>
        </w:rPr>
        <w:t xml:space="preserve"> </w:t>
      </w:r>
    </w:p>
    <w:p w14:paraId="2E85E831" w14:textId="7846125F" w:rsidR="007A702B" w:rsidRPr="00E56DD6" w:rsidRDefault="006457D1" w:rsidP="009D0634">
      <w:pPr>
        <w:ind w:left="1418" w:hanging="567"/>
        <w:rPr>
          <w:noProof/>
          <w:shd w:val="clear" w:color="auto" w:fill="FFFFFF"/>
        </w:rPr>
      </w:pPr>
      <w:r>
        <w:rPr>
          <w:noProof/>
          <w:shd w:val="clear" w:color="auto" w:fill="FFFFFF"/>
        </w:rPr>
        <w:t xml:space="preserve">(c) </w:t>
      </w:r>
      <w:r>
        <w:rPr>
          <w:noProof/>
          <w:shd w:val="clear" w:color="auto" w:fill="FFFFFF"/>
        </w:rPr>
        <w:tab/>
      </w:r>
      <w:r w:rsidR="007A702B" w:rsidRPr="00E56DD6">
        <w:rPr>
          <w:noProof/>
          <w:shd w:val="clear" w:color="auto" w:fill="FFFFFF"/>
        </w:rPr>
        <w:t xml:space="preserve">the number of </w:t>
      </w:r>
      <w:r w:rsidR="00C23B5E" w:rsidRPr="00E56DD6">
        <w:rPr>
          <w:noProof/>
          <w:shd w:val="clear" w:color="auto" w:fill="FFFFFF"/>
        </w:rPr>
        <w:t xml:space="preserve">requests for information refused pursuant to Article 6, </w:t>
      </w:r>
      <w:r w:rsidR="007A702B" w:rsidRPr="00E56DD6">
        <w:rPr>
          <w:noProof/>
          <w:shd w:val="clear" w:color="auto" w:fill="FFFFFF"/>
        </w:rPr>
        <w:t xml:space="preserve">broken down </w:t>
      </w:r>
      <w:r w:rsidR="00C23B5E" w:rsidRPr="00E56DD6">
        <w:rPr>
          <w:noProof/>
          <w:shd w:val="clear" w:color="auto" w:fill="FFFFFF"/>
        </w:rPr>
        <w:t xml:space="preserve">per requesting </w:t>
      </w:r>
      <w:r w:rsidR="007A702B" w:rsidRPr="00E56DD6">
        <w:rPr>
          <w:noProof/>
          <w:shd w:val="clear" w:color="auto" w:fill="FFFFFF"/>
        </w:rPr>
        <w:t xml:space="preserve">Member States </w:t>
      </w:r>
      <w:r w:rsidR="00C23B5E" w:rsidRPr="00E56DD6">
        <w:rPr>
          <w:noProof/>
          <w:shd w:val="clear" w:color="auto" w:fill="FFFFFF"/>
        </w:rPr>
        <w:t>and per grounds of refusal</w:t>
      </w:r>
      <w:r w:rsidR="007A702B" w:rsidRPr="00E56DD6">
        <w:rPr>
          <w:noProof/>
          <w:shd w:val="clear" w:color="auto" w:fill="FFFFFF"/>
        </w:rPr>
        <w:t>;</w:t>
      </w:r>
    </w:p>
    <w:p w14:paraId="62297A2A" w14:textId="64B780B0" w:rsidR="007A702B" w:rsidRPr="006457D1" w:rsidRDefault="009D0634" w:rsidP="009D0634">
      <w:pPr>
        <w:ind w:left="1418" w:hanging="567"/>
        <w:rPr>
          <w:noProof/>
          <w:shd w:val="clear" w:color="auto" w:fill="FFFFFF"/>
        </w:rPr>
      </w:pPr>
      <w:r>
        <w:rPr>
          <w:noProof/>
          <w:shd w:val="clear" w:color="auto" w:fill="FFFFFF"/>
        </w:rPr>
        <w:t xml:space="preserve">(d) </w:t>
      </w:r>
      <w:r>
        <w:rPr>
          <w:noProof/>
          <w:shd w:val="clear" w:color="auto" w:fill="FFFFFF"/>
        </w:rPr>
        <w:tab/>
      </w:r>
      <w:r w:rsidR="007A702B" w:rsidRPr="006457D1">
        <w:rPr>
          <w:noProof/>
          <w:shd w:val="clear" w:color="auto" w:fill="FFFFFF"/>
        </w:rPr>
        <w:t xml:space="preserve">the number of cases where </w:t>
      </w:r>
      <w:r w:rsidR="00FC5769" w:rsidRPr="006457D1">
        <w:rPr>
          <w:noProof/>
          <w:shd w:val="clear" w:color="auto" w:fill="FFFFFF"/>
        </w:rPr>
        <w:t xml:space="preserve">the time limits referred to in Article 5(1) were </w:t>
      </w:r>
      <w:r w:rsidR="005D1176" w:rsidRPr="006457D1">
        <w:rPr>
          <w:noProof/>
          <w:shd w:val="clear" w:color="auto" w:fill="FFFFFF"/>
        </w:rPr>
        <w:t>deviated from</w:t>
      </w:r>
      <w:r w:rsidR="00FC5769" w:rsidRPr="006457D1">
        <w:rPr>
          <w:noProof/>
          <w:shd w:val="clear" w:color="auto" w:fill="FFFFFF"/>
        </w:rPr>
        <w:t xml:space="preserve"> </w:t>
      </w:r>
      <w:r w:rsidR="00BB118D" w:rsidRPr="006457D1">
        <w:rPr>
          <w:noProof/>
          <w:shd w:val="clear" w:color="auto" w:fill="FFFFFF"/>
        </w:rPr>
        <w:t>due to having to obtain a judicial authorisation</w:t>
      </w:r>
      <w:r w:rsidR="00FC5769" w:rsidRPr="006457D1">
        <w:rPr>
          <w:noProof/>
          <w:shd w:val="clear" w:color="auto" w:fill="FFFFFF"/>
        </w:rPr>
        <w:t xml:space="preserve"> in accordance with</w:t>
      </w:r>
      <w:r w:rsidR="00BB118D" w:rsidRPr="006457D1">
        <w:rPr>
          <w:noProof/>
          <w:shd w:val="clear" w:color="auto" w:fill="FFFFFF"/>
        </w:rPr>
        <w:t xml:space="preserve"> </w:t>
      </w:r>
      <w:r w:rsidR="007A702B" w:rsidRPr="006457D1">
        <w:rPr>
          <w:noProof/>
          <w:shd w:val="clear" w:color="auto" w:fill="FFFFFF"/>
        </w:rPr>
        <w:t>Article 5(</w:t>
      </w:r>
      <w:r w:rsidR="00423D53" w:rsidRPr="006457D1">
        <w:rPr>
          <w:noProof/>
          <w:shd w:val="clear" w:color="auto" w:fill="FFFFFF"/>
        </w:rPr>
        <w:t>2</w:t>
      </w:r>
      <w:r w:rsidR="007A702B" w:rsidRPr="006457D1">
        <w:rPr>
          <w:noProof/>
          <w:shd w:val="clear" w:color="auto" w:fill="FFFFFF"/>
        </w:rPr>
        <w:t>), broken down by</w:t>
      </w:r>
      <w:r w:rsidR="00F93111" w:rsidRPr="006457D1">
        <w:rPr>
          <w:noProof/>
          <w:shd w:val="clear" w:color="auto" w:fill="FFFFFF"/>
        </w:rPr>
        <w:t xml:space="preserve"> the</w:t>
      </w:r>
      <w:r w:rsidR="007A702B" w:rsidRPr="006457D1">
        <w:rPr>
          <w:noProof/>
          <w:shd w:val="clear" w:color="auto" w:fill="FFFFFF"/>
        </w:rPr>
        <w:t xml:space="preserve"> Member States having submitted the requests</w:t>
      </w:r>
      <w:r w:rsidR="008460CE" w:rsidRPr="006457D1">
        <w:rPr>
          <w:noProof/>
          <w:shd w:val="clear" w:color="auto" w:fill="FFFFFF"/>
        </w:rPr>
        <w:t xml:space="preserve"> for information concerned</w:t>
      </w:r>
      <w:r w:rsidR="007A702B" w:rsidRPr="006457D1">
        <w:rPr>
          <w:noProof/>
          <w:shd w:val="clear" w:color="auto" w:fill="FFFFFF"/>
        </w:rPr>
        <w:t>.</w:t>
      </w:r>
      <w:r w:rsidR="00745F53" w:rsidRPr="006457D1">
        <w:rPr>
          <w:noProof/>
          <w:highlight w:val="yellow"/>
          <w:shd w:val="clear" w:color="auto" w:fill="FFFFFF"/>
        </w:rPr>
        <w:t xml:space="preserve"> </w:t>
      </w:r>
    </w:p>
    <w:p w14:paraId="007C07E1" w14:textId="43BEB7A4" w:rsidR="007A702B" w:rsidRDefault="007A702B" w:rsidP="00414504">
      <w:pPr>
        <w:pStyle w:val="Titrearticle"/>
        <w:spacing w:after="0"/>
        <w:rPr>
          <w:noProof/>
        </w:rPr>
      </w:pPr>
      <w:r w:rsidRPr="009B3CDE">
        <w:rPr>
          <w:noProof/>
        </w:rPr>
        <w:t xml:space="preserve">Article </w:t>
      </w:r>
      <w:r>
        <w:rPr>
          <w:noProof/>
        </w:rPr>
        <w:t>1</w:t>
      </w:r>
      <w:r w:rsidR="009836C8" w:rsidRPr="004271D5">
        <w:rPr>
          <w:noProof/>
        </w:rPr>
        <w:t>8</w:t>
      </w:r>
    </w:p>
    <w:p w14:paraId="3146ED39" w14:textId="77777777" w:rsidR="007A702B" w:rsidRDefault="007A702B" w:rsidP="007A702B">
      <w:pPr>
        <w:spacing w:before="0"/>
        <w:jc w:val="center"/>
        <w:rPr>
          <w:b/>
          <w:i/>
          <w:noProof/>
        </w:rPr>
      </w:pPr>
      <w:r w:rsidRPr="00737179">
        <w:rPr>
          <w:b/>
          <w:i/>
          <w:noProof/>
        </w:rPr>
        <w:t>Reporting</w:t>
      </w:r>
    </w:p>
    <w:p w14:paraId="17AF30C7" w14:textId="1596DF93" w:rsidR="0069258F" w:rsidRPr="00AC4331" w:rsidRDefault="001D312C" w:rsidP="003139D1">
      <w:pPr>
        <w:ind w:left="851" w:hanging="851"/>
        <w:rPr>
          <w:noProof/>
        </w:rPr>
      </w:pPr>
      <w:r>
        <w:rPr>
          <w:noProof/>
        </w:rPr>
        <w:t xml:space="preserve">1. </w:t>
      </w:r>
      <w:r w:rsidR="006457D1">
        <w:rPr>
          <w:noProof/>
        </w:rPr>
        <w:tab/>
      </w:r>
      <w:r w:rsidR="00745F53">
        <w:rPr>
          <w:noProof/>
        </w:rPr>
        <w:t xml:space="preserve">The Commission shall, by </w:t>
      </w:r>
      <w:r w:rsidR="00745F53" w:rsidRPr="003D48D4">
        <w:rPr>
          <w:i/>
          <w:noProof/>
        </w:rPr>
        <w:t>[</w:t>
      </w:r>
      <w:r w:rsidR="004F294E" w:rsidRPr="003D48D4">
        <w:rPr>
          <w:i/>
          <w:noProof/>
        </w:rPr>
        <w:t>date of entry into</w:t>
      </w:r>
      <w:r w:rsidR="00E06463">
        <w:rPr>
          <w:i/>
          <w:noProof/>
        </w:rPr>
        <w:t xml:space="preserve"> force</w:t>
      </w:r>
      <w:r w:rsidR="004F294E" w:rsidRPr="003D48D4">
        <w:rPr>
          <w:i/>
          <w:noProof/>
        </w:rPr>
        <w:t xml:space="preserve"> + </w:t>
      </w:r>
      <w:r w:rsidR="00B812D4" w:rsidRPr="003D48D4">
        <w:rPr>
          <w:i/>
          <w:noProof/>
        </w:rPr>
        <w:t>3</w:t>
      </w:r>
      <w:r w:rsidR="004F294E" w:rsidRPr="003D48D4">
        <w:rPr>
          <w:i/>
          <w:noProof/>
        </w:rPr>
        <w:t xml:space="preserve"> years</w:t>
      </w:r>
      <w:r w:rsidR="00745F53" w:rsidRPr="003D48D4">
        <w:rPr>
          <w:i/>
          <w:noProof/>
        </w:rPr>
        <w:t>]</w:t>
      </w:r>
      <w:r w:rsidR="00745F53" w:rsidRPr="002256FD">
        <w:rPr>
          <w:noProof/>
        </w:rPr>
        <w:t xml:space="preserve">, submit a report to the European Parliament and to the Council, assessing </w:t>
      </w:r>
      <w:r w:rsidR="00AA5B56">
        <w:rPr>
          <w:noProof/>
        </w:rPr>
        <w:t xml:space="preserve">the </w:t>
      </w:r>
      <w:r w:rsidR="00D35815">
        <w:rPr>
          <w:noProof/>
        </w:rPr>
        <w:t xml:space="preserve">implementation of </w:t>
      </w:r>
      <w:r w:rsidR="00745F53" w:rsidRPr="002256FD">
        <w:rPr>
          <w:noProof/>
        </w:rPr>
        <w:t>this Directive</w:t>
      </w:r>
      <w:r w:rsidR="00745F53" w:rsidRPr="00AC4331">
        <w:rPr>
          <w:noProof/>
        </w:rPr>
        <w:t xml:space="preserve">. </w:t>
      </w:r>
    </w:p>
    <w:p w14:paraId="106AE805" w14:textId="578E3ABE" w:rsidR="00745F53" w:rsidRDefault="001D312C" w:rsidP="003139D1">
      <w:pPr>
        <w:ind w:left="851" w:hanging="851"/>
        <w:rPr>
          <w:noProof/>
          <w:lang w:eastAsia="fr-BE"/>
        </w:rPr>
      </w:pPr>
      <w:r>
        <w:rPr>
          <w:noProof/>
        </w:rPr>
        <w:t xml:space="preserve">2. </w:t>
      </w:r>
      <w:r w:rsidR="006457D1">
        <w:rPr>
          <w:noProof/>
        </w:rPr>
        <w:tab/>
      </w:r>
      <w:r w:rsidR="00745F53" w:rsidRPr="002256FD">
        <w:rPr>
          <w:noProof/>
        </w:rPr>
        <w:t xml:space="preserve">The Commission shall, by </w:t>
      </w:r>
      <w:r w:rsidR="00745F53" w:rsidRPr="002256FD">
        <w:rPr>
          <w:i/>
          <w:noProof/>
        </w:rPr>
        <w:t>[</w:t>
      </w:r>
      <w:r w:rsidR="004F294E" w:rsidRPr="002256FD">
        <w:rPr>
          <w:i/>
          <w:noProof/>
        </w:rPr>
        <w:t>date of</w:t>
      </w:r>
      <w:r w:rsidR="00745F53" w:rsidRPr="002256FD" w:rsidDel="004F294E">
        <w:rPr>
          <w:i/>
          <w:noProof/>
        </w:rPr>
        <w:t xml:space="preserve"> </w:t>
      </w:r>
      <w:r w:rsidR="00745F53" w:rsidRPr="002256FD">
        <w:rPr>
          <w:i/>
          <w:noProof/>
        </w:rPr>
        <w:t>entry into force + 5 years],</w:t>
      </w:r>
      <w:r w:rsidR="00745F53">
        <w:rPr>
          <w:noProof/>
        </w:rPr>
        <w:t xml:space="preserve"> submit a report to the European Parliament and to the Council assessing </w:t>
      </w:r>
      <w:r w:rsidR="00AA5B56">
        <w:rPr>
          <w:noProof/>
        </w:rPr>
        <w:t xml:space="preserve">the effectivity and effectiveness </w:t>
      </w:r>
      <w:r w:rsidR="007B46C8">
        <w:rPr>
          <w:noProof/>
        </w:rPr>
        <w:t>of this</w:t>
      </w:r>
      <w:r w:rsidR="00745F53">
        <w:rPr>
          <w:noProof/>
        </w:rPr>
        <w:t xml:space="preserve"> Directive. The Commission shall take into account the information provided by Member States </w:t>
      </w:r>
      <w:r w:rsidR="00745F53">
        <w:rPr>
          <w:noProof/>
          <w:lang w:val="en-US"/>
        </w:rPr>
        <w:t xml:space="preserve">and any other relevant information related to the transposition and implementation of this Directive. On the basis of this evaluation, the Commission shall decide on appropriate follow-up actions, including, if necessary, </w:t>
      </w:r>
      <w:r w:rsidR="00745F53">
        <w:rPr>
          <w:noProof/>
        </w:rPr>
        <w:t>a legislative proposal.</w:t>
      </w:r>
    </w:p>
    <w:p w14:paraId="3633A67E" w14:textId="22666629" w:rsidR="007A702B" w:rsidRDefault="007A702B" w:rsidP="00414504">
      <w:pPr>
        <w:pStyle w:val="Titrearticle"/>
        <w:spacing w:after="0"/>
        <w:rPr>
          <w:noProof/>
        </w:rPr>
      </w:pPr>
      <w:r w:rsidRPr="008D69E9">
        <w:rPr>
          <w:noProof/>
        </w:rPr>
        <w:t xml:space="preserve">Article </w:t>
      </w:r>
      <w:r w:rsidRPr="004271D5">
        <w:rPr>
          <w:noProof/>
        </w:rPr>
        <w:t>1</w:t>
      </w:r>
      <w:r w:rsidR="009836C8" w:rsidRPr="00631A2B">
        <w:rPr>
          <w:noProof/>
        </w:rPr>
        <w:t>9</w:t>
      </w:r>
    </w:p>
    <w:p w14:paraId="37273A4C" w14:textId="5F240ABA" w:rsidR="006E7F14" w:rsidRDefault="006E7F14" w:rsidP="007A702B">
      <w:pPr>
        <w:spacing w:before="0"/>
        <w:jc w:val="center"/>
        <w:rPr>
          <w:b/>
          <w:i/>
          <w:noProof/>
        </w:rPr>
      </w:pPr>
      <w:r w:rsidRPr="006E7F14">
        <w:rPr>
          <w:b/>
          <w:i/>
          <w:iCs/>
          <w:noProof/>
          <w:lang w:val="en-US"/>
        </w:rPr>
        <w:t xml:space="preserve">Amendments to </w:t>
      </w:r>
      <w:r w:rsidRPr="006E7F14">
        <w:rPr>
          <w:b/>
          <w:i/>
          <w:iCs/>
          <w:noProof/>
        </w:rPr>
        <w:t>the Convention Implementing the Schengen Agreement</w:t>
      </w:r>
    </w:p>
    <w:p w14:paraId="4C8C50EC" w14:textId="75484223" w:rsidR="005D1176" w:rsidRPr="00747D4D" w:rsidRDefault="005D1176" w:rsidP="00E56DD6">
      <w:pPr>
        <w:rPr>
          <w:noProof/>
        </w:rPr>
      </w:pPr>
      <w:r w:rsidRPr="00747D4D">
        <w:rPr>
          <w:noProof/>
        </w:rPr>
        <w:t>From [</w:t>
      </w:r>
      <w:r w:rsidRPr="00747D4D">
        <w:rPr>
          <w:i/>
          <w:iCs/>
          <w:noProof/>
        </w:rPr>
        <w:t>the date referred to in Article 21(1), the first subparagraph</w:t>
      </w:r>
      <w:r w:rsidRPr="00747D4D">
        <w:rPr>
          <w:noProof/>
        </w:rPr>
        <w:t>], the Convention Implementing the Schengen Agreement is amended as follows:</w:t>
      </w:r>
    </w:p>
    <w:p w14:paraId="3E095E80" w14:textId="2F448ADE" w:rsidR="005D1176" w:rsidRDefault="00E56DD6" w:rsidP="005D507F">
      <w:pPr>
        <w:pStyle w:val="Point2"/>
        <w:rPr>
          <w:noProof/>
        </w:rPr>
      </w:pPr>
      <w:r>
        <w:rPr>
          <w:noProof/>
        </w:rPr>
        <w:t>(i)</w:t>
      </w:r>
      <w:r w:rsidRPr="00E56DD6">
        <w:rPr>
          <w:noProof/>
        </w:rPr>
        <w:tab/>
      </w:r>
      <w:r w:rsidR="005D1176" w:rsidRPr="00747D4D">
        <w:rPr>
          <w:noProof/>
        </w:rPr>
        <w:t>Article 39 is replaced by this Directive insofar as that article relates to the exchange of information for the purpose referred to in Article 1(1) of this Directive</w:t>
      </w:r>
      <w:r w:rsidR="005134EC" w:rsidRPr="00747D4D">
        <w:rPr>
          <w:noProof/>
        </w:rPr>
        <w:t>;</w:t>
      </w:r>
    </w:p>
    <w:p w14:paraId="68DF604C" w14:textId="570EC359" w:rsidR="00D0328E" w:rsidRPr="00E56DD6" w:rsidRDefault="00E56DD6" w:rsidP="005D507F">
      <w:pPr>
        <w:pStyle w:val="Point2"/>
        <w:rPr>
          <w:i/>
          <w:noProof/>
        </w:rPr>
      </w:pPr>
      <w:r>
        <w:rPr>
          <w:noProof/>
        </w:rPr>
        <w:t>(ii)</w:t>
      </w:r>
      <w:r w:rsidRPr="00E56DD6">
        <w:rPr>
          <w:noProof/>
        </w:rPr>
        <w:tab/>
      </w:r>
      <w:r w:rsidR="005D1176" w:rsidRPr="00747D4D">
        <w:rPr>
          <w:noProof/>
        </w:rPr>
        <w:t>Article 46 is deleted</w:t>
      </w:r>
      <w:r w:rsidR="00D0328E" w:rsidRPr="00747D4D">
        <w:rPr>
          <w:noProof/>
        </w:rPr>
        <w:t>.</w:t>
      </w:r>
      <w:r w:rsidR="00464286" w:rsidRPr="008B51F4">
        <w:rPr>
          <w:noProof/>
        </w:rPr>
        <w:t xml:space="preserve"> </w:t>
      </w:r>
    </w:p>
    <w:p w14:paraId="6F350C03" w14:textId="4887D088" w:rsidR="008E4C98" w:rsidRDefault="008E4C98" w:rsidP="00414504">
      <w:pPr>
        <w:pStyle w:val="Titrearticle"/>
        <w:spacing w:after="0"/>
        <w:rPr>
          <w:noProof/>
        </w:rPr>
      </w:pPr>
      <w:r w:rsidRPr="008D69E9">
        <w:rPr>
          <w:noProof/>
        </w:rPr>
        <w:t xml:space="preserve">Article </w:t>
      </w:r>
      <w:r w:rsidRPr="0085065A">
        <w:rPr>
          <w:noProof/>
        </w:rPr>
        <w:t>20</w:t>
      </w:r>
    </w:p>
    <w:p w14:paraId="2E58C3E6" w14:textId="49B474F9" w:rsidR="008E4C98" w:rsidRDefault="008E4C98" w:rsidP="008E4C98">
      <w:pPr>
        <w:spacing w:before="0"/>
        <w:jc w:val="center"/>
        <w:rPr>
          <w:b/>
          <w:i/>
          <w:noProof/>
        </w:rPr>
      </w:pPr>
      <w:r>
        <w:rPr>
          <w:b/>
          <w:i/>
          <w:iCs/>
          <w:noProof/>
          <w:lang w:val="en-US"/>
        </w:rPr>
        <w:t>R</w:t>
      </w:r>
      <w:r>
        <w:rPr>
          <w:b/>
          <w:i/>
          <w:noProof/>
        </w:rPr>
        <w:t>epeal</w:t>
      </w:r>
    </w:p>
    <w:p w14:paraId="4E80A5ED" w14:textId="57FD5390" w:rsidR="008E4C98" w:rsidRDefault="007A702B" w:rsidP="00E56DD6">
      <w:pPr>
        <w:rPr>
          <w:noProof/>
        </w:rPr>
      </w:pPr>
      <w:r>
        <w:rPr>
          <w:noProof/>
        </w:rPr>
        <w:t>Framework Decision 2006/960/JHA</w:t>
      </w:r>
      <w:r w:rsidR="00E06463">
        <w:rPr>
          <w:noProof/>
        </w:rPr>
        <w:t xml:space="preserve"> is repealed from [the date referred to in Article </w:t>
      </w:r>
      <w:r w:rsidR="00E06463" w:rsidRPr="0085065A">
        <w:rPr>
          <w:noProof/>
        </w:rPr>
        <w:t>2</w:t>
      </w:r>
      <w:r w:rsidR="002240AF" w:rsidRPr="0085065A">
        <w:rPr>
          <w:noProof/>
        </w:rPr>
        <w:t>1</w:t>
      </w:r>
      <w:r w:rsidR="00E06463">
        <w:rPr>
          <w:noProof/>
        </w:rPr>
        <w:t>(1)</w:t>
      </w:r>
      <w:r w:rsidR="00DF31E4">
        <w:rPr>
          <w:noProof/>
        </w:rPr>
        <w:t>, the first subparagraph</w:t>
      </w:r>
      <w:r w:rsidR="00E06463">
        <w:rPr>
          <w:noProof/>
        </w:rPr>
        <w:t>]</w:t>
      </w:r>
      <w:r>
        <w:rPr>
          <w:noProof/>
        </w:rPr>
        <w:t>.</w:t>
      </w:r>
      <w:r w:rsidR="00595199">
        <w:rPr>
          <w:noProof/>
        </w:rPr>
        <w:t xml:space="preserve"> </w:t>
      </w:r>
    </w:p>
    <w:p w14:paraId="6F88ED3D" w14:textId="1FCA602A" w:rsidR="008E4C98" w:rsidRDefault="008E4C98" w:rsidP="00E56DD6">
      <w:pPr>
        <w:rPr>
          <w:noProof/>
        </w:rPr>
      </w:pPr>
      <w:r w:rsidRPr="0085065A">
        <w:rPr>
          <w:noProof/>
        </w:rPr>
        <w:t>References to that Framework Decision shall be construed as references to the corresponding provisions of this Directive.</w:t>
      </w:r>
    </w:p>
    <w:p w14:paraId="5F3664CC" w14:textId="69AFC831" w:rsidR="007A702B" w:rsidRPr="006F0D93" w:rsidRDefault="007A702B" w:rsidP="00414504">
      <w:pPr>
        <w:pStyle w:val="Titrearticle"/>
        <w:spacing w:after="0"/>
        <w:rPr>
          <w:noProof/>
        </w:rPr>
      </w:pPr>
      <w:r w:rsidRPr="006F0D93">
        <w:rPr>
          <w:noProof/>
        </w:rPr>
        <w:t xml:space="preserve">Article </w:t>
      </w:r>
      <w:r w:rsidR="00431104" w:rsidRPr="004271D5">
        <w:rPr>
          <w:noProof/>
        </w:rPr>
        <w:t>2</w:t>
      </w:r>
      <w:r w:rsidR="00B727B9" w:rsidRPr="00631A2B">
        <w:rPr>
          <w:noProof/>
        </w:rPr>
        <w:t>1</w:t>
      </w:r>
    </w:p>
    <w:p w14:paraId="6109B450" w14:textId="731F95AF" w:rsidR="00A82A10" w:rsidRPr="00E56DD6" w:rsidRDefault="007A702B" w:rsidP="00414504">
      <w:pPr>
        <w:spacing w:before="0"/>
        <w:jc w:val="center"/>
        <w:rPr>
          <w:b/>
          <w:i/>
          <w:noProof/>
        </w:rPr>
      </w:pPr>
      <w:r w:rsidRPr="00E56DD6">
        <w:rPr>
          <w:b/>
          <w:i/>
          <w:noProof/>
        </w:rPr>
        <w:t>Transposition</w:t>
      </w:r>
    </w:p>
    <w:p w14:paraId="33B245C1" w14:textId="22C00E1A" w:rsidR="004C370D" w:rsidRDefault="001D312C" w:rsidP="003139D1">
      <w:pPr>
        <w:ind w:left="851" w:hanging="851"/>
        <w:rPr>
          <w:noProof/>
        </w:rPr>
      </w:pPr>
      <w:r>
        <w:rPr>
          <w:noProof/>
        </w:rPr>
        <w:t xml:space="preserve">1. </w:t>
      </w:r>
      <w:r w:rsidR="006457D1">
        <w:rPr>
          <w:noProof/>
        </w:rPr>
        <w:tab/>
      </w:r>
      <w:r w:rsidR="00A82A10">
        <w:rPr>
          <w:noProof/>
        </w:rPr>
        <w:t>Member States shall bring into force the laws, regulations and adminis</w:t>
      </w:r>
      <w:r w:rsidR="00A82A10" w:rsidRPr="002256FD">
        <w:rPr>
          <w:noProof/>
        </w:rPr>
        <w:t>trative provisions necessary to comply with this Directive by [</w:t>
      </w:r>
      <w:r w:rsidR="00A82A10" w:rsidRPr="00530BA0">
        <w:rPr>
          <w:i/>
          <w:noProof/>
        </w:rPr>
        <w:t>date of entry into force + 2 years</w:t>
      </w:r>
      <w:r w:rsidR="00A82A10" w:rsidRPr="002256FD">
        <w:rPr>
          <w:noProof/>
        </w:rPr>
        <w:t xml:space="preserve">]. They shall forthwith </w:t>
      </w:r>
      <w:r w:rsidR="004C370D" w:rsidRPr="00AC7E92">
        <w:rPr>
          <w:noProof/>
        </w:rPr>
        <w:t xml:space="preserve">communicate </w:t>
      </w:r>
      <w:r w:rsidR="00A82A10" w:rsidRPr="002256FD">
        <w:rPr>
          <w:noProof/>
        </w:rPr>
        <w:t xml:space="preserve">to the Commission the text of those provisions. </w:t>
      </w:r>
    </w:p>
    <w:p w14:paraId="1DBE5B9A" w14:textId="44A20046" w:rsidR="00A82A10" w:rsidRPr="003F0D59" w:rsidRDefault="00A82A10" w:rsidP="00530BA0">
      <w:pPr>
        <w:pStyle w:val="Text1"/>
        <w:rPr>
          <w:noProof/>
          <w:lang w:val="en-US"/>
        </w:rPr>
      </w:pPr>
      <w:r w:rsidRPr="006E7F14">
        <w:rPr>
          <w:noProof/>
        </w:rPr>
        <w:t xml:space="preserve">They shall apply those provisions </w:t>
      </w:r>
      <w:r w:rsidR="004C370D" w:rsidRPr="006E7F14">
        <w:rPr>
          <w:noProof/>
        </w:rPr>
        <w:t>from</w:t>
      </w:r>
      <w:r w:rsidRPr="006E7F14">
        <w:rPr>
          <w:noProof/>
        </w:rPr>
        <w:t xml:space="preserve"> </w:t>
      </w:r>
      <w:r w:rsidRPr="0027310E">
        <w:rPr>
          <w:noProof/>
        </w:rPr>
        <w:t>that date</w:t>
      </w:r>
      <w:r w:rsidRPr="006E7F14">
        <w:rPr>
          <w:noProof/>
        </w:rPr>
        <w:t>.</w:t>
      </w:r>
      <w:r w:rsidR="008D5739" w:rsidRPr="006E7F14">
        <w:rPr>
          <w:noProof/>
        </w:rPr>
        <w:t xml:space="preserve"> However, they shall apply Article </w:t>
      </w:r>
      <w:r w:rsidR="008D5739" w:rsidRPr="004271D5">
        <w:rPr>
          <w:noProof/>
        </w:rPr>
        <w:t>1</w:t>
      </w:r>
      <w:r w:rsidR="006E7F14" w:rsidRPr="0085065A">
        <w:rPr>
          <w:noProof/>
        </w:rPr>
        <w:t>3</w:t>
      </w:r>
      <w:r w:rsidR="008D5739" w:rsidRPr="00631A2B">
        <w:rPr>
          <w:noProof/>
        </w:rPr>
        <w:t xml:space="preserve"> </w:t>
      </w:r>
      <w:r w:rsidR="008D5739" w:rsidRPr="006E7F14">
        <w:rPr>
          <w:noProof/>
        </w:rPr>
        <w:t>from [</w:t>
      </w:r>
      <w:r w:rsidR="008D5739" w:rsidRPr="006E7F14">
        <w:rPr>
          <w:i/>
          <w:noProof/>
        </w:rPr>
        <w:t>date of entry into force + 4 years</w:t>
      </w:r>
      <w:r w:rsidR="008D5739" w:rsidRPr="006E7F14">
        <w:rPr>
          <w:noProof/>
        </w:rPr>
        <w:t>].</w:t>
      </w:r>
    </w:p>
    <w:p w14:paraId="1A7A29A9" w14:textId="68A1ED3C" w:rsidR="00EE39CA" w:rsidRDefault="007A702B" w:rsidP="00530BA0">
      <w:pPr>
        <w:pStyle w:val="Text1"/>
        <w:rPr>
          <w:noProof/>
        </w:rPr>
      </w:pPr>
      <w:r w:rsidRPr="00C7530D">
        <w:rPr>
          <w:noProof/>
        </w:rPr>
        <w:t xml:space="preserve">When Member States adopt those provisions, they shall contain a reference to this Directive or be accompanied by such a reference on </w:t>
      </w:r>
      <w:r w:rsidR="004C370D" w:rsidRPr="00AC7E92">
        <w:rPr>
          <w:noProof/>
        </w:rPr>
        <w:t xml:space="preserve">the occasion of </w:t>
      </w:r>
      <w:r w:rsidRPr="00C7530D">
        <w:rPr>
          <w:noProof/>
        </w:rPr>
        <w:t>their official publication. Member States shall determine how such reference is to be made.</w:t>
      </w:r>
    </w:p>
    <w:p w14:paraId="2169602E" w14:textId="70B3CE2E" w:rsidR="004C370D" w:rsidRPr="00AC7E92" w:rsidRDefault="001D312C" w:rsidP="003139D1">
      <w:pPr>
        <w:ind w:left="851" w:hanging="851"/>
        <w:rPr>
          <w:noProof/>
        </w:rPr>
      </w:pPr>
      <w:r>
        <w:rPr>
          <w:noProof/>
        </w:rPr>
        <w:t xml:space="preserve">2. </w:t>
      </w:r>
      <w:r w:rsidR="006457D1">
        <w:rPr>
          <w:noProof/>
        </w:rPr>
        <w:tab/>
      </w:r>
      <w:r w:rsidR="004C370D" w:rsidRPr="00AC7E92">
        <w:rPr>
          <w:noProof/>
        </w:rPr>
        <w:t>Member States shall communicate to the Commission the text of the main provisions of national law which they adopt in the field covered by this Directive.</w:t>
      </w:r>
    </w:p>
    <w:p w14:paraId="0FCFF09E" w14:textId="72FAAAB6" w:rsidR="007A702B" w:rsidRPr="006F0D93" w:rsidRDefault="007A702B" w:rsidP="00414504">
      <w:pPr>
        <w:pStyle w:val="Titrearticle"/>
        <w:spacing w:after="0"/>
        <w:rPr>
          <w:noProof/>
        </w:rPr>
      </w:pPr>
      <w:r w:rsidRPr="006F0D93">
        <w:rPr>
          <w:noProof/>
        </w:rPr>
        <w:t xml:space="preserve">Article </w:t>
      </w:r>
      <w:r w:rsidR="00AA5B56" w:rsidRPr="00631A2B">
        <w:rPr>
          <w:noProof/>
        </w:rPr>
        <w:t>22</w:t>
      </w:r>
    </w:p>
    <w:p w14:paraId="374EA0D6" w14:textId="77777777" w:rsidR="007A702B" w:rsidRPr="00737179" w:rsidRDefault="007A702B" w:rsidP="007A702B">
      <w:pPr>
        <w:spacing w:before="0"/>
        <w:jc w:val="center"/>
        <w:rPr>
          <w:b/>
          <w:i/>
          <w:noProof/>
        </w:rPr>
      </w:pPr>
      <w:r w:rsidRPr="00737179">
        <w:rPr>
          <w:b/>
          <w:i/>
          <w:noProof/>
        </w:rPr>
        <w:t>Entry into force</w:t>
      </w:r>
    </w:p>
    <w:p w14:paraId="5E7CF780" w14:textId="77777777" w:rsidR="007A702B" w:rsidRDefault="007A702B" w:rsidP="007A702B">
      <w:pPr>
        <w:spacing w:before="0"/>
        <w:rPr>
          <w:i/>
          <w:noProof/>
        </w:rPr>
      </w:pPr>
      <w:r>
        <w:rPr>
          <w:noProof/>
        </w:rPr>
        <w:t xml:space="preserve">This Directive shall enter into force on the twentieth day following that of its publication in the </w:t>
      </w:r>
      <w:r w:rsidRPr="009B3CDE">
        <w:rPr>
          <w:i/>
          <w:noProof/>
        </w:rPr>
        <w:t>Official Journal of the European Union</w:t>
      </w:r>
      <w:r>
        <w:rPr>
          <w:i/>
          <w:noProof/>
        </w:rPr>
        <w:t>.</w:t>
      </w:r>
    </w:p>
    <w:p w14:paraId="7B2FC775" w14:textId="4D73A4AA" w:rsidR="007A702B" w:rsidRDefault="007A702B" w:rsidP="00414504">
      <w:pPr>
        <w:pStyle w:val="Titrearticle"/>
        <w:spacing w:after="0"/>
        <w:rPr>
          <w:noProof/>
        </w:rPr>
      </w:pPr>
      <w:r w:rsidRPr="009B3CDE">
        <w:rPr>
          <w:noProof/>
        </w:rPr>
        <w:t xml:space="preserve">Article </w:t>
      </w:r>
      <w:r w:rsidR="00E92DCD" w:rsidRPr="004271D5">
        <w:rPr>
          <w:noProof/>
        </w:rPr>
        <w:t>2</w:t>
      </w:r>
      <w:r w:rsidR="00AA5B56" w:rsidRPr="00631A2B">
        <w:rPr>
          <w:noProof/>
        </w:rPr>
        <w:t>3</w:t>
      </w:r>
    </w:p>
    <w:p w14:paraId="7303CB29" w14:textId="77777777" w:rsidR="007A702B" w:rsidRPr="00737179" w:rsidRDefault="007A702B" w:rsidP="007A702B">
      <w:pPr>
        <w:spacing w:before="0"/>
        <w:jc w:val="center"/>
        <w:rPr>
          <w:b/>
          <w:i/>
          <w:noProof/>
        </w:rPr>
      </w:pPr>
      <w:r w:rsidRPr="00737179">
        <w:rPr>
          <w:b/>
          <w:i/>
          <w:noProof/>
        </w:rPr>
        <w:t>Addressees</w:t>
      </w:r>
    </w:p>
    <w:p w14:paraId="7395E73E" w14:textId="34B4C473" w:rsidR="007A702B" w:rsidRDefault="007A702B" w:rsidP="007A702B">
      <w:pPr>
        <w:spacing w:before="0"/>
        <w:rPr>
          <w:noProof/>
        </w:rPr>
      </w:pPr>
      <w:r>
        <w:rPr>
          <w:noProof/>
        </w:rPr>
        <w:t>This Directive is addressed to the Member States in accordance with the Treaties.</w:t>
      </w:r>
    </w:p>
    <w:p w14:paraId="15E14AAB" w14:textId="77777777" w:rsidR="0071514B" w:rsidRPr="009B3CDE" w:rsidRDefault="0071514B" w:rsidP="007A702B">
      <w:pPr>
        <w:spacing w:before="0"/>
        <w:rPr>
          <w:noProof/>
        </w:rPr>
      </w:pPr>
    </w:p>
    <w:p w14:paraId="58D51F65" w14:textId="03E8DA93" w:rsidR="007A702B" w:rsidRDefault="00A62B35" w:rsidP="00722CD0">
      <w:pPr>
        <w:pStyle w:val="Fait"/>
        <w:rPr>
          <w:noProof/>
        </w:rPr>
      </w:pPr>
      <w:r w:rsidRPr="00A62B35">
        <w:t>Done at Brussels,</w:t>
      </w:r>
    </w:p>
    <w:p w14:paraId="032258DC" w14:textId="77777777" w:rsidR="007A702B" w:rsidRDefault="007A702B" w:rsidP="00722CD0">
      <w:pPr>
        <w:pStyle w:val="Institutionquisigne"/>
        <w:rPr>
          <w:noProof/>
        </w:rPr>
      </w:pPr>
      <w:r w:rsidRPr="00394A8F">
        <w:rPr>
          <w:noProof/>
        </w:rPr>
        <w:t>For the European Parliament</w:t>
      </w:r>
      <w:r w:rsidRPr="00394A8F">
        <w:rPr>
          <w:noProof/>
        </w:rPr>
        <w:tab/>
        <w:t>For the Council</w:t>
      </w:r>
    </w:p>
    <w:p w14:paraId="6BEFD1C7" w14:textId="53BFAC3D" w:rsidR="00E72F31" w:rsidRPr="00E72F31" w:rsidRDefault="007A702B" w:rsidP="00263CB2">
      <w:pPr>
        <w:pStyle w:val="Personnequisigne"/>
        <w:rPr>
          <w:noProof/>
        </w:rPr>
      </w:pPr>
      <w:r w:rsidRPr="00394A8F">
        <w:rPr>
          <w:noProof/>
        </w:rPr>
        <w:t>The President</w:t>
      </w:r>
      <w:r w:rsidRPr="00394A8F">
        <w:rPr>
          <w:noProof/>
        </w:rPr>
        <w:tab/>
        <w:t>The President</w:t>
      </w:r>
    </w:p>
    <w:sectPr w:rsidR="00E72F31" w:rsidRPr="00E72F31" w:rsidSect="006605B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247FF" w14:textId="77777777" w:rsidR="005D507F" w:rsidRDefault="005D507F" w:rsidP="00394A8F">
      <w:pPr>
        <w:spacing w:before="0" w:after="0"/>
      </w:pPr>
      <w:r>
        <w:separator/>
      </w:r>
    </w:p>
  </w:endnote>
  <w:endnote w:type="continuationSeparator" w:id="0">
    <w:p w14:paraId="7C83740E" w14:textId="77777777" w:rsidR="005D507F" w:rsidRDefault="005D507F" w:rsidP="00394A8F">
      <w:pPr>
        <w:spacing w:before="0" w:after="0"/>
      </w:pPr>
      <w:r>
        <w:continuationSeparator/>
      </w:r>
    </w:p>
  </w:endnote>
  <w:endnote w:type="continuationNotice" w:id="1">
    <w:p w14:paraId="07C56169" w14:textId="77777777" w:rsidR="005D507F" w:rsidRDefault="005D50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A417" w14:textId="29E049F3" w:rsidR="005D507F" w:rsidRPr="006605B9" w:rsidRDefault="006605B9" w:rsidP="006605B9">
    <w:pPr>
      <w:pStyle w:val="Footer"/>
      <w:rPr>
        <w:rFonts w:ascii="Arial" w:hAnsi="Arial" w:cs="Arial"/>
        <w:b/>
        <w:sz w:val="48"/>
      </w:rPr>
    </w:pPr>
    <w:r w:rsidRPr="006605B9">
      <w:rPr>
        <w:rFonts w:ascii="Arial" w:hAnsi="Arial" w:cs="Arial"/>
        <w:b/>
        <w:sz w:val="48"/>
      </w:rPr>
      <w:t>EN</w:t>
    </w:r>
    <w:r w:rsidRPr="006605B9">
      <w:rPr>
        <w:rFonts w:ascii="Arial" w:hAnsi="Arial" w:cs="Arial"/>
        <w:b/>
        <w:sz w:val="48"/>
      </w:rPr>
      <w:tab/>
    </w:r>
    <w:r w:rsidRPr="006605B9">
      <w:rPr>
        <w:rFonts w:ascii="Arial" w:hAnsi="Arial" w:cs="Arial"/>
        <w:b/>
        <w:sz w:val="48"/>
      </w:rPr>
      <w:tab/>
    </w:r>
    <w:r w:rsidRPr="006605B9">
      <w:tab/>
    </w:r>
    <w:r w:rsidRPr="006605B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FA48" w14:textId="5E15787D" w:rsidR="006605B9" w:rsidRPr="006605B9" w:rsidRDefault="006605B9" w:rsidP="006605B9">
    <w:pPr>
      <w:pStyle w:val="Footer"/>
      <w:rPr>
        <w:rFonts w:ascii="Arial" w:hAnsi="Arial" w:cs="Arial"/>
        <w:b/>
        <w:sz w:val="48"/>
      </w:rPr>
    </w:pPr>
    <w:r w:rsidRPr="006605B9">
      <w:rPr>
        <w:rFonts w:ascii="Arial" w:hAnsi="Arial" w:cs="Arial"/>
        <w:b/>
        <w:sz w:val="48"/>
      </w:rPr>
      <w:t>EN</w:t>
    </w:r>
    <w:r w:rsidRPr="006605B9">
      <w:rPr>
        <w:rFonts w:ascii="Arial" w:hAnsi="Arial" w:cs="Arial"/>
        <w:b/>
        <w:sz w:val="48"/>
      </w:rPr>
      <w:tab/>
    </w:r>
    <w:r>
      <w:fldChar w:fldCharType="begin"/>
    </w:r>
    <w:r>
      <w:instrText xml:space="preserve"> PAGE  \* MERGEFORMAT </w:instrText>
    </w:r>
    <w:r>
      <w:fldChar w:fldCharType="separate"/>
    </w:r>
    <w:r w:rsidR="00722CD0">
      <w:rPr>
        <w:noProof/>
      </w:rPr>
      <w:t>35</w:t>
    </w:r>
    <w:r>
      <w:fldChar w:fldCharType="end"/>
    </w:r>
    <w:r>
      <w:tab/>
    </w:r>
    <w:r w:rsidRPr="006605B9">
      <w:tab/>
    </w:r>
    <w:r w:rsidRPr="006605B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C313" w14:textId="77777777" w:rsidR="006605B9" w:rsidRPr="006605B9" w:rsidRDefault="006605B9" w:rsidP="00660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29435" w14:textId="77777777" w:rsidR="005D507F" w:rsidRDefault="005D507F" w:rsidP="00394A8F">
      <w:pPr>
        <w:spacing w:before="0" w:after="0"/>
      </w:pPr>
      <w:r>
        <w:separator/>
      </w:r>
    </w:p>
  </w:footnote>
  <w:footnote w:type="continuationSeparator" w:id="0">
    <w:p w14:paraId="61119244" w14:textId="77777777" w:rsidR="005D507F" w:rsidRDefault="005D507F" w:rsidP="00394A8F">
      <w:pPr>
        <w:spacing w:before="0" w:after="0"/>
      </w:pPr>
      <w:r>
        <w:continuationSeparator/>
      </w:r>
    </w:p>
  </w:footnote>
  <w:footnote w:type="continuationNotice" w:id="1">
    <w:p w14:paraId="7FE1B881" w14:textId="77777777" w:rsidR="005D507F" w:rsidRDefault="005D507F">
      <w:pPr>
        <w:spacing w:before="0" w:after="0"/>
      </w:pPr>
    </w:p>
  </w:footnote>
  <w:footnote w:id="2">
    <w:p w14:paraId="11AC90AB" w14:textId="7FA037E2" w:rsidR="005D507F" w:rsidRPr="001579A7" w:rsidRDefault="005D507F" w:rsidP="00C4529E">
      <w:pPr>
        <w:pStyle w:val="FootnoteText"/>
        <w:rPr>
          <w:lang w:val="pt-BR"/>
        </w:rPr>
      </w:pPr>
      <w:r w:rsidRPr="006538F8">
        <w:rPr>
          <w:rStyle w:val="FootnoteReference0"/>
        </w:rPr>
        <w:footnoteRef/>
      </w:r>
      <w:r>
        <w:rPr>
          <w:lang w:val="pt-BR"/>
        </w:rPr>
        <w:tab/>
      </w:r>
      <w:r w:rsidRPr="00154F22">
        <w:rPr>
          <w:lang w:val="pt-BR"/>
        </w:rPr>
        <w:t>COM(2020) 605 final.</w:t>
      </w:r>
    </w:p>
  </w:footnote>
  <w:footnote w:id="3">
    <w:p w14:paraId="2436A4B9" w14:textId="74DE4980" w:rsidR="005D507F" w:rsidRPr="00302A54" w:rsidRDefault="005D507F" w:rsidP="00C4529E">
      <w:pPr>
        <w:pStyle w:val="FootnoteText"/>
        <w:rPr>
          <w:lang w:val="pt-BR"/>
        </w:rPr>
      </w:pPr>
      <w:r w:rsidRPr="006538F8">
        <w:rPr>
          <w:rStyle w:val="FootnoteReference0"/>
        </w:rPr>
        <w:footnoteRef/>
      </w:r>
      <w:r>
        <w:rPr>
          <w:lang w:val="pt-BR"/>
        </w:rPr>
        <w:tab/>
      </w:r>
      <w:r w:rsidRPr="00302A54">
        <w:rPr>
          <w:lang w:val="pt-BR"/>
        </w:rPr>
        <w:t>COM(2020) 795 final.</w:t>
      </w:r>
    </w:p>
  </w:footnote>
  <w:footnote w:id="4">
    <w:p w14:paraId="5F5A1450" w14:textId="0E5B9D48" w:rsidR="005D507F" w:rsidRPr="0080088C" w:rsidRDefault="005D507F" w:rsidP="00C4529E">
      <w:pPr>
        <w:pStyle w:val="FootnoteText"/>
        <w:rPr>
          <w:lang w:val="pt-BR"/>
        </w:rPr>
      </w:pPr>
      <w:r w:rsidRPr="006538F8">
        <w:rPr>
          <w:rStyle w:val="FootnoteReference0"/>
        </w:rPr>
        <w:footnoteRef/>
      </w:r>
      <w:r>
        <w:rPr>
          <w:lang w:val="pt-BR"/>
        </w:rPr>
        <w:tab/>
      </w:r>
      <w:r w:rsidRPr="0080088C">
        <w:rPr>
          <w:lang w:val="pt-BR"/>
        </w:rPr>
        <w:t>COM(2021) 170 final.</w:t>
      </w:r>
    </w:p>
  </w:footnote>
  <w:footnote w:id="5">
    <w:p w14:paraId="42B46705" w14:textId="7BC7DE5F" w:rsidR="005D507F" w:rsidRPr="009F3E94" w:rsidRDefault="005D507F" w:rsidP="007B2C7A">
      <w:pPr>
        <w:pStyle w:val="FootnoteText"/>
      </w:pPr>
      <w:r w:rsidRPr="006538F8">
        <w:rPr>
          <w:rStyle w:val="FootnoteReference0"/>
        </w:rPr>
        <w:footnoteRef/>
      </w:r>
      <w:r>
        <w:tab/>
      </w:r>
      <w:r w:rsidRPr="009F3E94">
        <w:t xml:space="preserve">The Schengen area is composed of </w:t>
      </w:r>
      <w:r w:rsidRPr="00570295">
        <w:rPr>
          <w:bCs/>
          <w:shd w:val="clear" w:color="auto" w:fill="FFFFFF"/>
        </w:rPr>
        <w:t>Austria, Belgium</w:t>
      </w:r>
      <w:r w:rsidRPr="00570295">
        <w:rPr>
          <w:shd w:val="clear" w:color="auto" w:fill="FFFFFF"/>
        </w:rPr>
        <w:t>, the Czech Republic, Denmark, Estonia, Finland, France, Germany, Greece, Hungary, Iceland, Italy, Latvia, Liechtenstein, Lithuania, Luxembourg, Malta, the Netherlands, Norway, Poland, Portugal, Slovakia, Slovenia, Spain, Sweden and Switzerland.</w:t>
      </w:r>
      <w:r w:rsidRPr="009F3E94">
        <w:t xml:space="preserve"> </w:t>
      </w:r>
    </w:p>
  </w:footnote>
  <w:footnote w:id="6">
    <w:p w14:paraId="6C156BCD" w14:textId="6110097B" w:rsidR="005D507F" w:rsidRPr="00603134" w:rsidRDefault="005D507F" w:rsidP="00ED3FA7">
      <w:pPr>
        <w:pStyle w:val="FootnoteText"/>
        <w:ind w:left="0" w:firstLine="0"/>
      </w:pPr>
      <w:r w:rsidRPr="006538F8">
        <w:rPr>
          <w:rStyle w:val="FootnoteReference0"/>
        </w:rPr>
        <w:footnoteRef/>
      </w:r>
      <w:r>
        <w:tab/>
      </w:r>
      <w:r w:rsidRPr="009F3E94">
        <w:t xml:space="preserve">Europol (2021), European Union </w:t>
      </w:r>
      <w:r w:rsidRPr="009F3E94">
        <w:rPr>
          <w:i/>
        </w:rPr>
        <w:t>Serious and Organised Crime Threat Assessment (</w:t>
      </w:r>
      <w:r w:rsidRPr="001839BC">
        <w:rPr>
          <w:i/>
        </w:rPr>
        <w:t xml:space="preserve">EU </w:t>
      </w:r>
      <w:r w:rsidRPr="00603134">
        <w:rPr>
          <w:i/>
        </w:rPr>
        <w:t>SOCTA)</w:t>
      </w:r>
      <w:r w:rsidRPr="00603134">
        <w:t>.</w:t>
      </w:r>
    </w:p>
  </w:footnote>
  <w:footnote w:id="7">
    <w:p w14:paraId="03A4EFF2" w14:textId="62B9C22E" w:rsidR="005D507F" w:rsidRPr="00750BC4" w:rsidRDefault="005D507F" w:rsidP="00DF1789">
      <w:pPr>
        <w:pStyle w:val="FootnoteText"/>
        <w:ind w:left="0" w:firstLine="0"/>
      </w:pPr>
      <w:r w:rsidRPr="006538F8">
        <w:rPr>
          <w:rStyle w:val="FootnoteReference0"/>
        </w:rPr>
        <w:footnoteRef/>
      </w:r>
      <w:r>
        <w:tab/>
      </w:r>
      <w:r w:rsidRPr="009F3E94">
        <w:rPr>
          <w:rStyle w:val="Emphasis"/>
          <w:bCs/>
          <w:i w:val="0"/>
          <w:szCs w:val="21"/>
          <w:shd w:val="clear" w:color="auto" w:fill="FFFFFF"/>
        </w:rPr>
        <w:t>European Monitoring Centre for Drugs and Dru</w:t>
      </w:r>
      <w:r w:rsidRPr="001839BC">
        <w:rPr>
          <w:rStyle w:val="Emphasis"/>
          <w:bCs/>
          <w:i w:val="0"/>
          <w:szCs w:val="21"/>
          <w:shd w:val="clear" w:color="auto" w:fill="FFFFFF"/>
        </w:rPr>
        <w:t>g Addiction</w:t>
      </w:r>
      <w:r w:rsidRPr="00603134">
        <w:rPr>
          <w:rStyle w:val="Emphasis"/>
          <w:bCs/>
          <w:szCs w:val="21"/>
          <w:shd w:val="clear" w:color="auto" w:fill="FFFFFF"/>
        </w:rPr>
        <w:t xml:space="preserve"> (</w:t>
      </w:r>
      <w:r w:rsidRPr="00603134">
        <w:t xml:space="preserve">EMCDDA), </w:t>
      </w:r>
      <w:r w:rsidRPr="00603134">
        <w:rPr>
          <w:i/>
        </w:rPr>
        <w:t xml:space="preserve">European </w:t>
      </w:r>
      <w:r w:rsidRPr="00750BC4">
        <w:rPr>
          <w:i/>
        </w:rPr>
        <w:t>drug report 2021</w:t>
      </w:r>
      <w:r>
        <w:rPr>
          <w:i/>
        </w:rPr>
        <w:t xml:space="preserve">. </w:t>
      </w:r>
    </w:p>
  </w:footnote>
  <w:footnote w:id="8">
    <w:p w14:paraId="4C92CFA4" w14:textId="775689EF" w:rsidR="005D507F" w:rsidRPr="00327AD1" w:rsidRDefault="005D507F" w:rsidP="00B73C04">
      <w:pPr>
        <w:pStyle w:val="FootnoteText"/>
        <w:rPr>
          <w:lang w:val="de-DE"/>
        </w:rPr>
      </w:pPr>
      <w:r w:rsidRPr="00327AD1">
        <w:rPr>
          <w:rStyle w:val="FootnoteReference0"/>
        </w:rPr>
        <w:footnoteRef/>
      </w:r>
      <w:r w:rsidRPr="00327AD1">
        <w:tab/>
      </w:r>
      <w:r w:rsidRPr="00327AD1">
        <w:rPr>
          <w:lang w:val="de-DE"/>
        </w:rPr>
        <w:t>COM(2020) 795 final.</w:t>
      </w:r>
    </w:p>
  </w:footnote>
  <w:footnote w:id="9">
    <w:p w14:paraId="25CCE421" w14:textId="4DF684B8" w:rsidR="005D507F" w:rsidRPr="00D27E03" w:rsidRDefault="005D507F" w:rsidP="00B73C04">
      <w:pPr>
        <w:pStyle w:val="FootnoteText"/>
        <w:rPr>
          <w:lang w:val="en-US"/>
        </w:rPr>
      </w:pPr>
      <w:r w:rsidRPr="00327AD1">
        <w:rPr>
          <w:rStyle w:val="FootnoteReference0"/>
        </w:rPr>
        <w:footnoteRef/>
      </w:r>
      <w:r w:rsidRPr="00327AD1">
        <w:tab/>
        <w:t xml:space="preserve">Eurobarometer 474: </w:t>
      </w:r>
      <w:r w:rsidRPr="00327AD1">
        <w:rPr>
          <w:i/>
        </w:rPr>
        <w:t>The Schengen Area</w:t>
      </w:r>
      <w:r w:rsidRPr="00327AD1">
        <w:rPr>
          <w:rStyle w:val="Hyperlink"/>
          <w:u w:val="none"/>
        </w:rPr>
        <w:t>.</w:t>
      </w:r>
    </w:p>
  </w:footnote>
  <w:footnote w:id="10">
    <w:p w14:paraId="40589470" w14:textId="5786A406" w:rsidR="005D507F" w:rsidRPr="000B1577" w:rsidRDefault="005D507F" w:rsidP="00AF44C3">
      <w:pPr>
        <w:pStyle w:val="FootnoteText"/>
      </w:pPr>
      <w:r w:rsidRPr="006538F8">
        <w:rPr>
          <w:rStyle w:val="FootnoteReference0"/>
        </w:rPr>
        <w:footnoteRef/>
      </w:r>
      <w:r>
        <w:tab/>
      </w:r>
      <w:r w:rsidRPr="007D08A4">
        <w:t>COM(2021) 277 final, 2.6.2021.</w:t>
      </w:r>
    </w:p>
  </w:footnote>
  <w:footnote w:id="11">
    <w:p w14:paraId="32C6AEF3" w14:textId="78F1CBF9" w:rsidR="005D507F" w:rsidRPr="00D27E03" w:rsidRDefault="005D507F" w:rsidP="00AF44C3">
      <w:pPr>
        <w:pStyle w:val="FootnoteText"/>
        <w:keepNext/>
        <w:widowControl w:val="0"/>
        <w:suppressLineNumbers/>
        <w:suppressAutoHyphens/>
        <w:rPr>
          <w:lang w:val="en-US"/>
        </w:rPr>
      </w:pPr>
      <w:r w:rsidRPr="006538F8">
        <w:rPr>
          <w:rStyle w:val="FootnoteReference0"/>
        </w:rPr>
        <w:footnoteRef/>
      </w:r>
      <w:r>
        <w:tab/>
        <w:t xml:space="preserve">European Commission (2017), </w:t>
      </w:r>
      <w:r w:rsidRPr="00636D16">
        <w:rPr>
          <w:i/>
        </w:rPr>
        <w:t>Boosting Growth and cohesion in EU border regions</w:t>
      </w:r>
      <w:r>
        <w:t>.</w:t>
      </w:r>
    </w:p>
  </w:footnote>
  <w:footnote w:id="12">
    <w:p w14:paraId="25FD36B1" w14:textId="14B00242" w:rsidR="005D507F" w:rsidRPr="009F3E94" w:rsidRDefault="005D507F" w:rsidP="007B2C7A">
      <w:pPr>
        <w:pStyle w:val="FootnoteText"/>
      </w:pPr>
      <w:r w:rsidRPr="006538F8">
        <w:rPr>
          <w:rStyle w:val="FootnoteReference0"/>
        </w:rPr>
        <w:footnoteRef/>
      </w:r>
      <w:r>
        <w:tab/>
      </w:r>
      <w:r w:rsidRPr="009F3E94">
        <w:t>Other most frequent reasons notified by the Member States included the migratory crisis of 2015/2016, persistent terrorist threat and the COVID-19 pandemic.</w:t>
      </w:r>
    </w:p>
  </w:footnote>
  <w:footnote w:id="13">
    <w:p w14:paraId="7E27E27D" w14:textId="79157012" w:rsidR="005D507F" w:rsidRPr="005576CC" w:rsidRDefault="005D507F" w:rsidP="00AF44C3">
      <w:pPr>
        <w:pStyle w:val="FootnoteText"/>
        <w:ind w:left="0" w:firstLine="0"/>
      </w:pPr>
      <w:r w:rsidRPr="006538F8">
        <w:rPr>
          <w:rStyle w:val="FootnoteReference0"/>
        </w:rPr>
        <w:footnoteRef/>
      </w:r>
      <w:r w:rsidRPr="005576CC">
        <w:tab/>
      </w:r>
      <w:r w:rsidRPr="005576CC">
        <w:rPr>
          <w:shd w:val="clear" w:color="auto" w:fill="FFFFFF"/>
        </w:rPr>
        <w:t>Regulation (EU) 2016/399 (Schengen Borders Code)</w:t>
      </w:r>
      <w:r w:rsidRPr="005576CC">
        <w:rPr>
          <w:rStyle w:val="Hyperlink"/>
          <w:color w:val="auto"/>
          <w:u w:val="none"/>
          <w:shd w:val="clear" w:color="auto" w:fill="FFFFFF"/>
        </w:rPr>
        <w:t>.</w:t>
      </w:r>
    </w:p>
  </w:footnote>
  <w:footnote w:id="14">
    <w:p w14:paraId="5B28CC78" w14:textId="37DF7B04" w:rsidR="005D507F" w:rsidRPr="000A360C" w:rsidRDefault="005D507F" w:rsidP="00AF44C3">
      <w:pPr>
        <w:pStyle w:val="FootnoteText"/>
      </w:pPr>
      <w:r w:rsidRPr="006538F8">
        <w:rPr>
          <w:rStyle w:val="FootnoteReference0"/>
        </w:rPr>
        <w:footnoteRef/>
      </w:r>
      <w:r>
        <w:tab/>
      </w:r>
      <w:r w:rsidRPr="000A360C">
        <w:t>COM(2021) 277 final, 2.6.2021.</w:t>
      </w:r>
    </w:p>
  </w:footnote>
  <w:footnote w:id="15">
    <w:p w14:paraId="471EAD5F" w14:textId="1421B56C" w:rsidR="005D507F" w:rsidRPr="006C464A" w:rsidRDefault="005D507F" w:rsidP="00796EB0">
      <w:pPr>
        <w:pStyle w:val="FootnoteText"/>
      </w:pPr>
      <w:r w:rsidRPr="00AC7C45">
        <w:rPr>
          <w:rStyle w:val="FootnoteReference0"/>
        </w:rPr>
        <w:footnoteRef/>
      </w:r>
      <w:r>
        <w:tab/>
      </w:r>
      <w:r w:rsidRPr="00363E28">
        <w:t>COM(2020) 262 final, 24.6.2020</w:t>
      </w:r>
      <w:r>
        <w:t>.</w:t>
      </w:r>
    </w:p>
  </w:footnote>
  <w:footnote w:id="16">
    <w:p w14:paraId="4739098F" w14:textId="0D4B2054" w:rsidR="005D507F" w:rsidRPr="000A360C" w:rsidRDefault="005D507F" w:rsidP="00AF44C3">
      <w:pPr>
        <w:pStyle w:val="FootnoteText"/>
      </w:pPr>
      <w:r w:rsidRPr="006538F8">
        <w:rPr>
          <w:rStyle w:val="FootnoteReference0"/>
        </w:rPr>
        <w:footnoteRef/>
      </w:r>
      <w:r>
        <w:tab/>
      </w:r>
      <w:r w:rsidRPr="000A360C">
        <w:rPr>
          <w:rStyle w:val="Emphasis"/>
          <w:i w:val="0"/>
          <w:shd w:val="clear" w:color="auto" w:fill="FFFFFF"/>
        </w:rPr>
        <w:t>OJ L 386, 29.12.2006, p. 89–100.</w:t>
      </w:r>
      <w:r w:rsidRPr="001A78F2" w:rsidDel="001A78F2">
        <w:t xml:space="preserve"> </w:t>
      </w:r>
    </w:p>
  </w:footnote>
  <w:footnote w:id="17">
    <w:p w14:paraId="7230975A" w14:textId="7D4FCA5C" w:rsidR="005D507F" w:rsidRPr="004549DF" w:rsidRDefault="005D507F" w:rsidP="00AF44C3">
      <w:pPr>
        <w:pStyle w:val="FootnoteText"/>
      </w:pPr>
      <w:r w:rsidRPr="006538F8">
        <w:rPr>
          <w:rStyle w:val="FootnoteReference0"/>
        </w:rPr>
        <w:footnoteRef/>
      </w:r>
      <w:r>
        <w:tab/>
      </w:r>
      <w:r w:rsidRPr="004549DF">
        <w:rPr>
          <w:rStyle w:val="Emphasis"/>
          <w:i w:val="0"/>
          <w:shd w:val="clear" w:color="auto" w:fill="FFFFFF"/>
        </w:rPr>
        <w:t>OJ L 239, 22.9.2000, p. 19–62.</w:t>
      </w:r>
    </w:p>
  </w:footnote>
  <w:footnote w:id="18">
    <w:p w14:paraId="4D2B40D2" w14:textId="70EA7A85" w:rsidR="005D507F" w:rsidRPr="00323032" w:rsidRDefault="005D507F" w:rsidP="007B2C7A">
      <w:pPr>
        <w:pStyle w:val="FootnoteText"/>
      </w:pPr>
      <w:r w:rsidRPr="006538F8">
        <w:rPr>
          <w:rStyle w:val="FootnoteReference0"/>
        </w:rPr>
        <w:footnoteRef/>
      </w:r>
      <w:r>
        <w:tab/>
        <w:t xml:space="preserve">These outstanding issues have notably been highlighted in </w:t>
      </w:r>
      <w:r w:rsidRPr="00704502">
        <w:rPr>
          <w:iCs/>
        </w:rPr>
        <w:t xml:space="preserve">the Schengen evaluations in the field of police cooperation. These </w:t>
      </w:r>
      <w:r>
        <w:rPr>
          <w:iCs/>
        </w:rPr>
        <w:t xml:space="preserve">country report </w:t>
      </w:r>
      <w:r w:rsidRPr="00704502">
        <w:rPr>
          <w:iCs/>
        </w:rPr>
        <w:t>evaluation</w:t>
      </w:r>
      <w:r>
        <w:rPr>
          <w:iCs/>
        </w:rPr>
        <w:t>s</w:t>
      </w:r>
      <w:r w:rsidRPr="00704502">
        <w:rPr>
          <w:iCs/>
        </w:rPr>
        <w:t xml:space="preserve"> underline the existence of diverging practices depending on the other </w:t>
      </w:r>
      <w:r>
        <w:rPr>
          <w:iCs/>
        </w:rPr>
        <w:t>S</w:t>
      </w:r>
      <w:r w:rsidRPr="00704502">
        <w:rPr>
          <w:iCs/>
        </w:rPr>
        <w:t>tate party.</w:t>
      </w:r>
      <w:r>
        <w:rPr>
          <w:iCs/>
        </w:rPr>
        <w:t xml:space="preserve"> They also cover relevant Council guidance papers and the police cooperation chapter of the </w:t>
      </w:r>
      <w:r w:rsidRPr="009F3E94">
        <w:rPr>
          <w:szCs w:val="24"/>
          <w:shd w:val="clear" w:color="auto" w:fill="FFFFFF"/>
        </w:rPr>
        <w:t>1990 Convention Implementing the Schengen Agreement and their related bi/multilateral agreements.</w:t>
      </w:r>
    </w:p>
  </w:footnote>
  <w:footnote w:id="19">
    <w:p w14:paraId="7FA9D2A7" w14:textId="7C5DDC4C" w:rsidR="005D507F" w:rsidRPr="00674F75" w:rsidRDefault="005D507F">
      <w:pPr>
        <w:pStyle w:val="FootnoteText"/>
      </w:pPr>
      <w:r w:rsidRPr="006538F8">
        <w:rPr>
          <w:rStyle w:val="FootnoteReference0"/>
        </w:rPr>
        <w:footnoteRef/>
      </w:r>
      <w:r>
        <w:tab/>
        <w:t>For example:</w:t>
      </w:r>
      <w:r w:rsidRPr="00B503BC">
        <w:t xml:space="preserve"> Council doc. </w:t>
      </w:r>
      <w:r>
        <w:t>5825/20 of 2/12/2020,</w:t>
      </w:r>
      <w:r w:rsidRPr="00B503BC">
        <w:t xml:space="preserve"> </w:t>
      </w:r>
      <w:r w:rsidRPr="00B503BC">
        <w:rPr>
          <w:i/>
        </w:rPr>
        <w:t>Manual on Law Enforcement Information Exchange</w:t>
      </w:r>
      <w:r>
        <w:rPr>
          <w:i/>
        </w:rPr>
        <w:t>.</w:t>
      </w:r>
    </w:p>
  </w:footnote>
  <w:footnote w:id="20">
    <w:p w14:paraId="0F628C23" w14:textId="387751F3" w:rsidR="005D507F" w:rsidRDefault="005D507F" w:rsidP="00AF44C3">
      <w:pPr>
        <w:pStyle w:val="FootnoteText"/>
      </w:pPr>
      <w:r w:rsidRPr="006538F8">
        <w:rPr>
          <w:rStyle w:val="FootnoteReference0"/>
        </w:rPr>
        <w:footnoteRef/>
      </w:r>
      <w:r>
        <w:tab/>
        <w:t>Article 72 TFEU.</w:t>
      </w:r>
    </w:p>
  </w:footnote>
  <w:footnote w:id="21">
    <w:p w14:paraId="09D5D735" w14:textId="77777777" w:rsidR="005D507F" w:rsidRDefault="005D507F" w:rsidP="00FD3766">
      <w:pPr>
        <w:pStyle w:val="FootnoteText"/>
      </w:pPr>
      <w:r w:rsidRPr="006538F8">
        <w:rPr>
          <w:rStyle w:val="FootnoteReference0"/>
        </w:rPr>
        <w:footnoteRef/>
      </w:r>
      <w:r>
        <w:tab/>
      </w:r>
      <w:r w:rsidRPr="00483E4B">
        <w:t>The S</w:t>
      </w:r>
      <w:r>
        <w:t xml:space="preserve">ingle </w:t>
      </w:r>
      <w:r w:rsidRPr="00483E4B">
        <w:t>P</w:t>
      </w:r>
      <w:r>
        <w:t xml:space="preserve">oint of </w:t>
      </w:r>
      <w:r w:rsidRPr="00483E4B">
        <w:t>C</w:t>
      </w:r>
      <w:r>
        <w:t>ontact</w:t>
      </w:r>
      <w:r w:rsidRPr="00483E4B">
        <w:t xml:space="preserve"> </w:t>
      </w:r>
      <w:r>
        <w:t xml:space="preserve">is </w:t>
      </w:r>
      <w:r w:rsidRPr="00483E4B">
        <w:t>the national information hub centralising the reception, processing and the sending of the information to other countries.</w:t>
      </w:r>
      <w:r>
        <w:t xml:space="preserve"> It </w:t>
      </w:r>
      <w:r w:rsidRPr="00483E4B">
        <w:t>gather</w:t>
      </w:r>
      <w:r>
        <w:t xml:space="preserve">s </w:t>
      </w:r>
      <w:r w:rsidRPr="00483E4B">
        <w:t xml:space="preserve">under the same management structure all main international </w:t>
      </w:r>
      <w:r>
        <w:t xml:space="preserve">and EU </w:t>
      </w:r>
      <w:r w:rsidRPr="00483E4B">
        <w:t>law enforcement communication channels (INTERPOL, Europol and SIRENE).</w:t>
      </w:r>
    </w:p>
  </w:footnote>
  <w:footnote w:id="22">
    <w:p w14:paraId="17B9B831" w14:textId="7CA033E3" w:rsidR="005D507F" w:rsidRPr="00291D54" w:rsidRDefault="005D507F" w:rsidP="00FD3766">
      <w:pPr>
        <w:pStyle w:val="FootnoteText"/>
        <w:ind w:left="0" w:firstLine="0"/>
      </w:pPr>
      <w:r w:rsidRPr="00AC7C45">
        <w:rPr>
          <w:rStyle w:val="FootnoteReference0"/>
        </w:rPr>
        <w:footnoteRef/>
      </w:r>
      <w:r>
        <w:tab/>
      </w:r>
      <w:r w:rsidRPr="002240AF">
        <w:t xml:space="preserve">See the Impact Assessment </w:t>
      </w:r>
      <w:r>
        <w:t>accompanying</w:t>
      </w:r>
      <w:r w:rsidRPr="002240AF">
        <w:t xml:space="preserve"> this </w:t>
      </w:r>
      <w:r>
        <w:t>p</w:t>
      </w:r>
      <w:r w:rsidRPr="002240AF">
        <w:t>roposal.</w:t>
      </w:r>
    </w:p>
  </w:footnote>
  <w:footnote w:id="23">
    <w:p w14:paraId="1A9DCE07" w14:textId="359D2A0E" w:rsidR="005D507F" w:rsidRPr="007164F6" w:rsidRDefault="005D507F" w:rsidP="007B2C7A">
      <w:pPr>
        <w:pStyle w:val="FootnoteText"/>
        <w:rPr>
          <w:highlight w:val="yellow"/>
        </w:rPr>
      </w:pPr>
      <w:r w:rsidRPr="006538F8">
        <w:rPr>
          <w:rStyle w:val="FootnoteReference0"/>
        </w:rPr>
        <w:footnoteRef/>
      </w:r>
      <w:r>
        <w:tab/>
      </w:r>
      <w:r w:rsidRPr="008E7889">
        <w:t>Transliteration is the process of representing words/names from one language using the alphabet or writing system of another language (multilingual name recognition).</w:t>
      </w:r>
      <w:r w:rsidRPr="00A033E3">
        <w:rPr>
          <w:color w:val="000000"/>
          <w:sz w:val="18"/>
          <w:szCs w:val="18"/>
        </w:rPr>
        <w:t xml:space="preserve"> </w:t>
      </w:r>
      <w:r w:rsidRPr="008818F3">
        <w:t xml:space="preserve">E.g. </w:t>
      </w:r>
      <w:r>
        <w:t>the letter "o" can be 'ò', 'ó', 'ô, 'õ', 'ö', 'ø' depending on the language/alphabet used</w:t>
      </w:r>
      <w:r>
        <w:rPr>
          <w:szCs w:val="18"/>
        </w:rPr>
        <w:t>.</w:t>
      </w:r>
    </w:p>
  </w:footnote>
  <w:footnote w:id="24">
    <w:p w14:paraId="32F5951F" w14:textId="1A7441FE" w:rsidR="005D507F" w:rsidRPr="00D7651F" w:rsidRDefault="005D507F" w:rsidP="007B2C7A">
      <w:pPr>
        <w:pStyle w:val="FootnoteText"/>
      </w:pPr>
      <w:r w:rsidRPr="006538F8">
        <w:rPr>
          <w:rStyle w:val="FootnoteReference0"/>
        </w:rPr>
        <w:footnoteRef/>
      </w:r>
      <w:r>
        <w:tab/>
      </w:r>
      <w:r w:rsidRPr="0017220E">
        <w:t xml:space="preserve">A fuzzy database is a database which is able to deal with uncertain or incomplete information using fuzzy logic. i.e. </w:t>
      </w:r>
      <w:r w:rsidRPr="0017220E">
        <w:rPr>
          <w:szCs w:val="18"/>
        </w:rPr>
        <w:t>the ability to find matches even when a person' name is misspelled</w:t>
      </w:r>
      <w:r w:rsidRPr="0017220E">
        <w:t>.</w:t>
      </w:r>
    </w:p>
  </w:footnote>
  <w:footnote w:id="25">
    <w:p w14:paraId="1266910B" w14:textId="0AA3F55E" w:rsidR="005D507F" w:rsidRPr="00476FB3" w:rsidRDefault="005D507F" w:rsidP="007B2C7A">
      <w:pPr>
        <w:pStyle w:val="FootnoteText"/>
      </w:pPr>
      <w:r w:rsidRPr="006538F8">
        <w:rPr>
          <w:rStyle w:val="FootnoteReference0"/>
        </w:rPr>
        <w:footnoteRef/>
      </w:r>
      <w:r>
        <w:tab/>
        <w:t xml:space="preserve">The exchange of </w:t>
      </w:r>
      <w:r w:rsidRPr="00476FB3">
        <w:t xml:space="preserve">supplementary information </w:t>
      </w:r>
      <w:r>
        <w:t xml:space="preserve">related to SIS alerts </w:t>
      </w:r>
      <w:r w:rsidRPr="00476FB3">
        <w:t xml:space="preserve">must be </w:t>
      </w:r>
      <w:r>
        <w:t xml:space="preserve">done </w:t>
      </w:r>
      <w:r w:rsidRPr="00476FB3">
        <w:t xml:space="preserve">via </w:t>
      </w:r>
      <w:r w:rsidRPr="00E80704">
        <w:t xml:space="preserve">a single network of national offices called </w:t>
      </w:r>
      <w:r w:rsidRPr="00476FB3">
        <w:t>SIRENE Bureaux.</w:t>
      </w:r>
    </w:p>
  </w:footnote>
  <w:footnote w:id="26">
    <w:p w14:paraId="03D7111E" w14:textId="054E5A18" w:rsidR="005D507F" w:rsidRPr="00711544" w:rsidRDefault="005D507F" w:rsidP="00B73C04">
      <w:pPr>
        <w:pStyle w:val="FootnoteText"/>
      </w:pPr>
      <w:r w:rsidRPr="00327AD1">
        <w:rPr>
          <w:rStyle w:val="FootnoteReference0"/>
        </w:rPr>
        <w:footnoteRef/>
      </w:r>
      <w:r w:rsidRPr="00327AD1">
        <w:tab/>
        <w:t>Europol</w:t>
      </w:r>
      <w:r w:rsidRPr="00476FB3">
        <w:t xml:space="preserve"> National Unit.</w:t>
      </w:r>
      <w:r>
        <w:t xml:space="preserve"> I</w:t>
      </w:r>
      <w:r w:rsidRPr="00476FB3">
        <w:t>nformation exchange with Europol must be done via ENUs</w:t>
      </w:r>
      <w:r>
        <w:t xml:space="preserve"> using SIENA</w:t>
      </w:r>
      <w:r w:rsidRPr="00476FB3">
        <w:t>.</w:t>
      </w:r>
    </w:p>
  </w:footnote>
  <w:footnote w:id="27">
    <w:p w14:paraId="6CB84F43" w14:textId="328D8C0D" w:rsidR="005D507F" w:rsidRPr="007441FF" w:rsidRDefault="005D507F" w:rsidP="007B2C7A">
      <w:pPr>
        <w:pStyle w:val="FootnoteText"/>
        <w:rPr>
          <w:lang w:val="en-US"/>
        </w:rPr>
      </w:pPr>
      <w:r w:rsidRPr="006538F8">
        <w:rPr>
          <w:rStyle w:val="FootnoteReference0"/>
        </w:rPr>
        <w:footnoteRef/>
      </w:r>
      <w:r>
        <w:tab/>
        <w:t xml:space="preserve">A </w:t>
      </w:r>
      <w:r w:rsidRPr="007441FF">
        <w:t>number of national SPOCs use internal guidelines recommending or requiring the specific use of a communication channel for specific purpose, thereby ensuring consistency and avoiding duplication of requests. However, other SPOCs rely on officers' habits and preferences, such leeway resulting in inefficiencies in a cross-border investigation context.</w:t>
      </w:r>
    </w:p>
  </w:footnote>
  <w:footnote w:id="28">
    <w:p w14:paraId="070AAA13" w14:textId="4D3FE0B0" w:rsidR="005D507F" w:rsidRPr="00B97E5C" w:rsidRDefault="005D507F">
      <w:pPr>
        <w:pStyle w:val="FootnoteText"/>
      </w:pPr>
      <w:r w:rsidRPr="00AC7C45">
        <w:rPr>
          <w:rStyle w:val="FootnoteReference0"/>
        </w:rPr>
        <w:footnoteRef/>
      </w:r>
      <w:r>
        <w:tab/>
      </w:r>
      <w:r w:rsidRPr="002240AF">
        <w:rPr>
          <w:shd w:val="clear" w:color="auto" w:fill="FFFFFF"/>
        </w:rPr>
        <w:t>Regulation (EU) 2019/817 of the European Parliament and of the Council of 20 May 2019 on establishing a framework for interoperability between the EU information systems in the field of borders and visa and amending Regulations (EC) No 767/2008, (EU) 2016/399, (EU) 2017/2226, (EU) 2018/1240, (EU) 2018/1726 and (EU) 2018/1861 of the European Parliament and of the Council and Council Decisions 2004/512/EC and 2008/633/JHA [2019] OJ L 135/27; Regulation (EU) 2019/818 of the European Parliament and of the Council of 20 May 2019 on establishing a framework for interoperability between the EU information systems in the field of police and judicial cooperation, asylum and migration and amending Regulations (EU) 2018/1726, (EU) 20</w:t>
      </w:r>
      <w:r w:rsidRPr="00B97E5C">
        <w:rPr>
          <w:shd w:val="clear" w:color="auto" w:fill="FFFFFF"/>
        </w:rPr>
        <w:t>18/1862 and (EU) 2019/816 [2019]</w:t>
      </w:r>
      <w:r w:rsidRPr="002240AF">
        <w:rPr>
          <w:shd w:val="clear" w:color="auto" w:fill="FFFFFF"/>
        </w:rPr>
        <w:t xml:space="preserve"> OJ L 135/85</w:t>
      </w:r>
      <w:r>
        <w:rPr>
          <w:shd w:val="clear" w:color="auto" w:fill="FFFFFF"/>
        </w:rPr>
        <w:t>.</w:t>
      </w:r>
    </w:p>
  </w:footnote>
  <w:footnote w:id="29">
    <w:p w14:paraId="43A35948" w14:textId="3766FEAA" w:rsidR="005D507F" w:rsidRPr="004549DF" w:rsidRDefault="005D507F">
      <w:pPr>
        <w:pStyle w:val="FootnoteText"/>
        <w:rPr>
          <w:lang w:val="pt-BR"/>
        </w:rPr>
      </w:pPr>
      <w:r w:rsidRPr="006538F8">
        <w:rPr>
          <w:rStyle w:val="FootnoteReference0"/>
        </w:rPr>
        <w:footnoteRef/>
      </w:r>
      <w:r>
        <w:rPr>
          <w:lang w:val="pt-BR"/>
        </w:rPr>
        <w:tab/>
      </w:r>
      <w:r w:rsidRPr="004549DF">
        <w:rPr>
          <w:shd w:val="clear" w:color="auto" w:fill="FFFFFF"/>
          <w:lang w:val="pt-BR"/>
        </w:rPr>
        <w:t>COM/2020/796 final.</w:t>
      </w:r>
    </w:p>
  </w:footnote>
  <w:footnote w:id="30">
    <w:p w14:paraId="2CB2376F" w14:textId="33079CCA" w:rsidR="005D507F" w:rsidRPr="004549DF" w:rsidRDefault="005D507F">
      <w:pPr>
        <w:pStyle w:val="FootnoteText"/>
        <w:rPr>
          <w:lang w:val="pt-BR"/>
        </w:rPr>
      </w:pPr>
      <w:r w:rsidRPr="006538F8">
        <w:rPr>
          <w:rStyle w:val="FootnoteReference0"/>
        </w:rPr>
        <w:footnoteRef/>
      </w:r>
      <w:r>
        <w:rPr>
          <w:lang w:val="pt-BR"/>
        </w:rPr>
        <w:tab/>
      </w:r>
      <w:r w:rsidRPr="004549DF">
        <w:rPr>
          <w:shd w:val="clear" w:color="auto" w:fill="FFFFFF"/>
          <w:lang w:val="pt-BR"/>
        </w:rPr>
        <w:t>COM/2018/225 final - 2018/0108 (COD).</w:t>
      </w:r>
    </w:p>
  </w:footnote>
  <w:footnote w:id="31">
    <w:p w14:paraId="4FB21EFC" w14:textId="73F21634" w:rsidR="005D507F" w:rsidRPr="00AA6EF9" w:rsidRDefault="005D507F" w:rsidP="007B2C7A">
      <w:pPr>
        <w:pStyle w:val="FootnoteText"/>
      </w:pPr>
      <w:r w:rsidRPr="006538F8">
        <w:rPr>
          <w:rStyle w:val="FootnoteReference0"/>
        </w:rPr>
        <w:footnoteRef/>
      </w:r>
      <w:r>
        <w:tab/>
        <w:t xml:space="preserve">OJ L 312, 7.12.2018, </w:t>
      </w:r>
      <w:r w:rsidRPr="00477F64">
        <w:rPr>
          <w:rStyle w:val="Emphasis"/>
          <w:i w:val="0"/>
          <w:shd w:val="clear" w:color="auto" w:fill="FFFFFF"/>
        </w:rPr>
        <w:t>p. 1–13</w:t>
      </w:r>
      <w:r>
        <w:t xml:space="preserve">. </w:t>
      </w:r>
      <w:r w:rsidRPr="00AA6EF9">
        <w:t>Regulation 2018/1860 on the use of the Schengen Information System for the return of illegally staying third-country nationals</w:t>
      </w:r>
      <w:r>
        <w:t xml:space="preserve">; </w:t>
      </w:r>
      <w:r w:rsidRPr="00AA6EF9">
        <w:t>Regulation 2018/1861 on the establishment, operation and use of the Schengen Information System (SIS) in the field of border checks, and amending the Convention implementing the Schengen Agreement, and amending and repealing Regulation No 1987/2006</w:t>
      </w:r>
      <w:r>
        <w:t xml:space="preserve">; </w:t>
      </w:r>
      <w:r w:rsidRPr="00AA6EF9">
        <w:t>Regulation 2018/1862 on the establishment, operation and use of the Schengen Information System (SIS) in the field of police cooperation and judicial cooperation in criminal matters, amending and repealing Council Decision 2007/533/JHA, and repealing Regulation No 1986/2006 and Commission Decision 2010/261/EU</w:t>
      </w:r>
      <w:r>
        <w:t xml:space="preserve">, as amended. </w:t>
      </w:r>
    </w:p>
  </w:footnote>
  <w:footnote w:id="32">
    <w:p w14:paraId="318BEC6A" w14:textId="334B43E6" w:rsidR="005D507F" w:rsidRPr="000D61A7" w:rsidRDefault="005D507F" w:rsidP="00EA7539">
      <w:pPr>
        <w:pStyle w:val="FootnoteText"/>
        <w:rPr>
          <w:lang w:val="nl-NL"/>
        </w:rPr>
      </w:pPr>
      <w:r w:rsidRPr="006538F8">
        <w:rPr>
          <w:rStyle w:val="FootnoteReference0"/>
        </w:rPr>
        <w:footnoteRef/>
      </w:r>
      <w:r w:rsidRPr="000D61A7">
        <w:rPr>
          <w:lang w:val="nl-NL"/>
        </w:rPr>
        <w:tab/>
      </w:r>
      <w:r w:rsidRPr="000D61A7">
        <w:rPr>
          <w:rStyle w:val="Emphasis"/>
          <w:i w:val="0"/>
          <w:shd w:val="clear" w:color="auto" w:fill="FFFFFF"/>
          <w:lang w:val="nl-NL"/>
        </w:rPr>
        <w:t>OJ L 186, 11.7.2019, p. 122–137.</w:t>
      </w:r>
    </w:p>
  </w:footnote>
  <w:footnote w:id="33">
    <w:p w14:paraId="3303E11B" w14:textId="39700416" w:rsidR="005D507F" w:rsidRPr="000D61A7" w:rsidRDefault="005D507F">
      <w:pPr>
        <w:pStyle w:val="FootnoteText"/>
        <w:rPr>
          <w:lang w:val="nl-NL"/>
        </w:rPr>
      </w:pPr>
      <w:r w:rsidRPr="00AC7C45">
        <w:rPr>
          <w:rStyle w:val="FootnoteReference0"/>
        </w:rPr>
        <w:footnoteRef/>
      </w:r>
      <w:r>
        <w:rPr>
          <w:lang w:val="nl-NL"/>
        </w:rPr>
        <w:tab/>
      </w:r>
      <w:r w:rsidRPr="000D61A7">
        <w:rPr>
          <w:shd w:val="clear" w:color="auto" w:fill="FFFFFF"/>
          <w:lang w:val="nl-NL"/>
        </w:rPr>
        <w:t>Iceland, Liechtenstein, Norway and Switzerland.</w:t>
      </w:r>
    </w:p>
  </w:footnote>
  <w:footnote w:id="34">
    <w:p w14:paraId="744DC453" w14:textId="24B1E3E8" w:rsidR="005D507F" w:rsidRPr="009C1ACD" w:rsidRDefault="005D507F" w:rsidP="007B2C7A">
      <w:pPr>
        <w:pStyle w:val="FootnoteText"/>
        <w:rPr>
          <w:lang w:val="en-US"/>
        </w:rPr>
      </w:pPr>
      <w:r w:rsidRPr="006538F8">
        <w:rPr>
          <w:rStyle w:val="FootnoteReference0"/>
        </w:rPr>
        <w:footnoteRef/>
      </w:r>
      <w:r>
        <w:tab/>
        <w:t>Council Conclusions on Internal Security and European Police Partnership, 13083/1/20.</w:t>
      </w:r>
    </w:p>
  </w:footnote>
  <w:footnote w:id="35">
    <w:p w14:paraId="737B1D3B" w14:textId="21194C61" w:rsidR="005D507F" w:rsidRPr="00B1477D" w:rsidRDefault="005D507F" w:rsidP="007B2C7A">
      <w:pPr>
        <w:pStyle w:val="FootnoteText"/>
      </w:pPr>
      <w:r w:rsidRPr="006538F8">
        <w:rPr>
          <w:rStyle w:val="FootnoteReference0"/>
        </w:rPr>
        <w:footnoteRef/>
      </w:r>
      <w:r>
        <w:tab/>
      </w:r>
      <w:r w:rsidRPr="00AF21E1">
        <w:t xml:space="preserve">An exhaustive presentation of the </w:t>
      </w:r>
      <w:r w:rsidRPr="00B1477D">
        <w:t>stakeholder</w:t>
      </w:r>
      <w:r w:rsidRPr="00AF21E1">
        <w:t xml:space="preserve"> </w:t>
      </w:r>
      <w:r w:rsidRPr="00B1477D">
        <w:t>cons</w:t>
      </w:r>
      <w:r>
        <w:t>ultations is</w:t>
      </w:r>
      <w:r w:rsidRPr="00AF21E1">
        <w:t xml:space="preserve"> found in the </w:t>
      </w:r>
      <w:r w:rsidRPr="00B1477D">
        <w:t>Impact</w:t>
      </w:r>
      <w:r w:rsidRPr="00AF21E1">
        <w:t xml:space="preserve"> </w:t>
      </w:r>
      <w:r w:rsidRPr="00B1477D">
        <w:t>Assessment</w:t>
      </w:r>
      <w:r w:rsidRPr="00AF21E1">
        <w:t xml:space="preserve"> </w:t>
      </w:r>
      <w:r>
        <w:rPr>
          <w:szCs w:val="24"/>
        </w:rPr>
        <w:t xml:space="preserve">accompanying </w:t>
      </w:r>
      <w:r w:rsidRPr="00765B27">
        <w:rPr>
          <w:szCs w:val="24"/>
        </w:rPr>
        <w:t>th</w:t>
      </w:r>
      <w:r>
        <w:rPr>
          <w:szCs w:val="24"/>
        </w:rPr>
        <w:t xml:space="preserve">e present </w:t>
      </w:r>
      <w:r w:rsidRPr="00765B27">
        <w:rPr>
          <w:szCs w:val="24"/>
        </w:rPr>
        <w:t>proposal</w:t>
      </w:r>
      <w:r>
        <w:rPr>
          <w:szCs w:val="24"/>
        </w:rPr>
        <w:t>.</w:t>
      </w:r>
    </w:p>
  </w:footnote>
  <w:footnote w:id="36">
    <w:p w14:paraId="66719990" w14:textId="5C891AAD" w:rsidR="005D507F" w:rsidRPr="00FE7308" w:rsidRDefault="005D507F" w:rsidP="00AF44C3">
      <w:pPr>
        <w:pStyle w:val="FootnoteText"/>
        <w:rPr>
          <w:lang w:val="en-US"/>
        </w:rPr>
      </w:pPr>
      <w:r w:rsidRPr="006538F8">
        <w:rPr>
          <w:rStyle w:val="FootnoteReference0"/>
        </w:rPr>
        <w:footnoteRef/>
      </w:r>
      <w:r>
        <w:tab/>
        <w:t>SWD (2017) 350, 7.7.2017.</w:t>
      </w:r>
    </w:p>
  </w:footnote>
  <w:footnote w:id="37">
    <w:p w14:paraId="0B961954" w14:textId="03C57815" w:rsidR="005D507F" w:rsidRPr="00B1477D" w:rsidRDefault="005D507F">
      <w:pPr>
        <w:pStyle w:val="FootnoteText"/>
      </w:pPr>
      <w:r w:rsidRPr="006538F8">
        <w:rPr>
          <w:rStyle w:val="FootnoteReference0"/>
        </w:rPr>
        <w:footnoteRef/>
      </w:r>
      <w:r>
        <w:tab/>
      </w:r>
      <w:hyperlink r:id="rId1" w:history="1">
        <w:r>
          <w:rPr>
            <w:rStyle w:val="Hyperlink"/>
          </w:rPr>
          <w:t>EU police cooperation code – tackling cross-border serious &amp; organised crime (europa.eu)</w:t>
        </w:r>
      </w:hyperlink>
    </w:p>
  </w:footnote>
  <w:footnote w:id="38">
    <w:p w14:paraId="67E06DED" w14:textId="1EBCC30D" w:rsidR="005D507F" w:rsidRPr="00FD0300" w:rsidRDefault="005D507F">
      <w:pPr>
        <w:pStyle w:val="FootnoteText"/>
      </w:pPr>
      <w:r w:rsidRPr="00AC7C45">
        <w:rPr>
          <w:rStyle w:val="FootnoteReference0"/>
        </w:rPr>
        <w:footnoteRef/>
      </w:r>
      <w:r>
        <w:tab/>
      </w:r>
      <w:r w:rsidRPr="002240AF">
        <w:t xml:space="preserve">See Impact Assessment </w:t>
      </w:r>
      <w:r w:rsidRPr="004719DD">
        <w:t>accompanying this proposal</w:t>
      </w:r>
      <w:r w:rsidRPr="002240AF">
        <w:t>.</w:t>
      </w:r>
    </w:p>
  </w:footnote>
  <w:footnote w:id="39">
    <w:p w14:paraId="355EAA76" w14:textId="1A3EFC49" w:rsidR="005D507F" w:rsidRPr="00796EB0" w:rsidRDefault="005D507F">
      <w:pPr>
        <w:pStyle w:val="FootnoteText"/>
      </w:pPr>
      <w:r w:rsidRPr="00AC7C45">
        <w:rPr>
          <w:rStyle w:val="FootnoteReference0"/>
        </w:rPr>
        <w:footnoteRef/>
      </w:r>
      <w:r>
        <w:tab/>
      </w:r>
      <w:r w:rsidRPr="002240AF">
        <w:t xml:space="preserve">See Impact </w:t>
      </w:r>
      <w:r w:rsidRPr="00CF1516">
        <w:t>Assessment accompanying this proposal</w:t>
      </w:r>
      <w:r w:rsidRPr="002240AF">
        <w:t>.</w:t>
      </w:r>
    </w:p>
  </w:footnote>
  <w:footnote w:id="40">
    <w:p w14:paraId="3CD1D380" w14:textId="14641C59" w:rsidR="005D507F" w:rsidRPr="00F514E3" w:rsidRDefault="005D507F" w:rsidP="002240AF">
      <w:pPr>
        <w:pStyle w:val="NormalWeb"/>
        <w:shd w:val="clear" w:color="auto" w:fill="FFFFFF"/>
        <w:spacing w:before="0" w:beforeAutospacing="0" w:after="0" w:afterAutospacing="0"/>
      </w:pPr>
      <w:r w:rsidRPr="00B83281">
        <w:rPr>
          <w:rStyle w:val="FootnoteReference0"/>
        </w:rPr>
        <w:footnoteRef/>
      </w:r>
      <w:r>
        <w:rPr>
          <w:sz w:val="20"/>
          <w:szCs w:val="20"/>
        </w:rPr>
        <w:tab/>
      </w:r>
      <w:r w:rsidRPr="00D46B89">
        <w:rPr>
          <w:sz w:val="20"/>
          <w:szCs w:val="20"/>
        </w:rPr>
        <w:t xml:space="preserve">Directive (EU) 2016/680, </w:t>
      </w:r>
      <w:r w:rsidRPr="00D46B89">
        <w:rPr>
          <w:iCs/>
          <w:sz w:val="20"/>
          <w:szCs w:val="20"/>
        </w:rPr>
        <w:t>OJ L 119, 4.5.2016.</w:t>
      </w:r>
    </w:p>
  </w:footnote>
  <w:footnote w:id="41">
    <w:p w14:paraId="2F1D1B6E" w14:textId="29E2F6A1" w:rsidR="005D507F" w:rsidRPr="00FB474F" w:rsidRDefault="005D507F" w:rsidP="00B73C04">
      <w:pPr>
        <w:pStyle w:val="FootnoteText"/>
      </w:pPr>
      <w:r w:rsidRPr="00327AD1">
        <w:rPr>
          <w:rStyle w:val="FootnoteReference0"/>
        </w:rPr>
        <w:footnoteRef/>
      </w:r>
      <w:r w:rsidRPr="00327AD1">
        <w:tab/>
        <w:t>COM(2020)262,</w:t>
      </w:r>
      <w:r w:rsidRPr="007B2A19">
        <w:t xml:space="preserve"> </w:t>
      </w:r>
      <w:r w:rsidRPr="00917564">
        <w:rPr>
          <w:i/>
        </w:rPr>
        <w:t>Way forward on aligning the former third pillar acquis with data protection rules</w:t>
      </w:r>
      <w:r>
        <w:rPr>
          <w:i/>
        </w:rPr>
        <w:t>.</w:t>
      </w:r>
    </w:p>
  </w:footnote>
  <w:footnote w:id="42">
    <w:p w14:paraId="7FA6A3F2" w14:textId="25E22FB6" w:rsidR="005D507F" w:rsidRPr="00F421A8" w:rsidRDefault="005D507F">
      <w:pPr>
        <w:pStyle w:val="FootnoteText"/>
      </w:pPr>
      <w:r w:rsidRPr="00AC7C45">
        <w:rPr>
          <w:rStyle w:val="FootnoteReference0"/>
        </w:rPr>
        <w:footnoteRef/>
      </w:r>
      <w:r>
        <w:tab/>
        <w:t xml:space="preserve">Police </w:t>
      </w:r>
      <w:r w:rsidRPr="004E43CA">
        <w:t>and Cus</w:t>
      </w:r>
      <w:r>
        <w:t>toms Cooperation Centres are</w:t>
      </w:r>
      <w:r w:rsidRPr="004E43CA">
        <w:t xml:space="preserve"> </w:t>
      </w:r>
      <w:r>
        <w:t xml:space="preserve">regional information hubs </w:t>
      </w:r>
      <w:r w:rsidRPr="004E43CA">
        <w:t>set up in bo</w:t>
      </w:r>
      <w:r>
        <w:t xml:space="preserve">rder regions of two or more Member States. They are composed by personnel of law enforcement authorities from these Member States. So far, </w:t>
      </w:r>
      <w:r w:rsidRPr="004E43CA">
        <w:t xml:space="preserve">59 </w:t>
      </w:r>
      <w:r>
        <w:t>Police and Customs Cooperation Centres</w:t>
      </w:r>
      <w:r w:rsidRPr="004E43CA">
        <w:t xml:space="preserve"> have been set up across </w:t>
      </w:r>
      <w:r>
        <w:t>Europe</w:t>
      </w:r>
      <w:r w:rsidRPr="004E43CA">
        <w:t>.</w:t>
      </w:r>
    </w:p>
  </w:footnote>
  <w:footnote w:id="43">
    <w:p w14:paraId="0AB216F1" w14:textId="031C42E7" w:rsidR="005D507F" w:rsidRPr="00327AD1" w:rsidRDefault="005D507F" w:rsidP="00B73C04">
      <w:pPr>
        <w:pStyle w:val="FootnoteText"/>
        <w:rPr>
          <w:lang w:val="de-DE"/>
        </w:rPr>
      </w:pPr>
      <w:r w:rsidRPr="00327AD1">
        <w:rPr>
          <w:rStyle w:val="FootnoteReference0"/>
        </w:rPr>
        <w:footnoteRef/>
      </w:r>
      <w:r w:rsidRPr="00327AD1">
        <w:tab/>
      </w:r>
      <w:r w:rsidRPr="00327AD1">
        <w:rPr>
          <w:lang w:val="de-DE"/>
        </w:rPr>
        <w:t>Regulation (EU) 2021/1149.</w:t>
      </w:r>
    </w:p>
  </w:footnote>
  <w:footnote w:id="44">
    <w:p w14:paraId="6D26D611" w14:textId="6E3F452C" w:rsidR="005D507F" w:rsidRPr="00E431A2" w:rsidRDefault="005D507F" w:rsidP="00B73C04">
      <w:pPr>
        <w:pStyle w:val="FootnoteText"/>
      </w:pPr>
      <w:r w:rsidRPr="00327AD1">
        <w:rPr>
          <w:rStyle w:val="FootnoteReference0"/>
        </w:rPr>
        <w:footnoteRef/>
      </w:r>
      <w:r w:rsidRPr="00327AD1">
        <w:tab/>
        <w:t>See Articles 3(2)(a</w:t>
      </w:r>
      <w:r w:rsidRPr="00E431A2">
        <w:t>) and (b) of Regulation (EU) 2021/1149.</w:t>
      </w:r>
    </w:p>
  </w:footnote>
  <w:footnote w:id="45">
    <w:p w14:paraId="05EF4510" w14:textId="61566CB2" w:rsidR="005D507F" w:rsidRPr="00393BC0" w:rsidRDefault="005D507F" w:rsidP="00AF44C3">
      <w:pPr>
        <w:pStyle w:val="FootnoteText"/>
      </w:pPr>
      <w:r w:rsidRPr="006538F8">
        <w:rPr>
          <w:rStyle w:val="FootnoteReference0"/>
        </w:rPr>
        <w:footnoteRef/>
      </w:r>
      <w:r>
        <w:tab/>
      </w:r>
      <w:r w:rsidRPr="00393BC0">
        <w:rPr>
          <w:rStyle w:val="Emphasis"/>
          <w:i w:val="0"/>
          <w:shd w:val="clear" w:color="auto" w:fill="FFFFFF"/>
        </w:rPr>
        <w:t>OJ L 295, 6.11.2013, p. 27–37.</w:t>
      </w:r>
    </w:p>
  </w:footnote>
  <w:footnote w:id="46">
    <w:p w14:paraId="47392618" w14:textId="253E7D4E" w:rsidR="005D507F" w:rsidRDefault="005D507F" w:rsidP="007B2C7A">
      <w:pPr>
        <w:pStyle w:val="FootnoteText"/>
      </w:pPr>
      <w:r w:rsidRPr="006538F8">
        <w:rPr>
          <w:rStyle w:val="FootnoteReference0"/>
        </w:rPr>
        <w:footnoteRef/>
      </w:r>
      <w:r>
        <w:tab/>
        <w:t>Commission proposal for a Council regulation on the establishment and operation of an evaluation and monitoring mechanism to verify the application of the Schengen acquis and repealing Regulation (EU) 1053/2013, 2 June 2021.</w:t>
      </w:r>
    </w:p>
  </w:footnote>
  <w:footnote w:id="47">
    <w:p w14:paraId="3A81E3F3" w14:textId="0C954D99" w:rsidR="005D507F" w:rsidRPr="00DC5924" w:rsidRDefault="005D507F" w:rsidP="00FF3D38">
      <w:pPr>
        <w:pStyle w:val="FootnoteText"/>
      </w:pPr>
      <w:r w:rsidRPr="00AC7C45">
        <w:rPr>
          <w:rStyle w:val="FootnoteReference0"/>
        </w:rPr>
        <w:footnoteRef/>
      </w:r>
      <w:r>
        <w:tab/>
        <w:t xml:space="preserve">OJ L 312, 7.12.2018, </w:t>
      </w:r>
      <w:r w:rsidRPr="00477F64">
        <w:rPr>
          <w:rStyle w:val="Emphasis"/>
          <w:i w:val="0"/>
          <w:shd w:val="clear" w:color="auto" w:fill="FFFFFF"/>
        </w:rPr>
        <w:t>p. 1–13</w:t>
      </w:r>
      <w:r>
        <w:t xml:space="preserve">. </w:t>
      </w:r>
      <w:r w:rsidRPr="00AA6EF9">
        <w:t>Regulation 2018/1860 on the use of the Schengen Information System for the return of illegally staying third-country nationals</w:t>
      </w:r>
      <w:r>
        <w:t xml:space="preserve">; </w:t>
      </w:r>
      <w:r w:rsidRPr="00AA6EF9">
        <w:t>Regulation 2018/1861 on the establishment, operation and use of the Schengen Information System (SIS) in the field of border checks, and amending the Convention implementing the Schengen Agreement, and amending and repealing Regulation No 1987/2006</w:t>
      </w:r>
      <w:r>
        <w:t xml:space="preserve">; </w:t>
      </w:r>
      <w:r w:rsidRPr="00AA6EF9">
        <w:t>Regulation 2018/1862 on the establishment, operation and use of the Schengen Information System (SIS) in the field of police cooperation and judicial cooperation in criminal matters, amending and repealing Council Decision 2007/533/JHA, and repealing Regulation No 1986/2006 and Commission Decision 2010/261/EU</w:t>
      </w:r>
      <w:r>
        <w:t>, as amended.</w:t>
      </w:r>
    </w:p>
  </w:footnote>
  <w:footnote w:id="48">
    <w:p w14:paraId="16835425" w14:textId="4CE25B2D" w:rsidR="005D507F" w:rsidRDefault="005D507F" w:rsidP="00591BA8">
      <w:pPr>
        <w:pStyle w:val="NormalWeb"/>
        <w:shd w:val="clear" w:color="auto" w:fill="FFFFFF"/>
        <w:spacing w:before="0" w:beforeAutospacing="0" w:after="0" w:afterAutospacing="0"/>
        <w:ind w:left="720" w:hanging="720"/>
        <w:jc w:val="both"/>
      </w:pPr>
      <w:r w:rsidRPr="00B83281">
        <w:rPr>
          <w:rStyle w:val="FootnoteReference0"/>
        </w:rPr>
        <w:footnoteRef/>
      </w:r>
      <w:r>
        <w:rPr>
          <w:sz w:val="20"/>
        </w:rPr>
        <w:tab/>
      </w:r>
      <w:r w:rsidRPr="00591BA8">
        <w:rPr>
          <w:rFonts w:eastAsiaTheme="minorHAnsi"/>
          <w:iCs/>
          <w:sz w:val="20"/>
          <w:szCs w:val="20"/>
          <w:lang w:eastAsia="en-US"/>
        </w:rPr>
        <w:t>Convention implementing the Schengen Agreement of 14 June 1985 between the Governments of the States of the Benelux Economic Union, the Federal Republic of Germany and the French Republic on the gradual abolition of checks at their common borders (OJ L 239, 22.9.2000, p. 19)</w:t>
      </w:r>
      <w:r>
        <w:rPr>
          <w:rFonts w:eastAsiaTheme="minorHAnsi"/>
          <w:iCs/>
          <w:sz w:val="20"/>
          <w:szCs w:val="20"/>
          <w:lang w:eastAsia="en-US"/>
        </w:rPr>
        <w:t>.</w:t>
      </w:r>
    </w:p>
  </w:footnote>
  <w:footnote w:id="49">
    <w:p w14:paraId="54E4E215" w14:textId="458505E8" w:rsidR="005D507F" w:rsidRPr="00066129" w:rsidRDefault="005D507F" w:rsidP="00525C78">
      <w:pPr>
        <w:pStyle w:val="FootnoteText"/>
      </w:pPr>
      <w:r w:rsidRPr="006538F8">
        <w:rPr>
          <w:rStyle w:val="FootnoteReference0"/>
        </w:rPr>
        <w:footnoteRef/>
      </w:r>
      <w:r>
        <w:tab/>
        <w:t>Council Framework Decision 2006/960/JHA of 18 December 2006 on simplifying the exchange of information and intelligence between law enforcement authorities of the Member States of the European Union (</w:t>
      </w:r>
      <w:r w:rsidRPr="004549DF">
        <w:rPr>
          <w:rStyle w:val="Emphasis"/>
          <w:i w:val="0"/>
          <w:shd w:val="clear" w:color="auto" w:fill="FFFFFF"/>
        </w:rPr>
        <w:t>OJ L 386, 29.12.2006</w:t>
      </w:r>
      <w:r>
        <w:rPr>
          <w:rStyle w:val="Emphasis"/>
          <w:i w:val="0"/>
          <w:shd w:val="clear" w:color="auto" w:fill="FFFFFF"/>
        </w:rPr>
        <w:t xml:space="preserve">, </w:t>
      </w:r>
      <w:r w:rsidRPr="0085762A">
        <w:rPr>
          <w:rStyle w:val="Emphasis"/>
          <w:i w:val="0"/>
          <w:shd w:val="clear" w:color="auto" w:fill="FFFFFF"/>
        </w:rPr>
        <w:t>p. 89</w:t>
      </w:r>
      <w:r>
        <w:rPr>
          <w:rStyle w:val="Emphasis"/>
          <w:i w:val="0"/>
          <w:shd w:val="clear" w:color="auto" w:fill="FFFFFF"/>
        </w:rPr>
        <w:t>)</w:t>
      </w:r>
      <w:r w:rsidRPr="0085762A">
        <w:rPr>
          <w:rStyle w:val="Emphasis"/>
          <w:i w:val="0"/>
          <w:shd w:val="clear" w:color="auto" w:fill="FFFFFF"/>
        </w:rPr>
        <w:t>.</w:t>
      </w:r>
    </w:p>
  </w:footnote>
  <w:footnote w:id="50">
    <w:p w14:paraId="30A5B475" w14:textId="78A8CBCF" w:rsidR="005D507F" w:rsidRPr="0085762A" w:rsidRDefault="005D507F" w:rsidP="007B2C7A">
      <w:pPr>
        <w:pStyle w:val="FootnoteText"/>
        <w:rPr>
          <w:i/>
          <w:lang w:val="de-DE"/>
        </w:rPr>
      </w:pPr>
      <w:r w:rsidRPr="006538F8">
        <w:rPr>
          <w:rStyle w:val="FootnoteReference0"/>
        </w:rPr>
        <w:footnoteRef/>
      </w:r>
      <w:r>
        <w:rPr>
          <w:i/>
        </w:rPr>
        <w:tab/>
      </w:r>
      <w:r w:rsidRPr="006D0A07">
        <w:t>Council Regulation (EU) No</w:t>
      </w:r>
      <w:r w:rsidRPr="006D0A07">
        <w:rPr>
          <w:rFonts w:hint="eastAsia"/>
        </w:rPr>
        <w:t> </w:t>
      </w:r>
      <w:r w:rsidRPr="006D0A07">
        <w:t>1053/2013 of 7</w:t>
      </w:r>
      <w:r w:rsidRPr="006D0A07">
        <w:rPr>
          <w:rFonts w:hint="eastAsia"/>
        </w:rPr>
        <w:t> </w:t>
      </w:r>
      <w:r w:rsidRPr="006D0A07">
        <w:t>October 2013 establishing an evaluation and monitoring mechanism to verify the application of the Schengen acquis and repealing the Decision of the Executive Committee of 16</w:t>
      </w:r>
      <w:r w:rsidRPr="006D0A07">
        <w:rPr>
          <w:rFonts w:hint="eastAsia"/>
        </w:rPr>
        <w:t> </w:t>
      </w:r>
      <w:r w:rsidRPr="006D0A07">
        <w:t>September 1998 setting up a Standing Committee on the evaluation and implementation of Schengen (OJ L 295</w:t>
      </w:r>
      <w:r w:rsidRPr="0085762A">
        <w:rPr>
          <w:rStyle w:val="Emphasis"/>
          <w:i w:val="0"/>
          <w:shd w:val="clear" w:color="auto" w:fill="FFFFFF"/>
        </w:rPr>
        <w:t>, 6.11.2013</w:t>
      </w:r>
      <w:r w:rsidRPr="00181AA4">
        <w:rPr>
          <w:rStyle w:val="Emphasis"/>
          <w:i w:val="0"/>
          <w:shd w:val="clear" w:color="auto" w:fill="FFFFFF"/>
        </w:rPr>
        <w:t>,</w:t>
      </w:r>
      <w:r w:rsidRPr="0085762A">
        <w:rPr>
          <w:rStyle w:val="Emphasis"/>
          <w:i w:val="0"/>
          <w:shd w:val="clear" w:color="auto" w:fill="FFFFFF"/>
        </w:rPr>
        <w:t xml:space="preserve"> p. 27</w:t>
      </w:r>
      <w:r>
        <w:rPr>
          <w:rStyle w:val="Emphasis"/>
          <w:i w:val="0"/>
          <w:shd w:val="clear" w:color="auto" w:fill="FFFFFF"/>
        </w:rPr>
        <w:t>)</w:t>
      </w:r>
      <w:r w:rsidRPr="0085762A">
        <w:rPr>
          <w:rStyle w:val="Emphasis"/>
          <w:i w:val="0"/>
          <w:shd w:val="clear" w:color="auto" w:fill="FFFFFF"/>
        </w:rPr>
        <w:t>.</w:t>
      </w:r>
      <w:r w:rsidRPr="00181AA4">
        <w:rPr>
          <w:iCs/>
        </w:rPr>
        <w:t xml:space="preserve"> </w:t>
      </w:r>
    </w:p>
  </w:footnote>
  <w:footnote w:id="51">
    <w:p w14:paraId="70038611" w14:textId="39216969" w:rsidR="005D507F" w:rsidRPr="0085762A" w:rsidRDefault="005D507F" w:rsidP="007B2C7A">
      <w:pPr>
        <w:pStyle w:val="FootnoteText"/>
        <w:rPr>
          <w:lang w:val="de-DE"/>
        </w:rPr>
      </w:pPr>
      <w:r w:rsidRPr="005E3B12">
        <w:rPr>
          <w:rStyle w:val="FootnoteReference0"/>
        </w:rPr>
        <w:footnoteRef/>
      </w:r>
      <w:r>
        <w:tab/>
      </w:r>
      <w:r w:rsidRPr="00AA6EF9">
        <w:t xml:space="preserve">Regulation </w:t>
      </w:r>
      <w:r>
        <w:rPr>
          <w:szCs w:val="24"/>
          <w:lang w:eastAsia="nl-NL"/>
        </w:rPr>
        <w:t xml:space="preserve">(EU) </w:t>
      </w:r>
      <w:r w:rsidRPr="00AA6EF9">
        <w:t xml:space="preserve">2018/1860 </w:t>
      </w:r>
      <w:r>
        <w:t xml:space="preserve">of the European Parliament and of the Council of 28 November 2018 </w:t>
      </w:r>
      <w:r w:rsidRPr="00AA6EF9">
        <w:t>on the use of the Schengen Information System for the return of illegally staying third-country nationals</w:t>
      </w:r>
      <w:r w:rsidRPr="00D83310">
        <w:t xml:space="preserve"> </w:t>
      </w:r>
      <w:r>
        <w:t xml:space="preserve">(OJ L 312, 7.12.2018, </w:t>
      </w:r>
      <w:r w:rsidRPr="00477F64">
        <w:rPr>
          <w:rStyle w:val="Emphasis"/>
          <w:i w:val="0"/>
          <w:shd w:val="clear" w:color="auto" w:fill="FFFFFF"/>
        </w:rPr>
        <w:t>p. 1</w:t>
      </w:r>
      <w:r>
        <w:rPr>
          <w:rStyle w:val="Emphasis"/>
          <w:i w:val="0"/>
          <w:shd w:val="clear" w:color="auto" w:fill="FFFFFF"/>
        </w:rPr>
        <w:t>).</w:t>
      </w:r>
      <w:r>
        <w:t xml:space="preserve"> </w:t>
      </w:r>
    </w:p>
  </w:footnote>
  <w:footnote w:id="52">
    <w:p w14:paraId="61BCECC6" w14:textId="67E07D7F" w:rsidR="005D507F" w:rsidRPr="006D0A07" w:rsidRDefault="005D507F">
      <w:pPr>
        <w:pStyle w:val="FootnoteText"/>
        <w:rPr>
          <w:lang w:val="en-US"/>
        </w:rPr>
      </w:pPr>
      <w:r>
        <w:rPr>
          <w:rStyle w:val="FootnoteReference0"/>
        </w:rPr>
        <w:footnoteRef/>
      </w:r>
      <w:r>
        <w:rPr>
          <w:lang w:val="en-US"/>
        </w:rPr>
        <w:tab/>
      </w:r>
      <w:r w:rsidRPr="00AA6EF9">
        <w:t xml:space="preserve">Regulation </w:t>
      </w:r>
      <w:r>
        <w:rPr>
          <w:szCs w:val="24"/>
          <w:lang w:eastAsia="nl-NL"/>
        </w:rPr>
        <w:t xml:space="preserve">(EU) </w:t>
      </w:r>
      <w:r w:rsidRPr="00AA6EF9">
        <w:t xml:space="preserve">2018/1861 </w:t>
      </w:r>
      <w:r>
        <w:t xml:space="preserve">of the European Parliament and of the Council of 28 November 2018 </w:t>
      </w:r>
      <w:r w:rsidRPr="00AA6EF9">
        <w:t>on the establishment, operation and use of the Schengen Information System (SIS) in the field of border checks, and amending the Convention implementing the Schengen Agreement, and amending and repealing Regulation No 1987/2006</w:t>
      </w:r>
      <w:r>
        <w:t xml:space="preserve"> (</w:t>
      </w:r>
      <w:r w:rsidRPr="001354EA">
        <w:t>OJ L 312, 7.12.2018, p. 14</w:t>
      </w:r>
      <w:r>
        <w:t>).</w:t>
      </w:r>
    </w:p>
  </w:footnote>
  <w:footnote w:id="53">
    <w:p w14:paraId="7AACF095" w14:textId="00437783" w:rsidR="005D507F" w:rsidRPr="006D0A07" w:rsidRDefault="005D507F">
      <w:pPr>
        <w:pStyle w:val="FootnoteText"/>
        <w:rPr>
          <w:lang w:val="en-US"/>
        </w:rPr>
      </w:pPr>
      <w:r>
        <w:rPr>
          <w:rStyle w:val="FootnoteReference0"/>
        </w:rPr>
        <w:footnoteRef/>
      </w:r>
      <w:r>
        <w:rPr>
          <w:lang w:val="en-US"/>
        </w:rPr>
        <w:tab/>
      </w:r>
      <w:r w:rsidRPr="00AA6EF9">
        <w:t xml:space="preserve">Regulation </w:t>
      </w:r>
      <w:r>
        <w:rPr>
          <w:szCs w:val="24"/>
          <w:lang w:eastAsia="nl-NL"/>
        </w:rPr>
        <w:t xml:space="preserve">(EU) </w:t>
      </w:r>
      <w:r w:rsidRPr="00AA6EF9">
        <w:t xml:space="preserve">2018/1862 </w:t>
      </w:r>
      <w:r>
        <w:t xml:space="preserve">of the European Parliament and of the Council of 28 November 2018 </w:t>
      </w:r>
      <w:r w:rsidRPr="00AA6EF9">
        <w:t>on the establishment, operation and use of the Schengen Information System (SIS) in the field of police cooperation and judicial cooperation in criminal matters, amending and repealing Council Decision 2007/533/JHA, and repealing Regulation No 1986/2006 and Commission Decision 2010/261/EU</w:t>
      </w:r>
      <w:r>
        <w:t xml:space="preserve"> (</w:t>
      </w:r>
      <w:r w:rsidRPr="001354EA">
        <w:t>OJ L 312, 7.12.2018, p. 56</w:t>
      </w:r>
      <w:r>
        <w:t>).</w:t>
      </w:r>
    </w:p>
  </w:footnote>
  <w:footnote w:id="54">
    <w:p w14:paraId="361AD150" w14:textId="18B71241" w:rsidR="005D507F" w:rsidRPr="007B72BC" w:rsidRDefault="005D507F">
      <w:pPr>
        <w:pStyle w:val="FootnoteText"/>
      </w:pPr>
      <w:r w:rsidRPr="00514A9C">
        <w:rPr>
          <w:rStyle w:val="FootnoteReference0"/>
        </w:rPr>
        <w:footnoteRef/>
      </w:r>
      <w:r>
        <w:tab/>
      </w:r>
      <w:r w:rsidRPr="007B72BC">
        <w:rPr>
          <w:color w:val="000000" w:themeColor="text1"/>
          <w:shd w:val="clear" w:color="auto" w:fill="FFFFFF"/>
        </w:rPr>
        <w:t>Regulation (EU) 2016/794 of the European Parliament and of the Council of 11 May 2016 on the European Union Agency for Law Enforcement Cooperation (Europol) and replacing and repealing Council Decisions 2009/371/JHA, 2009/934/JHA, 2009/935/JHA, 2009/936/JHA and 2009/968/JHA</w:t>
      </w:r>
      <w:r>
        <w:rPr>
          <w:color w:val="000000" w:themeColor="text1"/>
          <w:shd w:val="clear" w:color="auto" w:fill="FFFFFF"/>
        </w:rPr>
        <w:t xml:space="preserve"> </w:t>
      </w:r>
      <w:r w:rsidRPr="007B72BC">
        <w:rPr>
          <w:color w:val="000000" w:themeColor="text1"/>
          <w:shd w:val="clear" w:color="auto" w:fill="FFFFFF"/>
        </w:rPr>
        <w:t>(</w:t>
      </w:r>
      <w:r w:rsidRPr="007B72BC">
        <w:rPr>
          <w:rStyle w:val="Emphasis"/>
          <w:i w:val="0"/>
          <w:color w:val="444444"/>
          <w:shd w:val="clear" w:color="auto" w:fill="FFFFFF"/>
        </w:rPr>
        <w:t>OJ L 135, 24.5.2016, p. 53)</w:t>
      </w:r>
      <w:r w:rsidRPr="007B72BC">
        <w:rPr>
          <w:color w:val="000000" w:themeColor="text1"/>
          <w:shd w:val="clear" w:color="auto" w:fill="FFFFFF"/>
        </w:rPr>
        <w:t>.</w:t>
      </w:r>
    </w:p>
  </w:footnote>
  <w:footnote w:id="55">
    <w:p w14:paraId="0521BB70" w14:textId="1037CA58" w:rsidR="005D507F" w:rsidRPr="0085762A" w:rsidRDefault="005D507F">
      <w:pPr>
        <w:pStyle w:val="FootnoteText"/>
        <w:rPr>
          <w:lang w:val="de-DE"/>
        </w:rPr>
      </w:pPr>
      <w:r w:rsidRPr="006538F8">
        <w:rPr>
          <w:rStyle w:val="FootnoteReference0"/>
        </w:rPr>
        <w:footnoteRef/>
      </w:r>
      <w:r>
        <w:tab/>
      </w:r>
      <w:r w:rsidRPr="00B72149">
        <w:t>Directive (EU) 2016/681 of the European Parliament and of the Council of 27 April 2016 on the use of passenger name record (PNR) data for the prevention, detection, investigation and prosecution of terrorist offences and serious crime</w:t>
      </w:r>
      <w:r>
        <w:t xml:space="preserve"> (</w:t>
      </w:r>
      <w:r w:rsidRPr="0085762A">
        <w:rPr>
          <w:rStyle w:val="Emphasis"/>
          <w:i w:val="0"/>
          <w:shd w:val="clear" w:color="auto" w:fill="FFFFFF"/>
        </w:rPr>
        <w:t>OJ L 119, 4.5.2016, p. 132</w:t>
      </w:r>
      <w:r>
        <w:rPr>
          <w:rStyle w:val="Emphasis"/>
          <w:i w:val="0"/>
          <w:shd w:val="clear" w:color="auto" w:fill="FFFFFF"/>
        </w:rPr>
        <w:t>)</w:t>
      </w:r>
      <w:r w:rsidRPr="0085762A">
        <w:rPr>
          <w:rStyle w:val="Emphasis"/>
          <w:i w:val="0"/>
          <w:shd w:val="clear" w:color="auto" w:fill="FFFFFF"/>
        </w:rPr>
        <w:t>.</w:t>
      </w:r>
    </w:p>
  </w:footnote>
  <w:footnote w:id="56">
    <w:p w14:paraId="38762A37" w14:textId="77777777" w:rsidR="005D507F" w:rsidRPr="00A26155" w:rsidRDefault="005D507F" w:rsidP="00E6684F">
      <w:pPr>
        <w:pStyle w:val="FootnoteText"/>
      </w:pPr>
      <w:r w:rsidRPr="006538F8">
        <w:rPr>
          <w:rStyle w:val="FootnoteReference0"/>
        </w:rPr>
        <w:footnoteRef/>
      </w:r>
      <w:r>
        <w:tab/>
      </w:r>
      <w:r w:rsidRPr="0093483E">
        <w:t>Directive (EU) 2019/1153 of the European Parliament and of the Council of 20 June 2019 laying down rules facilitating the use of financial and other information for the prevention, detection, investigation or prosecution of certain criminal offences, and repealing Council Decision 2000/642/JHA</w:t>
      </w:r>
      <w:r>
        <w:t xml:space="preserve"> (</w:t>
      </w:r>
      <w:r w:rsidRPr="009F3E94">
        <w:rPr>
          <w:rStyle w:val="Emphasis"/>
          <w:i w:val="0"/>
          <w:shd w:val="clear" w:color="auto" w:fill="FFFFFF"/>
        </w:rPr>
        <w:t>OJ L 186, 11.</w:t>
      </w:r>
      <w:r w:rsidRPr="001839BC">
        <w:rPr>
          <w:rStyle w:val="Emphasis"/>
          <w:i w:val="0"/>
          <w:shd w:val="clear" w:color="auto" w:fill="FFFFFF"/>
        </w:rPr>
        <w:t>7.2019</w:t>
      </w:r>
      <w:r>
        <w:rPr>
          <w:rStyle w:val="Emphasis"/>
          <w:i w:val="0"/>
          <w:shd w:val="clear" w:color="auto" w:fill="FFFFFF"/>
        </w:rPr>
        <w:t xml:space="preserve">, </w:t>
      </w:r>
      <w:r w:rsidRPr="001A3DA8">
        <w:rPr>
          <w:rStyle w:val="Emphasis"/>
          <w:i w:val="0"/>
          <w:shd w:val="clear" w:color="auto" w:fill="FFFFFF"/>
        </w:rPr>
        <w:t>p. 122</w:t>
      </w:r>
      <w:r>
        <w:rPr>
          <w:rStyle w:val="Emphasis"/>
          <w:i w:val="0"/>
          <w:shd w:val="clear" w:color="auto" w:fill="FFFFFF"/>
        </w:rPr>
        <w:t>).</w:t>
      </w:r>
    </w:p>
  </w:footnote>
  <w:footnote w:id="57">
    <w:p w14:paraId="2B6CDCC5" w14:textId="77777777" w:rsidR="005D507F" w:rsidRPr="006D3AE6" w:rsidRDefault="005D507F" w:rsidP="00E234F0">
      <w:pPr>
        <w:pStyle w:val="FootnoteText"/>
        <w:rPr>
          <w:lang w:val="en-US"/>
        </w:rPr>
      </w:pPr>
      <w:r>
        <w:rPr>
          <w:rStyle w:val="FootnoteReference0"/>
        </w:rPr>
        <w:footnoteRef/>
      </w:r>
      <w:r w:rsidRPr="006D3AE6">
        <w:rPr>
          <w:lang w:val="en-US"/>
        </w:rPr>
        <w:tab/>
      </w:r>
      <w:r w:rsidRPr="00CE3F2A">
        <w:t>Council Decision 2008/615/JHA of 23 June 2008 on the stepping up of cross-border cooperation, particularly in combating terrorism and cross-border crime (OJ L 210, 6.8.2008, p. 1).</w:t>
      </w:r>
    </w:p>
  </w:footnote>
  <w:footnote w:id="58">
    <w:p w14:paraId="0A5E4005" w14:textId="5CE3D131" w:rsidR="005D507F" w:rsidRPr="006D3AE6" w:rsidRDefault="005D507F" w:rsidP="00E234F0">
      <w:pPr>
        <w:pStyle w:val="FootnoteText"/>
        <w:rPr>
          <w:lang w:val="en-US"/>
        </w:rPr>
      </w:pPr>
      <w:r>
        <w:rPr>
          <w:rStyle w:val="FootnoteReference0"/>
        </w:rPr>
        <w:footnoteRef/>
      </w:r>
      <w:r w:rsidRPr="006D3AE6">
        <w:rPr>
          <w:lang w:val="en-US"/>
        </w:rPr>
        <w:tab/>
      </w:r>
      <w:r w:rsidRPr="00CE3F2A">
        <w:t>Council Decision 2008/616/JHA of 23 June 2008 on the implementation of Decision 2008/615/JHA on the stepping up of cross-border cooperation, particularly in combating terrorism and cross-border crime (OJ L 210, 6.8.2008, p. 12).</w:t>
      </w:r>
      <w:r>
        <w:t xml:space="preserve"> A proposal </w:t>
      </w:r>
      <w:r w:rsidRPr="006D0A07">
        <w:t>for a Regulation on automated data ex</w:t>
      </w:r>
      <w:r w:rsidRPr="00DB23E3">
        <w:t>change for police cooperation ("</w:t>
      </w:r>
      <w:r w:rsidRPr="006D0A07">
        <w:t>Prüm II</w:t>
      </w:r>
      <w:r>
        <w:t>"</w:t>
      </w:r>
      <w:r w:rsidRPr="006D0A07">
        <w:t xml:space="preserve">), intends to repeal </w:t>
      </w:r>
      <w:r>
        <w:t xml:space="preserve">parts of </w:t>
      </w:r>
      <w:r w:rsidRPr="006D0A07">
        <w:t>those Council Decisions</w:t>
      </w:r>
      <w:r>
        <w:t xml:space="preserve">. </w:t>
      </w:r>
    </w:p>
  </w:footnote>
  <w:footnote w:id="59">
    <w:p w14:paraId="70458F46" w14:textId="397CB02E" w:rsidR="005D507F" w:rsidRPr="00AC7C45" w:rsidRDefault="005D507F" w:rsidP="00CB2B9F">
      <w:pPr>
        <w:pStyle w:val="NormalWeb"/>
        <w:shd w:val="clear" w:color="auto" w:fill="FFFFFF"/>
        <w:spacing w:before="0" w:beforeAutospacing="0" w:after="0" w:afterAutospacing="0"/>
      </w:pPr>
      <w:r w:rsidRPr="00B83281">
        <w:rPr>
          <w:rStyle w:val="FootnoteReference0"/>
        </w:rPr>
        <w:footnoteRef/>
      </w:r>
      <w:r>
        <w:rPr>
          <w:sz w:val="20"/>
        </w:rPr>
        <w:tab/>
      </w:r>
      <w:r w:rsidRPr="00D46B89">
        <w:rPr>
          <w:sz w:val="20"/>
          <w:szCs w:val="20"/>
        </w:rPr>
        <w:t xml:space="preserve">Regulation proposal, </w:t>
      </w:r>
      <w:r w:rsidRPr="00BF396C">
        <w:rPr>
          <w:sz w:val="20"/>
          <w:szCs w:val="20"/>
        </w:rPr>
        <w:t>COM/2018</w:t>
      </w:r>
      <w:r w:rsidRPr="00D46B89">
        <w:rPr>
          <w:sz w:val="20"/>
          <w:szCs w:val="20"/>
        </w:rPr>
        <w:t>/225 final - 2018/0108 (COD).</w:t>
      </w:r>
      <w:r w:rsidRPr="00BF396C">
        <w:rPr>
          <w:sz w:val="20"/>
          <w:szCs w:val="20"/>
        </w:rPr>
        <w:t xml:space="preserve"> </w:t>
      </w:r>
    </w:p>
  </w:footnote>
  <w:footnote w:id="60">
    <w:p w14:paraId="37966817" w14:textId="5EA8FC4B" w:rsidR="005D507F" w:rsidRDefault="005D507F" w:rsidP="00CB2B9F">
      <w:pPr>
        <w:pStyle w:val="FootnoteText"/>
      </w:pPr>
      <w:r w:rsidRPr="002B7D8E">
        <w:rPr>
          <w:rStyle w:val="FootnoteReference0"/>
        </w:rPr>
        <w:footnoteRef/>
      </w:r>
      <w:r>
        <w:tab/>
      </w:r>
      <w:r w:rsidRPr="00A743BA">
        <w:t xml:space="preserve">Directive proposal, </w:t>
      </w:r>
      <w:r w:rsidRPr="006D0A07">
        <w:rPr>
          <w:shd w:val="clear" w:color="auto" w:fill="FFFFFF"/>
        </w:rPr>
        <w:t>COM/2018/226 final - 2018/0107 (COD)</w:t>
      </w:r>
      <w:r w:rsidRPr="00A743BA">
        <w:t>.</w:t>
      </w:r>
    </w:p>
  </w:footnote>
  <w:footnote w:id="61">
    <w:p w14:paraId="025B972D" w14:textId="77777777" w:rsidR="005D507F" w:rsidRPr="001A5553" w:rsidRDefault="005D507F" w:rsidP="00DD3F0E">
      <w:pPr>
        <w:pStyle w:val="FootnoteText"/>
        <w:rPr>
          <w:lang w:val="en-US"/>
        </w:rPr>
      </w:pPr>
      <w:r>
        <w:rPr>
          <w:rStyle w:val="FootnoteReference0"/>
        </w:rPr>
        <w:footnoteRef/>
      </w:r>
      <w:r>
        <w:rPr>
          <w:lang w:val="en-US"/>
        </w:rPr>
        <w:tab/>
      </w:r>
      <w:r w:rsidRPr="00184FBC">
        <w:rPr>
          <w:lang w:val="sk-SK"/>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r>
        <w:rPr>
          <w:lang w:val="sk-SK"/>
        </w:rPr>
        <w:t xml:space="preserve"> </w:t>
      </w:r>
      <w:r w:rsidRPr="00184FBC">
        <w:t>(OJ L 119 4.5.2016, p. 89)</w:t>
      </w:r>
      <w:r>
        <w:t>.</w:t>
      </w:r>
    </w:p>
  </w:footnote>
  <w:footnote w:id="62">
    <w:p w14:paraId="36DDC346" w14:textId="77777777" w:rsidR="005D507F" w:rsidRPr="001A5553" w:rsidRDefault="005D507F" w:rsidP="00033768">
      <w:pPr>
        <w:pStyle w:val="FootnoteText"/>
      </w:pPr>
      <w:r w:rsidRPr="006538F8">
        <w:rPr>
          <w:rStyle w:val="FootnoteReference0"/>
        </w:rPr>
        <w:footnoteRef/>
      </w:r>
      <w:r w:rsidRPr="001A5553">
        <w:tab/>
      </w:r>
      <w:r w:rsidRPr="00274B0F">
        <w:t>Regulation (EU) 2016/794 of the European Parliament and of the Council of 11 May 2016 on the European Union Agency for Law Enforcement Cooperation (Europol) and replacing and repealing Council Decisions 2009/371/JHA, 2009/934/JHA, 2009/935/JHA, 2009/936/JHA and 2009/968/JHA</w:t>
      </w:r>
      <w:r>
        <w:t xml:space="preserve"> (</w:t>
      </w:r>
      <w:r w:rsidRPr="001A5553">
        <w:rPr>
          <w:rStyle w:val="Emphasis"/>
          <w:i w:val="0"/>
          <w:shd w:val="clear" w:color="auto" w:fill="FFFFFF"/>
        </w:rPr>
        <w:t>OJ L 135, 24.5.2016, p. 53).</w:t>
      </w:r>
    </w:p>
  </w:footnote>
  <w:footnote w:id="63">
    <w:p w14:paraId="0ABF6E24" w14:textId="77777777" w:rsidR="005D507F" w:rsidRPr="001A5553" w:rsidRDefault="005D507F" w:rsidP="00DD3F0E">
      <w:pPr>
        <w:pStyle w:val="FootnoteText"/>
        <w:rPr>
          <w:lang w:val="en-US"/>
        </w:rPr>
      </w:pPr>
      <w:r>
        <w:rPr>
          <w:rStyle w:val="FootnoteReference0"/>
        </w:rPr>
        <w:footnoteRef/>
      </w:r>
      <w:r>
        <w:rPr>
          <w:lang w:val="en-US"/>
        </w:rPr>
        <w:tab/>
      </w:r>
      <w:r w:rsidRPr="00C174A0">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t xml:space="preserve"> </w:t>
      </w:r>
      <w:r w:rsidRPr="00C174A0">
        <w:t>(OJ L 119 4.5.2016, p. 1)</w:t>
      </w:r>
      <w:r>
        <w:t>.</w:t>
      </w:r>
    </w:p>
  </w:footnote>
  <w:footnote w:id="64">
    <w:p w14:paraId="777CDFC6" w14:textId="5997900D" w:rsidR="005D507F" w:rsidRPr="009F3E94" w:rsidRDefault="005D507F" w:rsidP="00743C9F">
      <w:pPr>
        <w:pStyle w:val="FootnoteText"/>
      </w:pPr>
      <w:r w:rsidRPr="006538F8">
        <w:rPr>
          <w:rStyle w:val="FootnoteReference0"/>
        </w:rPr>
        <w:footnoteRef/>
      </w:r>
      <w:r>
        <w:rPr>
          <w:rStyle w:val="Strong"/>
          <w:rFonts w:ascii="Tahoma" w:hAnsi="Tahoma" w:cs="Tahoma"/>
          <w:sz w:val="19"/>
          <w:szCs w:val="19"/>
          <w:shd w:val="clear" w:color="auto" w:fill="FFFFFF"/>
        </w:rPr>
        <w:tab/>
      </w:r>
      <w:r w:rsidRPr="009F3E94">
        <w:rPr>
          <w:rStyle w:val="Strong"/>
          <w:b w:val="0"/>
          <w:shd w:val="clear" w:color="auto" w:fill="FFFFFF"/>
        </w:rPr>
        <w:t>Council Decision 2002/192/EC of 28 February 2002 concerning Ireland's request to take part in some of the provisions of the Schengen acquis</w:t>
      </w:r>
      <w:r w:rsidRPr="009F3E94">
        <w:rPr>
          <w:rStyle w:val="Strong"/>
          <w:shd w:val="clear" w:color="auto" w:fill="FFFFFF"/>
        </w:rPr>
        <w:t xml:space="preserve"> </w:t>
      </w:r>
      <w:r w:rsidRPr="00B425E8">
        <w:rPr>
          <w:sz w:val="19"/>
          <w:szCs w:val="19"/>
          <w:shd w:val="clear" w:color="auto" w:fill="FFFFFF"/>
        </w:rPr>
        <w:t>(OJ L 64, 7.3.2002).</w:t>
      </w:r>
      <w:r w:rsidRPr="009F3E94">
        <w:t xml:space="preserve"> </w:t>
      </w:r>
    </w:p>
  </w:footnote>
  <w:footnote w:id="65">
    <w:p w14:paraId="3A6AB2DF" w14:textId="7A5566EF" w:rsidR="005D507F" w:rsidRPr="00410F4C" w:rsidRDefault="005D507F">
      <w:pPr>
        <w:pStyle w:val="FootnoteText"/>
        <w:rPr>
          <w:lang w:val="en-US"/>
        </w:rPr>
      </w:pPr>
      <w:r>
        <w:rPr>
          <w:rStyle w:val="FootnoteReference0"/>
        </w:rPr>
        <w:footnoteRef/>
      </w:r>
      <w:r>
        <w:rPr>
          <w:lang w:val="en-US"/>
        </w:rPr>
        <w:tab/>
      </w:r>
      <w:r w:rsidRPr="00140AE7">
        <w:t>OJ L 176, 10.7.1999, p. 36.</w:t>
      </w:r>
    </w:p>
  </w:footnote>
  <w:footnote w:id="66">
    <w:p w14:paraId="0CA1B7AD" w14:textId="5139D98B" w:rsidR="005D507F" w:rsidRPr="009F3E94" w:rsidRDefault="005D507F" w:rsidP="00743C9F">
      <w:pPr>
        <w:pStyle w:val="FootnoteText"/>
      </w:pPr>
      <w:r w:rsidRPr="006538F8">
        <w:rPr>
          <w:rStyle w:val="FootnoteReference0"/>
        </w:rPr>
        <w:footnoteRef/>
      </w:r>
      <w:r>
        <w:tab/>
      </w:r>
      <w:r w:rsidRPr="009F3E94">
        <w:rPr>
          <w:szCs w:val="19"/>
          <w:shd w:val="clear" w:color="auto" w:fill="FFFFFF"/>
        </w:rPr>
        <w:t xml:space="preserve">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w:t>
      </w:r>
      <w:r w:rsidRPr="00B425E8">
        <w:rPr>
          <w:sz w:val="19"/>
          <w:szCs w:val="19"/>
          <w:shd w:val="clear" w:color="auto" w:fill="FFFFFF"/>
        </w:rPr>
        <w:t>(OJ L 176, 10.7.1999).</w:t>
      </w:r>
      <w:r w:rsidRPr="009F3E94">
        <w:rPr>
          <w:szCs w:val="19"/>
          <w:shd w:val="clear" w:color="auto" w:fill="FFFFFF"/>
        </w:rPr>
        <w:t> </w:t>
      </w:r>
    </w:p>
  </w:footnote>
  <w:footnote w:id="67">
    <w:p w14:paraId="54A8BCA9" w14:textId="6CEA5DA8" w:rsidR="005D507F" w:rsidRPr="003E4619" w:rsidRDefault="005D507F" w:rsidP="00410F4C">
      <w:pPr>
        <w:pStyle w:val="FootnoteText"/>
        <w:tabs>
          <w:tab w:val="left" w:pos="720"/>
          <w:tab w:val="left" w:pos="2529"/>
        </w:tabs>
        <w:rPr>
          <w:lang w:val="en-US"/>
        </w:rPr>
      </w:pPr>
      <w:r>
        <w:rPr>
          <w:rStyle w:val="FootnoteReference0"/>
        </w:rPr>
        <w:footnoteRef/>
      </w:r>
      <w:r>
        <w:rPr>
          <w:lang w:val="en-US"/>
        </w:rPr>
        <w:tab/>
      </w:r>
      <w:r w:rsidRPr="00140AE7">
        <w:t>OJ L 53, 27.2.2008, p. 52</w:t>
      </w:r>
      <w:r>
        <w:t>.</w:t>
      </w:r>
    </w:p>
  </w:footnote>
  <w:footnote w:id="68">
    <w:p w14:paraId="33102E5B" w14:textId="56FB80BC" w:rsidR="005D507F" w:rsidRPr="00153BF9" w:rsidRDefault="005D507F" w:rsidP="00743C9F">
      <w:pPr>
        <w:pStyle w:val="FootnoteText"/>
      </w:pPr>
      <w:r w:rsidRPr="006538F8">
        <w:rPr>
          <w:rStyle w:val="FootnoteReference0"/>
        </w:rPr>
        <w:footnoteRef/>
      </w:r>
      <w:r>
        <w:tab/>
      </w:r>
      <w:r w:rsidRPr="009F3E94">
        <w:rPr>
          <w:shd w:val="clear" w:color="auto" w:fill="FFFFFF"/>
        </w:rPr>
        <w:t>Council Decision 2008/146/EC of 28 January 2008 on the conclusion, on behalf of the European Community, of the Agreement between the European Union, the European Community and the Swiss Confederation on the Swiss Confederation's association with the implemen</w:t>
      </w:r>
      <w:r w:rsidRPr="000B09ED">
        <w:rPr>
          <w:shd w:val="clear" w:color="auto" w:fill="FFFFFF"/>
        </w:rPr>
        <w:t>tation, application and development of the Schengen acquis (OJ L 53, 27.2.2008).</w:t>
      </w:r>
    </w:p>
  </w:footnote>
  <w:footnote w:id="69">
    <w:p w14:paraId="0ECF2FFB" w14:textId="0A758BA3" w:rsidR="005D507F" w:rsidRPr="00153BF9" w:rsidRDefault="005D507F" w:rsidP="00743C9F">
      <w:pPr>
        <w:pStyle w:val="FootnoteText"/>
      </w:pPr>
      <w:r w:rsidRPr="006538F8">
        <w:rPr>
          <w:rStyle w:val="FootnoteReference0"/>
        </w:rPr>
        <w:footnoteRef/>
      </w:r>
      <w:r>
        <w:tab/>
      </w:r>
      <w:r w:rsidRPr="009F3E94">
        <w:rPr>
          <w:shd w:val="clear" w:color="auto" w:fill="FFFFFF"/>
        </w:rPr>
        <w:t>Council Decision 2008/149/JHA of 28 January 2008 on the conclusion on behalf of the European Union of the Agreement between the European Union, the European Community and th</w:t>
      </w:r>
      <w:r w:rsidRPr="000B09ED">
        <w:rPr>
          <w:shd w:val="clear" w:color="auto" w:fill="FFFFFF"/>
        </w:rPr>
        <w:t>e Swiss Confederation on the Swiss Confederation’s association with the implementation, application and development of the Schengen acquis (OJ L 53, 27.2.2008).</w:t>
      </w:r>
    </w:p>
  </w:footnote>
  <w:footnote w:id="70">
    <w:p w14:paraId="27C69692" w14:textId="4C338796" w:rsidR="005D507F" w:rsidRPr="003E4619" w:rsidRDefault="005D507F" w:rsidP="00410F4C">
      <w:pPr>
        <w:pStyle w:val="FootnoteText"/>
        <w:tabs>
          <w:tab w:val="left" w:pos="720"/>
          <w:tab w:val="left" w:pos="1194"/>
        </w:tabs>
        <w:rPr>
          <w:lang w:val="en-US"/>
        </w:rPr>
      </w:pPr>
      <w:r>
        <w:rPr>
          <w:rStyle w:val="FootnoteReference0"/>
        </w:rPr>
        <w:footnoteRef/>
      </w:r>
      <w:r>
        <w:rPr>
          <w:lang w:val="en-US"/>
        </w:rPr>
        <w:tab/>
      </w:r>
      <w:r w:rsidRPr="00140AE7">
        <w:t>OJ L 160, 18.6.2011, p. 21.</w:t>
      </w:r>
    </w:p>
  </w:footnote>
  <w:footnote w:id="71">
    <w:p w14:paraId="3D705845" w14:textId="2FAB9FB0" w:rsidR="005D507F" w:rsidRPr="000B09ED" w:rsidRDefault="005D507F" w:rsidP="00743C9F">
      <w:pPr>
        <w:pStyle w:val="FootnoteText"/>
      </w:pPr>
      <w:r w:rsidRPr="006538F8">
        <w:rPr>
          <w:rStyle w:val="FootnoteReference0"/>
        </w:rPr>
        <w:footnoteRef/>
      </w:r>
      <w:r>
        <w:tab/>
      </w:r>
      <w:r w:rsidRPr="009F3E94">
        <w:rPr>
          <w:shd w:val="clear" w:color="auto" w:fill="FFFFFF"/>
        </w:rPr>
        <w:t xml:space="preserve">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w:t>
      </w:r>
      <w:r w:rsidRPr="000B09ED">
        <w:rPr>
          <w:shd w:val="clear" w:color="auto" w:fill="FFFFFF"/>
        </w:rPr>
        <w:t>and the Swiss Confederation on the Swiss Confederation’s association with the implementation, application and development of the Schengen acquis, relating to the abolition of checks at internal borders and movement of persons (OJ L 160, 18.6.2011).</w:t>
      </w:r>
    </w:p>
  </w:footnote>
  <w:footnote w:id="72">
    <w:p w14:paraId="19F72FBA" w14:textId="0A1DBCD8" w:rsidR="005D507F" w:rsidRDefault="005D507F" w:rsidP="00743C9F">
      <w:pPr>
        <w:pStyle w:val="FootnoteText"/>
        <w:rPr>
          <w:sz w:val="22"/>
        </w:rPr>
      </w:pPr>
      <w:r w:rsidRPr="006538F8">
        <w:rPr>
          <w:rStyle w:val="FootnoteReference0"/>
        </w:rPr>
        <w:footnoteRef/>
      </w:r>
      <w:r>
        <w:tab/>
      </w:r>
      <w:r w:rsidRPr="009F3E94">
        <w:rPr>
          <w:szCs w:val="19"/>
          <w:shd w:val="clear" w:color="auto" w:fill="FFFFFF"/>
        </w:rPr>
        <w:t>Counc</w:t>
      </w:r>
      <w:r w:rsidRPr="001839BC">
        <w:rPr>
          <w:szCs w:val="19"/>
          <w:shd w:val="clear" w:color="auto" w:fill="FFFFFF"/>
        </w:rPr>
        <w:t>il Decision 2011/349/EU of 7 March 2011 on the conclusion on behalf of the European Union of the Protocol between the European Union, the European Community, the Swiss Confederation and the Principality of Liechtenstein to the Agreement between the Europea</w:t>
      </w:r>
      <w:r w:rsidRPr="000B09ED">
        <w:rPr>
          <w:szCs w:val="19"/>
          <w:shd w:val="clear" w:color="auto" w:fill="FFFFFF"/>
        </w:rPr>
        <w:t>n Union, the European Community and the Swiss Confederation on the Swiss Confederation’s association with the implementation, application and development of the Schengen acquis relating in particular to judicial cooperation in criminal matters and police c</w:t>
      </w:r>
      <w:r w:rsidRPr="00153BF9">
        <w:rPr>
          <w:szCs w:val="19"/>
          <w:shd w:val="clear" w:color="auto" w:fill="FFFFFF"/>
        </w:rPr>
        <w:t>ooperation (OJ L 160, 18.6.2011).</w:t>
      </w:r>
    </w:p>
  </w:footnote>
  <w:footnote w:id="73">
    <w:p w14:paraId="74A5A5FB" w14:textId="77777777" w:rsidR="005D507F" w:rsidRPr="001A5553" w:rsidRDefault="005D507F" w:rsidP="00BE4374">
      <w:pPr>
        <w:pStyle w:val="FootnoteText"/>
      </w:pPr>
      <w:r w:rsidRPr="006538F8">
        <w:rPr>
          <w:rStyle w:val="FootnoteReference0"/>
        </w:rPr>
        <w:footnoteRef/>
      </w:r>
      <w:r w:rsidRPr="001A5553">
        <w:tab/>
      </w:r>
      <w:r w:rsidRPr="00274B0F">
        <w:t>Council Framework Decision 2002/584/JHA</w:t>
      </w:r>
      <w:r>
        <w:t xml:space="preserve"> </w:t>
      </w:r>
      <w:r w:rsidRPr="00274B0F">
        <w:t>of 13 June 2002 on the European arrest warrant and the surrender procedures between Member States </w:t>
      </w:r>
      <w:r>
        <w:rPr>
          <w:lang w:val="en-US"/>
        </w:rPr>
        <w:t>(</w:t>
      </w:r>
      <w:r w:rsidRPr="00CE48A6">
        <w:rPr>
          <w:lang w:val="pl-PL"/>
        </w:rPr>
        <w:t>OJ L 190, 18.7.2002</w:t>
      </w:r>
      <w:r w:rsidRPr="001A5553">
        <w:rPr>
          <w:rStyle w:val="Emphasis"/>
          <w:i w:val="0"/>
          <w:shd w:val="clear" w:color="auto" w:fill="FFFFFF"/>
        </w:rPr>
        <w:t>, p. 1).</w:t>
      </w:r>
    </w:p>
  </w:footnote>
  <w:footnote w:id="74">
    <w:p w14:paraId="46327ED4" w14:textId="77777777" w:rsidR="005D507F" w:rsidRPr="00AA5B56" w:rsidRDefault="005D507F" w:rsidP="00970879">
      <w:pPr>
        <w:pStyle w:val="FootnoteText"/>
        <w:rPr>
          <w:lang w:val="en-US"/>
        </w:rPr>
      </w:pPr>
      <w:r>
        <w:rPr>
          <w:rStyle w:val="FootnoteReference0"/>
        </w:rPr>
        <w:footnoteRef/>
      </w:r>
      <w:r>
        <w:rPr>
          <w:lang w:val="en-US"/>
        </w:rPr>
        <w:tab/>
      </w:r>
      <w:r w:rsidRPr="00184FBC">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w:t>
      </w:r>
      <w:r>
        <w:t xml:space="preserve"> (</w:t>
      </w:r>
      <w:r w:rsidRPr="00184FBC">
        <w:t>OJ L 312 7.12.2018, p. 56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884E9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F681FA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55E64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1CFD9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3DC00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CAA22F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2"/>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1"/>
  </w:num>
  <w:num w:numId="36">
    <w:abstractNumId w:val="11"/>
  </w:num>
  <w:num w:numId="37">
    <w:abstractNumId w:val="13"/>
  </w:num>
  <w:num w:numId="38">
    <w:abstractNumId w:val="9"/>
  </w:num>
  <w:num w:numId="39">
    <w:abstractNumId w:val="20"/>
  </w:num>
  <w:num w:numId="40">
    <w:abstractNumId w:val="8"/>
  </w:num>
  <w:num w:numId="41">
    <w:abstractNumId w:val="15"/>
  </w:num>
  <w:num w:numId="42">
    <w:abstractNumId w:val="17"/>
  </w:num>
  <w:num w:numId="43">
    <w:abstractNumId w:val="18"/>
  </w:num>
  <w:num w:numId="44">
    <w:abstractNumId w:val="10"/>
  </w:num>
  <w:num w:numId="45">
    <w:abstractNumId w:val="16"/>
  </w:num>
  <w:num w:numId="46">
    <w:abstractNumId w:val="23"/>
  </w:num>
  <w:num w:numId="47">
    <w:abstractNumId w:val="20"/>
  </w:num>
  <w:num w:numId="48">
    <w:abstractNumId w:val="20"/>
  </w:num>
  <w:num w:numId="49">
    <w:abstractNumId w:val="20"/>
  </w:num>
  <w:num w:numId="50">
    <w:abstractNumId w:val="14"/>
  </w:num>
  <w:num w:numId="51">
    <w:abstractNumId w:val="9"/>
  </w:num>
  <w:num w:numId="52">
    <w:abstractNumId w:val="9"/>
  </w:num>
  <w:num w:numId="53">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30 12:39:1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2"/>
    <w:docVar w:name="DQCResult_ModifiedMarkers" w:val="0;0"/>
    <w:docVar w:name="DQCResult_ModifiedNumbering" w:val="0;0"/>
    <w:docVar w:name="DQCResult_Objects" w:val="0;0"/>
    <w:docVar w:name="DQCResult_Sections" w:val="0;0"/>
    <w:docVar w:name="DQCResult_StructureCheck" w:val="0;0"/>
    <w:docVar w:name="DQCResult_SuperfluousWhitespace" w:val="0;49"/>
    <w:docVar w:name="DQCResult_UnknownFonts" w:val="0;0"/>
    <w:docVar w:name="DQCResult_UnknownStyles" w:val="0;15"/>
    <w:docVar w:name="DQCStatus" w:val="Yellow"/>
    <w:docVar w:name="DQCVersion" w:val="3"/>
    <w:docVar w:name="DQCWithWarnings" w:val="0"/>
    <w:docVar w:name="LW_CORRIGENDUM" w:val="&lt;UNUSED&gt;"/>
    <w:docVar w:name="LW_COVERPAGE_EXISTS" w:val="True"/>
    <w:docVar w:name="LW_COVERPAGE_GUID" w:val="916A51D6-FAA8-4A85-9778-118B90A9EEE8"/>
    <w:docVar w:name="LW_COVERPAGE_TYPE" w:val="1"/>
    <w:docVar w:name="LW_CROSSREFERENCE" w:val="{SEC(2021) 420 final} - {SWD(2021) 374 final} - {SWD(2021) 377 final}"/>
    <w:docVar w:name="LW_DocType" w:val="COM"/>
    <w:docVar w:name="LW_EMISSION" w:val="8.12.2021"/>
    <w:docVar w:name="LW_EMISSION_ISODATE" w:val="2021-12-08"/>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11"/>
    <w:docVar w:name="LW_REF.II.NEW.CP_YEAR" w:val="2021"/>
    <w:docVar w:name="LW_REF.INST.NEW" w:val="COM"/>
    <w:docVar w:name="LW_REF.INST.NEW_ADOPTED" w:val="final"/>
    <w:docVar w:name="LW_REF.INST.NEW_TEXT" w:val="(2021) 7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information exchange between law enforcement authorities of Member States, repealing Council Framework Decision 2006/960/JHA"/>
    <w:docVar w:name="LW_TYPE.DOC.CP" w:val="DIRECTIVE OF THE EUROPEAN PARLIAMENT AND OF THE COUNCIL"/>
    <w:docVar w:name="LwApiVersions" w:val="LW4CoDe 1.23.2.0; LW 8.0, Build 20211117"/>
  </w:docVars>
  <w:rsids>
    <w:rsidRoot w:val="00394A8F"/>
    <w:rsid w:val="00000D85"/>
    <w:rsid w:val="00001B7E"/>
    <w:rsid w:val="0000286E"/>
    <w:rsid w:val="00002DE9"/>
    <w:rsid w:val="00003499"/>
    <w:rsid w:val="0000398A"/>
    <w:rsid w:val="000043E0"/>
    <w:rsid w:val="00004B2A"/>
    <w:rsid w:val="00005530"/>
    <w:rsid w:val="0000639B"/>
    <w:rsid w:val="00006D98"/>
    <w:rsid w:val="0001005B"/>
    <w:rsid w:val="000105E2"/>
    <w:rsid w:val="00012932"/>
    <w:rsid w:val="00012C8B"/>
    <w:rsid w:val="000141B0"/>
    <w:rsid w:val="0001596F"/>
    <w:rsid w:val="00016479"/>
    <w:rsid w:val="000164E4"/>
    <w:rsid w:val="00017739"/>
    <w:rsid w:val="0002031B"/>
    <w:rsid w:val="00020411"/>
    <w:rsid w:val="00020D5C"/>
    <w:rsid w:val="00020FB5"/>
    <w:rsid w:val="0002124E"/>
    <w:rsid w:val="000219EF"/>
    <w:rsid w:val="0002242E"/>
    <w:rsid w:val="00022B80"/>
    <w:rsid w:val="00023246"/>
    <w:rsid w:val="00023D37"/>
    <w:rsid w:val="0002408B"/>
    <w:rsid w:val="000250CB"/>
    <w:rsid w:val="000255B2"/>
    <w:rsid w:val="000267F6"/>
    <w:rsid w:val="00027BA4"/>
    <w:rsid w:val="00031FFD"/>
    <w:rsid w:val="000326ED"/>
    <w:rsid w:val="00032879"/>
    <w:rsid w:val="000328E7"/>
    <w:rsid w:val="00033768"/>
    <w:rsid w:val="00033815"/>
    <w:rsid w:val="00035237"/>
    <w:rsid w:val="000358DC"/>
    <w:rsid w:val="00035B71"/>
    <w:rsid w:val="00036002"/>
    <w:rsid w:val="00036882"/>
    <w:rsid w:val="00036D7E"/>
    <w:rsid w:val="000376EF"/>
    <w:rsid w:val="00037974"/>
    <w:rsid w:val="00040CF2"/>
    <w:rsid w:val="00040DCB"/>
    <w:rsid w:val="000410E7"/>
    <w:rsid w:val="00044453"/>
    <w:rsid w:val="0004565D"/>
    <w:rsid w:val="0004665C"/>
    <w:rsid w:val="00046C52"/>
    <w:rsid w:val="00047587"/>
    <w:rsid w:val="0005008D"/>
    <w:rsid w:val="000500F9"/>
    <w:rsid w:val="00052B85"/>
    <w:rsid w:val="00053B85"/>
    <w:rsid w:val="0005452E"/>
    <w:rsid w:val="000546A5"/>
    <w:rsid w:val="00055028"/>
    <w:rsid w:val="000555B0"/>
    <w:rsid w:val="00055AB1"/>
    <w:rsid w:val="00056496"/>
    <w:rsid w:val="00056835"/>
    <w:rsid w:val="000606E8"/>
    <w:rsid w:val="000612E7"/>
    <w:rsid w:val="0006194F"/>
    <w:rsid w:val="000622BC"/>
    <w:rsid w:val="000628F6"/>
    <w:rsid w:val="00063330"/>
    <w:rsid w:val="000647EF"/>
    <w:rsid w:val="0006581B"/>
    <w:rsid w:val="00066129"/>
    <w:rsid w:val="00067169"/>
    <w:rsid w:val="00070088"/>
    <w:rsid w:val="000709A3"/>
    <w:rsid w:val="00071B3A"/>
    <w:rsid w:val="00071F73"/>
    <w:rsid w:val="000722B9"/>
    <w:rsid w:val="00072B80"/>
    <w:rsid w:val="00072C93"/>
    <w:rsid w:val="00072F13"/>
    <w:rsid w:val="000731ED"/>
    <w:rsid w:val="00073A62"/>
    <w:rsid w:val="000760E5"/>
    <w:rsid w:val="00080089"/>
    <w:rsid w:val="0008065A"/>
    <w:rsid w:val="0008241F"/>
    <w:rsid w:val="0008265C"/>
    <w:rsid w:val="0008281D"/>
    <w:rsid w:val="00082A47"/>
    <w:rsid w:val="00083BFA"/>
    <w:rsid w:val="0008458D"/>
    <w:rsid w:val="0008535E"/>
    <w:rsid w:val="00085D32"/>
    <w:rsid w:val="0009012C"/>
    <w:rsid w:val="000903B5"/>
    <w:rsid w:val="00090B73"/>
    <w:rsid w:val="000930E1"/>
    <w:rsid w:val="00093A3F"/>
    <w:rsid w:val="0009410F"/>
    <w:rsid w:val="000952BE"/>
    <w:rsid w:val="0009596C"/>
    <w:rsid w:val="00096B2B"/>
    <w:rsid w:val="000973DE"/>
    <w:rsid w:val="000A014D"/>
    <w:rsid w:val="000A03C6"/>
    <w:rsid w:val="000A0884"/>
    <w:rsid w:val="000A14FC"/>
    <w:rsid w:val="000A1794"/>
    <w:rsid w:val="000A2774"/>
    <w:rsid w:val="000A2CB2"/>
    <w:rsid w:val="000A360C"/>
    <w:rsid w:val="000A368A"/>
    <w:rsid w:val="000A5AA4"/>
    <w:rsid w:val="000A67E0"/>
    <w:rsid w:val="000A7400"/>
    <w:rsid w:val="000A7517"/>
    <w:rsid w:val="000B053E"/>
    <w:rsid w:val="000B09ED"/>
    <w:rsid w:val="000B1069"/>
    <w:rsid w:val="000B1577"/>
    <w:rsid w:val="000B3A63"/>
    <w:rsid w:val="000B45BE"/>
    <w:rsid w:val="000B568D"/>
    <w:rsid w:val="000B59A4"/>
    <w:rsid w:val="000B5EAE"/>
    <w:rsid w:val="000B794A"/>
    <w:rsid w:val="000C12E4"/>
    <w:rsid w:val="000C1B12"/>
    <w:rsid w:val="000C1D43"/>
    <w:rsid w:val="000C34CE"/>
    <w:rsid w:val="000C383B"/>
    <w:rsid w:val="000C3E87"/>
    <w:rsid w:val="000C552B"/>
    <w:rsid w:val="000D0B15"/>
    <w:rsid w:val="000D3786"/>
    <w:rsid w:val="000D5987"/>
    <w:rsid w:val="000D6152"/>
    <w:rsid w:val="000D61A7"/>
    <w:rsid w:val="000D7302"/>
    <w:rsid w:val="000D7DBB"/>
    <w:rsid w:val="000D7E28"/>
    <w:rsid w:val="000E0166"/>
    <w:rsid w:val="000E024D"/>
    <w:rsid w:val="000E0F40"/>
    <w:rsid w:val="000E10A8"/>
    <w:rsid w:val="000E198E"/>
    <w:rsid w:val="000E2359"/>
    <w:rsid w:val="000E2423"/>
    <w:rsid w:val="000E388D"/>
    <w:rsid w:val="000E432B"/>
    <w:rsid w:val="000E64F9"/>
    <w:rsid w:val="000E6A16"/>
    <w:rsid w:val="000E7FA8"/>
    <w:rsid w:val="000F0F6E"/>
    <w:rsid w:val="000F11DA"/>
    <w:rsid w:val="000F5286"/>
    <w:rsid w:val="000F5E05"/>
    <w:rsid w:val="000F6394"/>
    <w:rsid w:val="000F70FA"/>
    <w:rsid w:val="001004D8"/>
    <w:rsid w:val="00100F69"/>
    <w:rsid w:val="00101F8C"/>
    <w:rsid w:val="00103C40"/>
    <w:rsid w:val="00105E96"/>
    <w:rsid w:val="00105F24"/>
    <w:rsid w:val="001065D1"/>
    <w:rsid w:val="00107493"/>
    <w:rsid w:val="00107834"/>
    <w:rsid w:val="001079FF"/>
    <w:rsid w:val="00110813"/>
    <w:rsid w:val="001109BF"/>
    <w:rsid w:val="001113E1"/>
    <w:rsid w:val="001117FA"/>
    <w:rsid w:val="00112C54"/>
    <w:rsid w:val="00113519"/>
    <w:rsid w:val="001141DC"/>
    <w:rsid w:val="001147DA"/>
    <w:rsid w:val="001168AD"/>
    <w:rsid w:val="001168BE"/>
    <w:rsid w:val="00117D97"/>
    <w:rsid w:val="001200B8"/>
    <w:rsid w:val="001203D4"/>
    <w:rsid w:val="0012140F"/>
    <w:rsid w:val="00121D74"/>
    <w:rsid w:val="00121DBD"/>
    <w:rsid w:val="00122119"/>
    <w:rsid w:val="0012220E"/>
    <w:rsid w:val="00122377"/>
    <w:rsid w:val="00122978"/>
    <w:rsid w:val="001234E5"/>
    <w:rsid w:val="001243F3"/>
    <w:rsid w:val="00125964"/>
    <w:rsid w:val="00127DEF"/>
    <w:rsid w:val="00131D5D"/>
    <w:rsid w:val="00132DAE"/>
    <w:rsid w:val="00133852"/>
    <w:rsid w:val="00133942"/>
    <w:rsid w:val="001344B6"/>
    <w:rsid w:val="001354EA"/>
    <w:rsid w:val="00135F5C"/>
    <w:rsid w:val="001367A9"/>
    <w:rsid w:val="00136F44"/>
    <w:rsid w:val="00137ECF"/>
    <w:rsid w:val="001416D2"/>
    <w:rsid w:val="00141F94"/>
    <w:rsid w:val="0014449B"/>
    <w:rsid w:val="001451B5"/>
    <w:rsid w:val="001454DE"/>
    <w:rsid w:val="00145514"/>
    <w:rsid w:val="0014608B"/>
    <w:rsid w:val="001478C7"/>
    <w:rsid w:val="00147F26"/>
    <w:rsid w:val="00151FE2"/>
    <w:rsid w:val="00152E17"/>
    <w:rsid w:val="00153BF9"/>
    <w:rsid w:val="00153DC9"/>
    <w:rsid w:val="00154914"/>
    <w:rsid w:val="00154F22"/>
    <w:rsid w:val="00155A02"/>
    <w:rsid w:val="0015740A"/>
    <w:rsid w:val="00157776"/>
    <w:rsid w:val="0016125F"/>
    <w:rsid w:val="00162545"/>
    <w:rsid w:val="00163183"/>
    <w:rsid w:val="001631C3"/>
    <w:rsid w:val="0016445E"/>
    <w:rsid w:val="00164C52"/>
    <w:rsid w:val="0016581B"/>
    <w:rsid w:val="001660E8"/>
    <w:rsid w:val="00166BDC"/>
    <w:rsid w:val="00166D15"/>
    <w:rsid w:val="00171234"/>
    <w:rsid w:val="00172BF9"/>
    <w:rsid w:val="00173912"/>
    <w:rsid w:val="00174219"/>
    <w:rsid w:val="00175B6E"/>
    <w:rsid w:val="00175BCD"/>
    <w:rsid w:val="00175EA1"/>
    <w:rsid w:val="0017698F"/>
    <w:rsid w:val="00177362"/>
    <w:rsid w:val="00177B13"/>
    <w:rsid w:val="0018009F"/>
    <w:rsid w:val="001803B4"/>
    <w:rsid w:val="001814DD"/>
    <w:rsid w:val="001817BC"/>
    <w:rsid w:val="00181AA4"/>
    <w:rsid w:val="001834B5"/>
    <w:rsid w:val="001834D2"/>
    <w:rsid w:val="001839BC"/>
    <w:rsid w:val="00184FBC"/>
    <w:rsid w:val="001856B3"/>
    <w:rsid w:val="001862E2"/>
    <w:rsid w:val="00187618"/>
    <w:rsid w:val="00187E3B"/>
    <w:rsid w:val="0019051C"/>
    <w:rsid w:val="00190675"/>
    <w:rsid w:val="00190ED0"/>
    <w:rsid w:val="001921F2"/>
    <w:rsid w:val="00192E5C"/>
    <w:rsid w:val="00193F5E"/>
    <w:rsid w:val="00194C85"/>
    <w:rsid w:val="0019510E"/>
    <w:rsid w:val="0019571D"/>
    <w:rsid w:val="00196C4D"/>
    <w:rsid w:val="00196E89"/>
    <w:rsid w:val="00197095"/>
    <w:rsid w:val="001A034D"/>
    <w:rsid w:val="001A0808"/>
    <w:rsid w:val="001A0A2F"/>
    <w:rsid w:val="001A205D"/>
    <w:rsid w:val="001A207F"/>
    <w:rsid w:val="001A28E6"/>
    <w:rsid w:val="001A38EC"/>
    <w:rsid w:val="001A3DA8"/>
    <w:rsid w:val="001A41DE"/>
    <w:rsid w:val="001A4D48"/>
    <w:rsid w:val="001A4DCA"/>
    <w:rsid w:val="001A67B2"/>
    <w:rsid w:val="001A691C"/>
    <w:rsid w:val="001A6DCD"/>
    <w:rsid w:val="001A78F2"/>
    <w:rsid w:val="001B155D"/>
    <w:rsid w:val="001B200D"/>
    <w:rsid w:val="001B30D1"/>
    <w:rsid w:val="001B5FAB"/>
    <w:rsid w:val="001B66E5"/>
    <w:rsid w:val="001C2366"/>
    <w:rsid w:val="001C2816"/>
    <w:rsid w:val="001C294A"/>
    <w:rsid w:val="001C589E"/>
    <w:rsid w:val="001C6825"/>
    <w:rsid w:val="001C76F8"/>
    <w:rsid w:val="001C7BA9"/>
    <w:rsid w:val="001C7CDA"/>
    <w:rsid w:val="001C7D89"/>
    <w:rsid w:val="001D0264"/>
    <w:rsid w:val="001D1262"/>
    <w:rsid w:val="001D1312"/>
    <w:rsid w:val="001D24D6"/>
    <w:rsid w:val="001D312C"/>
    <w:rsid w:val="001D3144"/>
    <w:rsid w:val="001D34A5"/>
    <w:rsid w:val="001D559C"/>
    <w:rsid w:val="001D56E7"/>
    <w:rsid w:val="001D578D"/>
    <w:rsid w:val="001D7BF8"/>
    <w:rsid w:val="001D7CED"/>
    <w:rsid w:val="001E016F"/>
    <w:rsid w:val="001E0F87"/>
    <w:rsid w:val="001E1445"/>
    <w:rsid w:val="001E2A01"/>
    <w:rsid w:val="001E2AEB"/>
    <w:rsid w:val="001E4D80"/>
    <w:rsid w:val="001E56B0"/>
    <w:rsid w:val="001E65DC"/>
    <w:rsid w:val="001E7453"/>
    <w:rsid w:val="001E76F7"/>
    <w:rsid w:val="001E7EF2"/>
    <w:rsid w:val="001F0A08"/>
    <w:rsid w:val="001F0F43"/>
    <w:rsid w:val="001F141A"/>
    <w:rsid w:val="001F3B3B"/>
    <w:rsid w:val="001F3FFD"/>
    <w:rsid w:val="001F5590"/>
    <w:rsid w:val="001F5B88"/>
    <w:rsid w:val="001F5E44"/>
    <w:rsid w:val="0020264A"/>
    <w:rsid w:val="002026E5"/>
    <w:rsid w:val="00203955"/>
    <w:rsid w:val="00207283"/>
    <w:rsid w:val="0020749C"/>
    <w:rsid w:val="002076AB"/>
    <w:rsid w:val="00210E45"/>
    <w:rsid w:val="00211B02"/>
    <w:rsid w:val="00212AB4"/>
    <w:rsid w:val="00216622"/>
    <w:rsid w:val="002169EF"/>
    <w:rsid w:val="00216DF1"/>
    <w:rsid w:val="00216E4F"/>
    <w:rsid w:val="002175B6"/>
    <w:rsid w:val="002204C5"/>
    <w:rsid w:val="00221D36"/>
    <w:rsid w:val="0022247E"/>
    <w:rsid w:val="00222FB6"/>
    <w:rsid w:val="002240AF"/>
    <w:rsid w:val="00224D1B"/>
    <w:rsid w:val="002256FD"/>
    <w:rsid w:val="00225963"/>
    <w:rsid w:val="00226263"/>
    <w:rsid w:val="00227670"/>
    <w:rsid w:val="0023058F"/>
    <w:rsid w:val="00230AA4"/>
    <w:rsid w:val="00230AF6"/>
    <w:rsid w:val="002310B3"/>
    <w:rsid w:val="00232257"/>
    <w:rsid w:val="0023271F"/>
    <w:rsid w:val="00232CA3"/>
    <w:rsid w:val="00232E98"/>
    <w:rsid w:val="00235217"/>
    <w:rsid w:val="00235B35"/>
    <w:rsid w:val="00237339"/>
    <w:rsid w:val="00241AFC"/>
    <w:rsid w:val="00241DFD"/>
    <w:rsid w:val="00241EC8"/>
    <w:rsid w:val="00241F93"/>
    <w:rsid w:val="00242291"/>
    <w:rsid w:val="002423D0"/>
    <w:rsid w:val="002451F3"/>
    <w:rsid w:val="00250139"/>
    <w:rsid w:val="00250449"/>
    <w:rsid w:val="0025170A"/>
    <w:rsid w:val="002529B1"/>
    <w:rsid w:val="002539E5"/>
    <w:rsid w:val="002540C1"/>
    <w:rsid w:val="002554FD"/>
    <w:rsid w:val="00255D4C"/>
    <w:rsid w:val="00256006"/>
    <w:rsid w:val="00256D49"/>
    <w:rsid w:val="002576BD"/>
    <w:rsid w:val="00260DBD"/>
    <w:rsid w:val="0026202E"/>
    <w:rsid w:val="00262778"/>
    <w:rsid w:val="00263CB2"/>
    <w:rsid w:val="00264F56"/>
    <w:rsid w:val="00267637"/>
    <w:rsid w:val="0027137E"/>
    <w:rsid w:val="002716EC"/>
    <w:rsid w:val="002726EB"/>
    <w:rsid w:val="00272BA0"/>
    <w:rsid w:val="0027310E"/>
    <w:rsid w:val="002736C0"/>
    <w:rsid w:val="002737C4"/>
    <w:rsid w:val="00273E65"/>
    <w:rsid w:val="00273F2B"/>
    <w:rsid w:val="002744B4"/>
    <w:rsid w:val="00274B0F"/>
    <w:rsid w:val="00274DED"/>
    <w:rsid w:val="00275458"/>
    <w:rsid w:val="0027666A"/>
    <w:rsid w:val="00280118"/>
    <w:rsid w:val="002830A5"/>
    <w:rsid w:val="002837A6"/>
    <w:rsid w:val="002857F0"/>
    <w:rsid w:val="00285833"/>
    <w:rsid w:val="00285FD5"/>
    <w:rsid w:val="0028696F"/>
    <w:rsid w:val="00290A1B"/>
    <w:rsid w:val="00290B60"/>
    <w:rsid w:val="00291B26"/>
    <w:rsid w:val="00291D54"/>
    <w:rsid w:val="00292DC3"/>
    <w:rsid w:val="00294951"/>
    <w:rsid w:val="00295C1A"/>
    <w:rsid w:val="00296927"/>
    <w:rsid w:val="00296ABB"/>
    <w:rsid w:val="00296ECD"/>
    <w:rsid w:val="0029702B"/>
    <w:rsid w:val="00297D7A"/>
    <w:rsid w:val="00297D9B"/>
    <w:rsid w:val="002A0621"/>
    <w:rsid w:val="002A18A2"/>
    <w:rsid w:val="002A228D"/>
    <w:rsid w:val="002A24C9"/>
    <w:rsid w:val="002A2A60"/>
    <w:rsid w:val="002A447C"/>
    <w:rsid w:val="002A4B01"/>
    <w:rsid w:val="002A4ED3"/>
    <w:rsid w:val="002A55DC"/>
    <w:rsid w:val="002A5B91"/>
    <w:rsid w:val="002A5CE1"/>
    <w:rsid w:val="002A5F5D"/>
    <w:rsid w:val="002A6CB1"/>
    <w:rsid w:val="002A6F92"/>
    <w:rsid w:val="002A7875"/>
    <w:rsid w:val="002B0ED9"/>
    <w:rsid w:val="002B18CC"/>
    <w:rsid w:val="002B21E7"/>
    <w:rsid w:val="002B23CB"/>
    <w:rsid w:val="002B3F5B"/>
    <w:rsid w:val="002B5C17"/>
    <w:rsid w:val="002B5F24"/>
    <w:rsid w:val="002B6A7D"/>
    <w:rsid w:val="002B6FED"/>
    <w:rsid w:val="002B7006"/>
    <w:rsid w:val="002B7D8E"/>
    <w:rsid w:val="002C03E6"/>
    <w:rsid w:val="002C13E3"/>
    <w:rsid w:val="002C17DA"/>
    <w:rsid w:val="002C2669"/>
    <w:rsid w:val="002C4222"/>
    <w:rsid w:val="002C4C88"/>
    <w:rsid w:val="002C5237"/>
    <w:rsid w:val="002C6ED8"/>
    <w:rsid w:val="002C70D2"/>
    <w:rsid w:val="002C736E"/>
    <w:rsid w:val="002C787A"/>
    <w:rsid w:val="002C7AE1"/>
    <w:rsid w:val="002D05D5"/>
    <w:rsid w:val="002D0D4D"/>
    <w:rsid w:val="002D2D4E"/>
    <w:rsid w:val="002D2DD4"/>
    <w:rsid w:val="002D4275"/>
    <w:rsid w:val="002D474C"/>
    <w:rsid w:val="002D4EA0"/>
    <w:rsid w:val="002D59A1"/>
    <w:rsid w:val="002D5DA8"/>
    <w:rsid w:val="002D62F2"/>
    <w:rsid w:val="002D64C2"/>
    <w:rsid w:val="002D7623"/>
    <w:rsid w:val="002E1A9F"/>
    <w:rsid w:val="002E20E8"/>
    <w:rsid w:val="002E32BA"/>
    <w:rsid w:val="002E4C52"/>
    <w:rsid w:val="002E4F68"/>
    <w:rsid w:val="002E5DA5"/>
    <w:rsid w:val="002E64DD"/>
    <w:rsid w:val="002E6E14"/>
    <w:rsid w:val="002E72DF"/>
    <w:rsid w:val="002E7770"/>
    <w:rsid w:val="002E77B6"/>
    <w:rsid w:val="002E7DBE"/>
    <w:rsid w:val="002F0271"/>
    <w:rsid w:val="002F20E6"/>
    <w:rsid w:val="002F41F3"/>
    <w:rsid w:val="002F4230"/>
    <w:rsid w:val="002F510E"/>
    <w:rsid w:val="002F644C"/>
    <w:rsid w:val="002F6461"/>
    <w:rsid w:val="002F6708"/>
    <w:rsid w:val="002F6FBF"/>
    <w:rsid w:val="00300C2F"/>
    <w:rsid w:val="00302E5F"/>
    <w:rsid w:val="00303BB2"/>
    <w:rsid w:val="0030407F"/>
    <w:rsid w:val="0030486D"/>
    <w:rsid w:val="00304FA9"/>
    <w:rsid w:val="0030522E"/>
    <w:rsid w:val="003058C6"/>
    <w:rsid w:val="003071B6"/>
    <w:rsid w:val="00307887"/>
    <w:rsid w:val="00307B7F"/>
    <w:rsid w:val="00310106"/>
    <w:rsid w:val="00310235"/>
    <w:rsid w:val="003110A4"/>
    <w:rsid w:val="003139D1"/>
    <w:rsid w:val="00316247"/>
    <w:rsid w:val="00316D08"/>
    <w:rsid w:val="003178B9"/>
    <w:rsid w:val="00320594"/>
    <w:rsid w:val="003213F8"/>
    <w:rsid w:val="00321A8F"/>
    <w:rsid w:val="00322189"/>
    <w:rsid w:val="003221D4"/>
    <w:rsid w:val="003235A7"/>
    <w:rsid w:val="00323CE7"/>
    <w:rsid w:val="00323D78"/>
    <w:rsid w:val="00323FA4"/>
    <w:rsid w:val="003240B5"/>
    <w:rsid w:val="00324BAB"/>
    <w:rsid w:val="00325455"/>
    <w:rsid w:val="0032615D"/>
    <w:rsid w:val="0032618A"/>
    <w:rsid w:val="003272AC"/>
    <w:rsid w:val="003275A5"/>
    <w:rsid w:val="00327AD1"/>
    <w:rsid w:val="00327AE5"/>
    <w:rsid w:val="00330BEA"/>
    <w:rsid w:val="0033104B"/>
    <w:rsid w:val="00331D17"/>
    <w:rsid w:val="003322E9"/>
    <w:rsid w:val="00332C04"/>
    <w:rsid w:val="0033347D"/>
    <w:rsid w:val="003336F2"/>
    <w:rsid w:val="00334177"/>
    <w:rsid w:val="00335739"/>
    <w:rsid w:val="003358B7"/>
    <w:rsid w:val="00337F29"/>
    <w:rsid w:val="00340C37"/>
    <w:rsid w:val="00341254"/>
    <w:rsid w:val="00342565"/>
    <w:rsid w:val="003431D3"/>
    <w:rsid w:val="003437B8"/>
    <w:rsid w:val="00344C1F"/>
    <w:rsid w:val="00346BA9"/>
    <w:rsid w:val="00347025"/>
    <w:rsid w:val="003473E3"/>
    <w:rsid w:val="00347BC4"/>
    <w:rsid w:val="00347DB5"/>
    <w:rsid w:val="003536AB"/>
    <w:rsid w:val="0035446F"/>
    <w:rsid w:val="00355A18"/>
    <w:rsid w:val="00355B29"/>
    <w:rsid w:val="003563A6"/>
    <w:rsid w:val="00356A5D"/>
    <w:rsid w:val="003571DE"/>
    <w:rsid w:val="0035747E"/>
    <w:rsid w:val="00363E70"/>
    <w:rsid w:val="003648C3"/>
    <w:rsid w:val="00365DB3"/>
    <w:rsid w:val="00365F78"/>
    <w:rsid w:val="00366522"/>
    <w:rsid w:val="00370C22"/>
    <w:rsid w:val="00370E2C"/>
    <w:rsid w:val="00371228"/>
    <w:rsid w:val="00371495"/>
    <w:rsid w:val="003722F7"/>
    <w:rsid w:val="003728FE"/>
    <w:rsid w:val="003746BF"/>
    <w:rsid w:val="00376773"/>
    <w:rsid w:val="00376C51"/>
    <w:rsid w:val="00376CF4"/>
    <w:rsid w:val="00376D2A"/>
    <w:rsid w:val="003779E0"/>
    <w:rsid w:val="003810FC"/>
    <w:rsid w:val="00381B57"/>
    <w:rsid w:val="003837F4"/>
    <w:rsid w:val="00383D6F"/>
    <w:rsid w:val="003845C6"/>
    <w:rsid w:val="00385DFD"/>
    <w:rsid w:val="00387254"/>
    <w:rsid w:val="00390E06"/>
    <w:rsid w:val="003916FC"/>
    <w:rsid w:val="003917D2"/>
    <w:rsid w:val="003919C5"/>
    <w:rsid w:val="0039317B"/>
    <w:rsid w:val="00393982"/>
    <w:rsid w:val="00393BC0"/>
    <w:rsid w:val="00394A8F"/>
    <w:rsid w:val="003957FE"/>
    <w:rsid w:val="00395833"/>
    <w:rsid w:val="0039682B"/>
    <w:rsid w:val="003A1C11"/>
    <w:rsid w:val="003A23CE"/>
    <w:rsid w:val="003A3C12"/>
    <w:rsid w:val="003A457F"/>
    <w:rsid w:val="003A51FD"/>
    <w:rsid w:val="003A53F3"/>
    <w:rsid w:val="003A7FE6"/>
    <w:rsid w:val="003B062F"/>
    <w:rsid w:val="003B123D"/>
    <w:rsid w:val="003B1DEF"/>
    <w:rsid w:val="003B280D"/>
    <w:rsid w:val="003B28B8"/>
    <w:rsid w:val="003B32A2"/>
    <w:rsid w:val="003B4B4A"/>
    <w:rsid w:val="003B5467"/>
    <w:rsid w:val="003C0C2D"/>
    <w:rsid w:val="003C0E69"/>
    <w:rsid w:val="003C0F6F"/>
    <w:rsid w:val="003C1FF2"/>
    <w:rsid w:val="003C2A62"/>
    <w:rsid w:val="003C32EE"/>
    <w:rsid w:val="003C3524"/>
    <w:rsid w:val="003C48B4"/>
    <w:rsid w:val="003C5BFA"/>
    <w:rsid w:val="003C70A6"/>
    <w:rsid w:val="003D04A1"/>
    <w:rsid w:val="003D0B0E"/>
    <w:rsid w:val="003D0F40"/>
    <w:rsid w:val="003D1338"/>
    <w:rsid w:val="003D19C2"/>
    <w:rsid w:val="003D2C46"/>
    <w:rsid w:val="003D2DA3"/>
    <w:rsid w:val="003D30A9"/>
    <w:rsid w:val="003D3B22"/>
    <w:rsid w:val="003D3E69"/>
    <w:rsid w:val="003D40BD"/>
    <w:rsid w:val="003D4710"/>
    <w:rsid w:val="003D472F"/>
    <w:rsid w:val="003D48D4"/>
    <w:rsid w:val="003D4B81"/>
    <w:rsid w:val="003D5D8B"/>
    <w:rsid w:val="003D7504"/>
    <w:rsid w:val="003E09F0"/>
    <w:rsid w:val="003E16DF"/>
    <w:rsid w:val="003E1B08"/>
    <w:rsid w:val="003E43F8"/>
    <w:rsid w:val="003E5632"/>
    <w:rsid w:val="003E6E12"/>
    <w:rsid w:val="003E7FBF"/>
    <w:rsid w:val="003F0170"/>
    <w:rsid w:val="003F0258"/>
    <w:rsid w:val="003F0837"/>
    <w:rsid w:val="003F0D59"/>
    <w:rsid w:val="003F13C6"/>
    <w:rsid w:val="003F4328"/>
    <w:rsid w:val="003F4749"/>
    <w:rsid w:val="003F4A54"/>
    <w:rsid w:val="003F5417"/>
    <w:rsid w:val="003F5471"/>
    <w:rsid w:val="003F5554"/>
    <w:rsid w:val="003F5C2E"/>
    <w:rsid w:val="003F5ED4"/>
    <w:rsid w:val="003F5F75"/>
    <w:rsid w:val="003F6A71"/>
    <w:rsid w:val="003F6D25"/>
    <w:rsid w:val="003F70AC"/>
    <w:rsid w:val="003F7678"/>
    <w:rsid w:val="003F7A88"/>
    <w:rsid w:val="003F7B8C"/>
    <w:rsid w:val="00400C1F"/>
    <w:rsid w:val="00401B3A"/>
    <w:rsid w:val="00401C63"/>
    <w:rsid w:val="0040219B"/>
    <w:rsid w:val="0040318E"/>
    <w:rsid w:val="004033B0"/>
    <w:rsid w:val="0040579A"/>
    <w:rsid w:val="0041030A"/>
    <w:rsid w:val="00410899"/>
    <w:rsid w:val="00410F4C"/>
    <w:rsid w:val="00412186"/>
    <w:rsid w:val="00412620"/>
    <w:rsid w:val="0041313D"/>
    <w:rsid w:val="00413636"/>
    <w:rsid w:val="00413845"/>
    <w:rsid w:val="00414430"/>
    <w:rsid w:val="00414504"/>
    <w:rsid w:val="00414654"/>
    <w:rsid w:val="00415B69"/>
    <w:rsid w:val="00420BFB"/>
    <w:rsid w:val="00420D78"/>
    <w:rsid w:val="0042130B"/>
    <w:rsid w:val="0042170B"/>
    <w:rsid w:val="00421776"/>
    <w:rsid w:val="00423840"/>
    <w:rsid w:val="00423AD1"/>
    <w:rsid w:val="00423D53"/>
    <w:rsid w:val="00426762"/>
    <w:rsid w:val="00426A5C"/>
    <w:rsid w:val="004271D5"/>
    <w:rsid w:val="0043033F"/>
    <w:rsid w:val="00430F62"/>
    <w:rsid w:val="00431104"/>
    <w:rsid w:val="00431BF9"/>
    <w:rsid w:val="00432664"/>
    <w:rsid w:val="004349B3"/>
    <w:rsid w:val="00434A3B"/>
    <w:rsid w:val="004377D6"/>
    <w:rsid w:val="00437F8C"/>
    <w:rsid w:val="0044371C"/>
    <w:rsid w:val="004443F7"/>
    <w:rsid w:val="004448F8"/>
    <w:rsid w:val="00444AEA"/>
    <w:rsid w:val="00444B45"/>
    <w:rsid w:val="00445137"/>
    <w:rsid w:val="0044648E"/>
    <w:rsid w:val="0044654B"/>
    <w:rsid w:val="0044708B"/>
    <w:rsid w:val="0044720A"/>
    <w:rsid w:val="0044775E"/>
    <w:rsid w:val="00447BEA"/>
    <w:rsid w:val="00451025"/>
    <w:rsid w:val="00452AE5"/>
    <w:rsid w:val="00453DCC"/>
    <w:rsid w:val="00453F5F"/>
    <w:rsid w:val="0045403F"/>
    <w:rsid w:val="004549DF"/>
    <w:rsid w:val="004558EE"/>
    <w:rsid w:val="00456FDA"/>
    <w:rsid w:val="004571B8"/>
    <w:rsid w:val="0045724C"/>
    <w:rsid w:val="004613AA"/>
    <w:rsid w:val="0046195B"/>
    <w:rsid w:val="00462FCC"/>
    <w:rsid w:val="00463351"/>
    <w:rsid w:val="00463C1E"/>
    <w:rsid w:val="00464286"/>
    <w:rsid w:val="00464407"/>
    <w:rsid w:val="00464EFA"/>
    <w:rsid w:val="004652C8"/>
    <w:rsid w:val="00465E52"/>
    <w:rsid w:val="004665B7"/>
    <w:rsid w:val="004673F2"/>
    <w:rsid w:val="0047159D"/>
    <w:rsid w:val="004719DD"/>
    <w:rsid w:val="0047326A"/>
    <w:rsid w:val="00473E56"/>
    <w:rsid w:val="004740D9"/>
    <w:rsid w:val="00474663"/>
    <w:rsid w:val="004748F1"/>
    <w:rsid w:val="00476DB7"/>
    <w:rsid w:val="00477F64"/>
    <w:rsid w:val="00480058"/>
    <w:rsid w:val="00480CD1"/>
    <w:rsid w:val="00482109"/>
    <w:rsid w:val="00482654"/>
    <w:rsid w:val="00483180"/>
    <w:rsid w:val="00483E4B"/>
    <w:rsid w:val="004852B0"/>
    <w:rsid w:val="004857C8"/>
    <w:rsid w:val="00485DEA"/>
    <w:rsid w:val="0048694D"/>
    <w:rsid w:val="00486F4E"/>
    <w:rsid w:val="004875A4"/>
    <w:rsid w:val="004878E9"/>
    <w:rsid w:val="00487A7E"/>
    <w:rsid w:val="00487F2E"/>
    <w:rsid w:val="004929B4"/>
    <w:rsid w:val="00492C25"/>
    <w:rsid w:val="004938DE"/>
    <w:rsid w:val="00493E7F"/>
    <w:rsid w:val="00494327"/>
    <w:rsid w:val="004944DC"/>
    <w:rsid w:val="004947E6"/>
    <w:rsid w:val="00495D46"/>
    <w:rsid w:val="00495D5C"/>
    <w:rsid w:val="00496B21"/>
    <w:rsid w:val="00497517"/>
    <w:rsid w:val="0049758C"/>
    <w:rsid w:val="004A0E8C"/>
    <w:rsid w:val="004A0ECF"/>
    <w:rsid w:val="004A0F2A"/>
    <w:rsid w:val="004A1D8A"/>
    <w:rsid w:val="004A2B27"/>
    <w:rsid w:val="004A2E61"/>
    <w:rsid w:val="004A4443"/>
    <w:rsid w:val="004A4598"/>
    <w:rsid w:val="004A4717"/>
    <w:rsid w:val="004A6531"/>
    <w:rsid w:val="004A6C49"/>
    <w:rsid w:val="004B181B"/>
    <w:rsid w:val="004B257E"/>
    <w:rsid w:val="004B35EE"/>
    <w:rsid w:val="004B3DA1"/>
    <w:rsid w:val="004B6072"/>
    <w:rsid w:val="004B6246"/>
    <w:rsid w:val="004B77FF"/>
    <w:rsid w:val="004B7B97"/>
    <w:rsid w:val="004B7F00"/>
    <w:rsid w:val="004C1FB9"/>
    <w:rsid w:val="004C30B4"/>
    <w:rsid w:val="004C35AB"/>
    <w:rsid w:val="004C3638"/>
    <w:rsid w:val="004C370D"/>
    <w:rsid w:val="004C3E64"/>
    <w:rsid w:val="004C4A67"/>
    <w:rsid w:val="004C5A2F"/>
    <w:rsid w:val="004C6456"/>
    <w:rsid w:val="004D3DA6"/>
    <w:rsid w:val="004D4F30"/>
    <w:rsid w:val="004D5DD6"/>
    <w:rsid w:val="004D706A"/>
    <w:rsid w:val="004D7408"/>
    <w:rsid w:val="004D7DBF"/>
    <w:rsid w:val="004E02E4"/>
    <w:rsid w:val="004E18BE"/>
    <w:rsid w:val="004E3CB7"/>
    <w:rsid w:val="004E43CA"/>
    <w:rsid w:val="004E5051"/>
    <w:rsid w:val="004E5C12"/>
    <w:rsid w:val="004E600C"/>
    <w:rsid w:val="004F020C"/>
    <w:rsid w:val="004F294E"/>
    <w:rsid w:val="004F59BF"/>
    <w:rsid w:val="004F6D82"/>
    <w:rsid w:val="004F6EA4"/>
    <w:rsid w:val="004F7B78"/>
    <w:rsid w:val="004F7FD9"/>
    <w:rsid w:val="005024D7"/>
    <w:rsid w:val="00503732"/>
    <w:rsid w:val="005044AD"/>
    <w:rsid w:val="00506880"/>
    <w:rsid w:val="00507826"/>
    <w:rsid w:val="00507AF7"/>
    <w:rsid w:val="0051081B"/>
    <w:rsid w:val="00511210"/>
    <w:rsid w:val="005114B0"/>
    <w:rsid w:val="00511844"/>
    <w:rsid w:val="00511A10"/>
    <w:rsid w:val="005134EC"/>
    <w:rsid w:val="005145EE"/>
    <w:rsid w:val="00514A9C"/>
    <w:rsid w:val="00514C29"/>
    <w:rsid w:val="00514F38"/>
    <w:rsid w:val="005153F6"/>
    <w:rsid w:val="00515E14"/>
    <w:rsid w:val="00520C2D"/>
    <w:rsid w:val="005210DA"/>
    <w:rsid w:val="005218CD"/>
    <w:rsid w:val="0052272F"/>
    <w:rsid w:val="00523156"/>
    <w:rsid w:val="00524414"/>
    <w:rsid w:val="005251CF"/>
    <w:rsid w:val="00525C78"/>
    <w:rsid w:val="00526484"/>
    <w:rsid w:val="00526AC4"/>
    <w:rsid w:val="005302DC"/>
    <w:rsid w:val="0053064A"/>
    <w:rsid w:val="00530710"/>
    <w:rsid w:val="00530BA0"/>
    <w:rsid w:val="00530F18"/>
    <w:rsid w:val="005321C7"/>
    <w:rsid w:val="00532341"/>
    <w:rsid w:val="0053560A"/>
    <w:rsid w:val="005358B3"/>
    <w:rsid w:val="00537D2D"/>
    <w:rsid w:val="005410A5"/>
    <w:rsid w:val="005436BA"/>
    <w:rsid w:val="00543966"/>
    <w:rsid w:val="0054470F"/>
    <w:rsid w:val="005451DB"/>
    <w:rsid w:val="005461B4"/>
    <w:rsid w:val="00550CD1"/>
    <w:rsid w:val="00551047"/>
    <w:rsid w:val="005511A4"/>
    <w:rsid w:val="005530E1"/>
    <w:rsid w:val="00554CF7"/>
    <w:rsid w:val="0055694F"/>
    <w:rsid w:val="005576CC"/>
    <w:rsid w:val="00560EF1"/>
    <w:rsid w:val="00562050"/>
    <w:rsid w:val="0056301E"/>
    <w:rsid w:val="005639CD"/>
    <w:rsid w:val="0056427F"/>
    <w:rsid w:val="00564C6C"/>
    <w:rsid w:val="005657DA"/>
    <w:rsid w:val="005661AA"/>
    <w:rsid w:val="0056655C"/>
    <w:rsid w:val="00567522"/>
    <w:rsid w:val="00570295"/>
    <w:rsid w:val="0057176F"/>
    <w:rsid w:val="00573919"/>
    <w:rsid w:val="00573B9A"/>
    <w:rsid w:val="00573F33"/>
    <w:rsid w:val="005740D5"/>
    <w:rsid w:val="005740DC"/>
    <w:rsid w:val="00577716"/>
    <w:rsid w:val="00581B84"/>
    <w:rsid w:val="00581E20"/>
    <w:rsid w:val="00584166"/>
    <w:rsid w:val="005879B6"/>
    <w:rsid w:val="00587A91"/>
    <w:rsid w:val="00590F65"/>
    <w:rsid w:val="00591B1B"/>
    <w:rsid w:val="00591BA8"/>
    <w:rsid w:val="005922DA"/>
    <w:rsid w:val="00592378"/>
    <w:rsid w:val="0059372D"/>
    <w:rsid w:val="005945EA"/>
    <w:rsid w:val="00595199"/>
    <w:rsid w:val="00595694"/>
    <w:rsid w:val="005968E5"/>
    <w:rsid w:val="00597256"/>
    <w:rsid w:val="005977FB"/>
    <w:rsid w:val="00597C91"/>
    <w:rsid w:val="005A006B"/>
    <w:rsid w:val="005A070D"/>
    <w:rsid w:val="005A2E23"/>
    <w:rsid w:val="005A3C67"/>
    <w:rsid w:val="005A40D6"/>
    <w:rsid w:val="005A4BD0"/>
    <w:rsid w:val="005A560C"/>
    <w:rsid w:val="005A6F28"/>
    <w:rsid w:val="005A707B"/>
    <w:rsid w:val="005B257C"/>
    <w:rsid w:val="005B3E0E"/>
    <w:rsid w:val="005B7F84"/>
    <w:rsid w:val="005C03ED"/>
    <w:rsid w:val="005C1A44"/>
    <w:rsid w:val="005C242A"/>
    <w:rsid w:val="005C2854"/>
    <w:rsid w:val="005C2ADC"/>
    <w:rsid w:val="005C3C21"/>
    <w:rsid w:val="005C493B"/>
    <w:rsid w:val="005C4D04"/>
    <w:rsid w:val="005C5E30"/>
    <w:rsid w:val="005D1176"/>
    <w:rsid w:val="005D129A"/>
    <w:rsid w:val="005D18E3"/>
    <w:rsid w:val="005D28D8"/>
    <w:rsid w:val="005D2AA9"/>
    <w:rsid w:val="005D31B3"/>
    <w:rsid w:val="005D487E"/>
    <w:rsid w:val="005D507F"/>
    <w:rsid w:val="005D5466"/>
    <w:rsid w:val="005D5682"/>
    <w:rsid w:val="005D7FDB"/>
    <w:rsid w:val="005E09C8"/>
    <w:rsid w:val="005E12ED"/>
    <w:rsid w:val="005E2DDB"/>
    <w:rsid w:val="005E317C"/>
    <w:rsid w:val="005E3B12"/>
    <w:rsid w:val="005E43AB"/>
    <w:rsid w:val="005E5879"/>
    <w:rsid w:val="005E607E"/>
    <w:rsid w:val="005E61D6"/>
    <w:rsid w:val="005E641D"/>
    <w:rsid w:val="005E7692"/>
    <w:rsid w:val="005F0783"/>
    <w:rsid w:val="005F1A8D"/>
    <w:rsid w:val="005F253A"/>
    <w:rsid w:val="005F3063"/>
    <w:rsid w:val="005F3195"/>
    <w:rsid w:val="005F4E6A"/>
    <w:rsid w:val="005F5DBE"/>
    <w:rsid w:val="005F685D"/>
    <w:rsid w:val="005F6999"/>
    <w:rsid w:val="005F75DB"/>
    <w:rsid w:val="005F7618"/>
    <w:rsid w:val="00600A08"/>
    <w:rsid w:val="00603134"/>
    <w:rsid w:val="0060323C"/>
    <w:rsid w:val="00603A84"/>
    <w:rsid w:val="00603DB1"/>
    <w:rsid w:val="006041D3"/>
    <w:rsid w:val="00604DA4"/>
    <w:rsid w:val="00604EC2"/>
    <w:rsid w:val="00604F4E"/>
    <w:rsid w:val="0060536B"/>
    <w:rsid w:val="006062F5"/>
    <w:rsid w:val="00606744"/>
    <w:rsid w:val="006068C2"/>
    <w:rsid w:val="006107DA"/>
    <w:rsid w:val="00612BCD"/>
    <w:rsid w:val="0061340C"/>
    <w:rsid w:val="00614694"/>
    <w:rsid w:val="006177C0"/>
    <w:rsid w:val="00620E4E"/>
    <w:rsid w:val="0062185A"/>
    <w:rsid w:val="00621FBB"/>
    <w:rsid w:val="00623A14"/>
    <w:rsid w:val="00624660"/>
    <w:rsid w:val="0062481F"/>
    <w:rsid w:val="00624C5C"/>
    <w:rsid w:val="00625C71"/>
    <w:rsid w:val="0062650E"/>
    <w:rsid w:val="00627A56"/>
    <w:rsid w:val="00627D22"/>
    <w:rsid w:val="00631A2B"/>
    <w:rsid w:val="00633BAD"/>
    <w:rsid w:val="00633F62"/>
    <w:rsid w:val="00634288"/>
    <w:rsid w:val="006342D5"/>
    <w:rsid w:val="00636A97"/>
    <w:rsid w:val="00637952"/>
    <w:rsid w:val="00637988"/>
    <w:rsid w:val="006379FC"/>
    <w:rsid w:val="00637C13"/>
    <w:rsid w:val="0064314F"/>
    <w:rsid w:val="0064462E"/>
    <w:rsid w:val="006457D1"/>
    <w:rsid w:val="00645D7D"/>
    <w:rsid w:val="006470AF"/>
    <w:rsid w:val="00647636"/>
    <w:rsid w:val="006501A5"/>
    <w:rsid w:val="0065176F"/>
    <w:rsid w:val="0065193F"/>
    <w:rsid w:val="00651B08"/>
    <w:rsid w:val="006520CC"/>
    <w:rsid w:val="00652D41"/>
    <w:rsid w:val="00652E84"/>
    <w:rsid w:val="006538F8"/>
    <w:rsid w:val="00653F04"/>
    <w:rsid w:val="00655238"/>
    <w:rsid w:val="006552ED"/>
    <w:rsid w:val="0065533F"/>
    <w:rsid w:val="0065581F"/>
    <w:rsid w:val="0065609A"/>
    <w:rsid w:val="00656F3C"/>
    <w:rsid w:val="00657085"/>
    <w:rsid w:val="00657312"/>
    <w:rsid w:val="00657F8F"/>
    <w:rsid w:val="006604C1"/>
    <w:rsid w:val="006605B9"/>
    <w:rsid w:val="006605E3"/>
    <w:rsid w:val="0066078B"/>
    <w:rsid w:val="00660B9F"/>
    <w:rsid w:val="0066117C"/>
    <w:rsid w:val="00661187"/>
    <w:rsid w:val="006623A9"/>
    <w:rsid w:val="00662A3F"/>
    <w:rsid w:val="00662FEB"/>
    <w:rsid w:val="00664480"/>
    <w:rsid w:val="0066542D"/>
    <w:rsid w:val="00666DC2"/>
    <w:rsid w:val="00666E36"/>
    <w:rsid w:val="006677CD"/>
    <w:rsid w:val="00670240"/>
    <w:rsid w:val="006709A4"/>
    <w:rsid w:val="00671A42"/>
    <w:rsid w:val="00671B37"/>
    <w:rsid w:val="00671B77"/>
    <w:rsid w:val="0067201F"/>
    <w:rsid w:val="00674780"/>
    <w:rsid w:val="00674F75"/>
    <w:rsid w:val="00675DD4"/>
    <w:rsid w:val="00675F2C"/>
    <w:rsid w:val="00676176"/>
    <w:rsid w:val="00676788"/>
    <w:rsid w:val="006804BA"/>
    <w:rsid w:val="00680777"/>
    <w:rsid w:val="0068097A"/>
    <w:rsid w:val="006816BC"/>
    <w:rsid w:val="00682E4E"/>
    <w:rsid w:val="0068400B"/>
    <w:rsid w:val="006842CB"/>
    <w:rsid w:val="00684C67"/>
    <w:rsid w:val="0068592C"/>
    <w:rsid w:val="00685ADF"/>
    <w:rsid w:val="0068640F"/>
    <w:rsid w:val="0068641D"/>
    <w:rsid w:val="00686C70"/>
    <w:rsid w:val="00686EFF"/>
    <w:rsid w:val="006908F8"/>
    <w:rsid w:val="0069254F"/>
    <w:rsid w:val="0069258F"/>
    <w:rsid w:val="00692C31"/>
    <w:rsid w:val="00693700"/>
    <w:rsid w:val="00693731"/>
    <w:rsid w:val="00695291"/>
    <w:rsid w:val="00696A84"/>
    <w:rsid w:val="006A0199"/>
    <w:rsid w:val="006A1316"/>
    <w:rsid w:val="006A26C7"/>
    <w:rsid w:val="006A26F8"/>
    <w:rsid w:val="006A3DCA"/>
    <w:rsid w:val="006A45DF"/>
    <w:rsid w:val="006A4D71"/>
    <w:rsid w:val="006A56CD"/>
    <w:rsid w:val="006A6E28"/>
    <w:rsid w:val="006B19CA"/>
    <w:rsid w:val="006B3F44"/>
    <w:rsid w:val="006B49F1"/>
    <w:rsid w:val="006B7743"/>
    <w:rsid w:val="006C0C4C"/>
    <w:rsid w:val="006C223F"/>
    <w:rsid w:val="006C3A9D"/>
    <w:rsid w:val="006C3CE1"/>
    <w:rsid w:val="006C5BA3"/>
    <w:rsid w:val="006C6559"/>
    <w:rsid w:val="006C7FE9"/>
    <w:rsid w:val="006D0A07"/>
    <w:rsid w:val="006D0AD2"/>
    <w:rsid w:val="006D144C"/>
    <w:rsid w:val="006D1809"/>
    <w:rsid w:val="006D1D9D"/>
    <w:rsid w:val="006D2D73"/>
    <w:rsid w:val="006D417E"/>
    <w:rsid w:val="006D476C"/>
    <w:rsid w:val="006D774D"/>
    <w:rsid w:val="006D798F"/>
    <w:rsid w:val="006D7E5B"/>
    <w:rsid w:val="006E0114"/>
    <w:rsid w:val="006E2786"/>
    <w:rsid w:val="006E2D4C"/>
    <w:rsid w:val="006E2F4F"/>
    <w:rsid w:val="006E46F9"/>
    <w:rsid w:val="006E496F"/>
    <w:rsid w:val="006E51F4"/>
    <w:rsid w:val="006E7F14"/>
    <w:rsid w:val="006F018B"/>
    <w:rsid w:val="006F0BD8"/>
    <w:rsid w:val="006F0D93"/>
    <w:rsid w:val="006F2047"/>
    <w:rsid w:val="006F20A4"/>
    <w:rsid w:val="006F2CB8"/>
    <w:rsid w:val="006F39CF"/>
    <w:rsid w:val="006F3BDF"/>
    <w:rsid w:val="006F3C1D"/>
    <w:rsid w:val="006F6D7A"/>
    <w:rsid w:val="006F6EA9"/>
    <w:rsid w:val="00701210"/>
    <w:rsid w:val="0070128F"/>
    <w:rsid w:val="00701FB7"/>
    <w:rsid w:val="007025FF"/>
    <w:rsid w:val="0070403A"/>
    <w:rsid w:val="00706C60"/>
    <w:rsid w:val="00707758"/>
    <w:rsid w:val="00710D14"/>
    <w:rsid w:val="00710D2B"/>
    <w:rsid w:val="00711B1F"/>
    <w:rsid w:val="00712486"/>
    <w:rsid w:val="00713145"/>
    <w:rsid w:val="0071514B"/>
    <w:rsid w:val="00715958"/>
    <w:rsid w:val="007164F6"/>
    <w:rsid w:val="00717095"/>
    <w:rsid w:val="0072202E"/>
    <w:rsid w:val="0072270A"/>
    <w:rsid w:val="00722CD0"/>
    <w:rsid w:val="00722F7C"/>
    <w:rsid w:val="00723706"/>
    <w:rsid w:val="007251BD"/>
    <w:rsid w:val="007303FF"/>
    <w:rsid w:val="00730D98"/>
    <w:rsid w:val="007313F4"/>
    <w:rsid w:val="00732620"/>
    <w:rsid w:val="00734BE0"/>
    <w:rsid w:val="0073613D"/>
    <w:rsid w:val="00736D2C"/>
    <w:rsid w:val="00737179"/>
    <w:rsid w:val="00740148"/>
    <w:rsid w:val="0074122D"/>
    <w:rsid w:val="007414DD"/>
    <w:rsid w:val="00742D04"/>
    <w:rsid w:val="00743BDD"/>
    <w:rsid w:val="00743C9F"/>
    <w:rsid w:val="007441FF"/>
    <w:rsid w:val="00745F53"/>
    <w:rsid w:val="00747D4D"/>
    <w:rsid w:val="00750F9A"/>
    <w:rsid w:val="00750FE1"/>
    <w:rsid w:val="00754315"/>
    <w:rsid w:val="007560BE"/>
    <w:rsid w:val="0075644C"/>
    <w:rsid w:val="0075664A"/>
    <w:rsid w:val="00757265"/>
    <w:rsid w:val="0075745A"/>
    <w:rsid w:val="00760E0C"/>
    <w:rsid w:val="007614F6"/>
    <w:rsid w:val="00762C1E"/>
    <w:rsid w:val="00764926"/>
    <w:rsid w:val="00765B27"/>
    <w:rsid w:val="00766D57"/>
    <w:rsid w:val="00766DAC"/>
    <w:rsid w:val="007704C4"/>
    <w:rsid w:val="007705F3"/>
    <w:rsid w:val="007709C2"/>
    <w:rsid w:val="0077110F"/>
    <w:rsid w:val="007729E3"/>
    <w:rsid w:val="00773C86"/>
    <w:rsid w:val="00774D36"/>
    <w:rsid w:val="00776FD4"/>
    <w:rsid w:val="0078081B"/>
    <w:rsid w:val="00781422"/>
    <w:rsid w:val="00781B20"/>
    <w:rsid w:val="00784768"/>
    <w:rsid w:val="00787229"/>
    <w:rsid w:val="00787BB7"/>
    <w:rsid w:val="00787E4B"/>
    <w:rsid w:val="007905C2"/>
    <w:rsid w:val="00790FFC"/>
    <w:rsid w:val="00791780"/>
    <w:rsid w:val="00791E2A"/>
    <w:rsid w:val="00792152"/>
    <w:rsid w:val="00792BCA"/>
    <w:rsid w:val="00793AAD"/>
    <w:rsid w:val="00794F58"/>
    <w:rsid w:val="007956F1"/>
    <w:rsid w:val="0079609C"/>
    <w:rsid w:val="00796EB0"/>
    <w:rsid w:val="007970CE"/>
    <w:rsid w:val="007A0A80"/>
    <w:rsid w:val="007A0B4D"/>
    <w:rsid w:val="007A183F"/>
    <w:rsid w:val="007A1CB8"/>
    <w:rsid w:val="007A212D"/>
    <w:rsid w:val="007A44D1"/>
    <w:rsid w:val="007A49AA"/>
    <w:rsid w:val="007A4FDF"/>
    <w:rsid w:val="007A5C00"/>
    <w:rsid w:val="007A5CC1"/>
    <w:rsid w:val="007A6384"/>
    <w:rsid w:val="007A63BC"/>
    <w:rsid w:val="007A6D72"/>
    <w:rsid w:val="007A702B"/>
    <w:rsid w:val="007A7403"/>
    <w:rsid w:val="007B2C7A"/>
    <w:rsid w:val="007B34A3"/>
    <w:rsid w:val="007B45EB"/>
    <w:rsid w:val="007B46C8"/>
    <w:rsid w:val="007B4E0B"/>
    <w:rsid w:val="007B50F6"/>
    <w:rsid w:val="007B5309"/>
    <w:rsid w:val="007B58AE"/>
    <w:rsid w:val="007B72BC"/>
    <w:rsid w:val="007B7F26"/>
    <w:rsid w:val="007B7FC5"/>
    <w:rsid w:val="007C03EF"/>
    <w:rsid w:val="007C06F6"/>
    <w:rsid w:val="007C0C63"/>
    <w:rsid w:val="007C0EB4"/>
    <w:rsid w:val="007C41B7"/>
    <w:rsid w:val="007C5F3C"/>
    <w:rsid w:val="007C601C"/>
    <w:rsid w:val="007D08A4"/>
    <w:rsid w:val="007D18AF"/>
    <w:rsid w:val="007D2058"/>
    <w:rsid w:val="007D2217"/>
    <w:rsid w:val="007D35C7"/>
    <w:rsid w:val="007D4173"/>
    <w:rsid w:val="007D4844"/>
    <w:rsid w:val="007D565B"/>
    <w:rsid w:val="007D64E0"/>
    <w:rsid w:val="007D782F"/>
    <w:rsid w:val="007D7B46"/>
    <w:rsid w:val="007E0E85"/>
    <w:rsid w:val="007E2CA9"/>
    <w:rsid w:val="007E3BB0"/>
    <w:rsid w:val="007E4353"/>
    <w:rsid w:val="007E4D33"/>
    <w:rsid w:val="007E527C"/>
    <w:rsid w:val="007E6102"/>
    <w:rsid w:val="007E6728"/>
    <w:rsid w:val="007E72BC"/>
    <w:rsid w:val="007E78B4"/>
    <w:rsid w:val="007E7A7E"/>
    <w:rsid w:val="007F044A"/>
    <w:rsid w:val="007F0F92"/>
    <w:rsid w:val="007F1E68"/>
    <w:rsid w:val="007F2B04"/>
    <w:rsid w:val="007F3EA4"/>
    <w:rsid w:val="007F5702"/>
    <w:rsid w:val="007F6594"/>
    <w:rsid w:val="007F6D56"/>
    <w:rsid w:val="007F7CD9"/>
    <w:rsid w:val="00800202"/>
    <w:rsid w:val="008002E5"/>
    <w:rsid w:val="0080088C"/>
    <w:rsid w:val="00802082"/>
    <w:rsid w:val="008048AF"/>
    <w:rsid w:val="00804EA7"/>
    <w:rsid w:val="00804F87"/>
    <w:rsid w:val="00804FC7"/>
    <w:rsid w:val="008059C6"/>
    <w:rsid w:val="00805F13"/>
    <w:rsid w:val="00806E6D"/>
    <w:rsid w:val="00807359"/>
    <w:rsid w:val="00807802"/>
    <w:rsid w:val="0081088D"/>
    <w:rsid w:val="00810A89"/>
    <w:rsid w:val="00810DFA"/>
    <w:rsid w:val="00810F59"/>
    <w:rsid w:val="008128EA"/>
    <w:rsid w:val="00815190"/>
    <w:rsid w:val="008155EF"/>
    <w:rsid w:val="00816C89"/>
    <w:rsid w:val="00816E6F"/>
    <w:rsid w:val="008217E1"/>
    <w:rsid w:val="00821D65"/>
    <w:rsid w:val="008223BE"/>
    <w:rsid w:val="0082277C"/>
    <w:rsid w:val="00822CBB"/>
    <w:rsid w:val="0082461A"/>
    <w:rsid w:val="00824647"/>
    <w:rsid w:val="00824D96"/>
    <w:rsid w:val="0082570A"/>
    <w:rsid w:val="00827D91"/>
    <w:rsid w:val="00831A13"/>
    <w:rsid w:val="00833377"/>
    <w:rsid w:val="00834356"/>
    <w:rsid w:val="008361F7"/>
    <w:rsid w:val="008362C2"/>
    <w:rsid w:val="00836B9C"/>
    <w:rsid w:val="0084283D"/>
    <w:rsid w:val="00842C29"/>
    <w:rsid w:val="00842D3B"/>
    <w:rsid w:val="00843766"/>
    <w:rsid w:val="00843885"/>
    <w:rsid w:val="008441D6"/>
    <w:rsid w:val="008449FC"/>
    <w:rsid w:val="008458A2"/>
    <w:rsid w:val="00845F50"/>
    <w:rsid w:val="008460CE"/>
    <w:rsid w:val="00846FA5"/>
    <w:rsid w:val="0085065A"/>
    <w:rsid w:val="00850690"/>
    <w:rsid w:val="008506DB"/>
    <w:rsid w:val="0085091F"/>
    <w:rsid w:val="008510C0"/>
    <w:rsid w:val="00851937"/>
    <w:rsid w:val="00852EFF"/>
    <w:rsid w:val="00854031"/>
    <w:rsid w:val="008555C0"/>
    <w:rsid w:val="00855D41"/>
    <w:rsid w:val="00855F0B"/>
    <w:rsid w:val="0085624E"/>
    <w:rsid w:val="00857251"/>
    <w:rsid w:val="0085762A"/>
    <w:rsid w:val="00857A56"/>
    <w:rsid w:val="00857C86"/>
    <w:rsid w:val="00857DA9"/>
    <w:rsid w:val="00860EE3"/>
    <w:rsid w:val="00861349"/>
    <w:rsid w:val="00861FF0"/>
    <w:rsid w:val="008634F8"/>
    <w:rsid w:val="0086594B"/>
    <w:rsid w:val="00866442"/>
    <w:rsid w:val="008679E2"/>
    <w:rsid w:val="00867DCB"/>
    <w:rsid w:val="00870B78"/>
    <w:rsid w:val="00870B85"/>
    <w:rsid w:val="0087161A"/>
    <w:rsid w:val="008717BA"/>
    <w:rsid w:val="00875B41"/>
    <w:rsid w:val="00876785"/>
    <w:rsid w:val="00876D92"/>
    <w:rsid w:val="0088083A"/>
    <w:rsid w:val="008808FD"/>
    <w:rsid w:val="00882448"/>
    <w:rsid w:val="00883A1B"/>
    <w:rsid w:val="00883DE8"/>
    <w:rsid w:val="0088467A"/>
    <w:rsid w:val="008846A4"/>
    <w:rsid w:val="00884D3C"/>
    <w:rsid w:val="00884DE8"/>
    <w:rsid w:val="0088545D"/>
    <w:rsid w:val="00885BAE"/>
    <w:rsid w:val="00885E1F"/>
    <w:rsid w:val="00885EB3"/>
    <w:rsid w:val="008874D5"/>
    <w:rsid w:val="00887B9A"/>
    <w:rsid w:val="00887D65"/>
    <w:rsid w:val="00890D91"/>
    <w:rsid w:val="00891261"/>
    <w:rsid w:val="008915A0"/>
    <w:rsid w:val="00891AD8"/>
    <w:rsid w:val="0089224D"/>
    <w:rsid w:val="00892361"/>
    <w:rsid w:val="0089329A"/>
    <w:rsid w:val="00893310"/>
    <w:rsid w:val="00893C28"/>
    <w:rsid w:val="00893E2B"/>
    <w:rsid w:val="008957E6"/>
    <w:rsid w:val="00896C4F"/>
    <w:rsid w:val="00896C7F"/>
    <w:rsid w:val="0089779B"/>
    <w:rsid w:val="008A0B79"/>
    <w:rsid w:val="008A4623"/>
    <w:rsid w:val="008A5250"/>
    <w:rsid w:val="008A55B7"/>
    <w:rsid w:val="008A5B77"/>
    <w:rsid w:val="008A6FDD"/>
    <w:rsid w:val="008A73A8"/>
    <w:rsid w:val="008B07CA"/>
    <w:rsid w:val="008B0A41"/>
    <w:rsid w:val="008B24E2"/>
    <w:rsid w:val="008B2644"/>
    <w:rsid w:val="008B2EBA"/>
    <w:rsid w:val="008B3F8A"/>
    <w:rsid w:val="008B51F4"/>
    <w:rsid w:val="008B7003"/>
    <w:rsid w:val="008C0A00"/>
    <w:rsid w:val="008C0AD8"/>
    <w:rsid w:val="008C1B83"/>
    <w:rsid w:val="008C2EA0"/>
    <w:rsid w:val="008C2ED4"/>
    <w:rsid w:val="008C529B"/>
    <w:rsid w:val="008C54F8"/>
    <w:rsid w:val="008C5827"/>
    <w:rsid w:val="008C7177"/>
    <w:rsid w:val="008C73AC"/>
    <w:rsid w:val="008D0156"/>
    <w:rsid w:val="008D08F8"/>
    <w:rsid w:val="008D2BBB"/>
    <w:rsid w:val="008D4788"/>
    <w:rsid w:val="008D5739"/>
    <w:rsid w:val="008D5F2B"/>
    <w:rsid w:val="008D612D"/>
    <w:rsid w:val="008D69E9"/>
    <w:rsid w:val="008D7C02"/>
    <w:rsid w:val="008D7E96"/>
    <w:rsid w:val="008E04AE"/>
    <w:rsid w:val="008E0C5B"/>
    <w:rsid w:val="008E175E"/>
    <w:rsid w:val="008E29DE"/>
    <w:rsid w:val="008E2B42"/>
    <w:rsid w:val="008E4369"/>
    <w:rsid w:val="008E4612"/>
    <w:rsid w:val="008E4C26"/>
    <w:rsid w:val="008E4C98"/>
    <w:rsid w:val="008E5DAF"/>
    <w:rsid w:val="008E6B7D"/>
    <w:rsid w:val="008E6F82"/>
    <w:rsid w:val="008E70EA"/>
    <w:rsid w:val="008E7581"/>
    <w:rsid w:val="008E7791"/>
    <w:rsid w:val="008F0065"/>
    <w:rsid w:val="008F10A2"/>
    <w:rsid w:val="008F19F9"/>
    <w:rsid w:val="008F1AD1"/>
    <w:rsid w:val="008F21E9"/>
    <w:rsid w:val="008F4E49"/>
    <w:rsid w:val="008F5737"/>
    <w:rsid w:val="008F65E6"/>
    <w:rsid w:val="008F666B"/>
    <w:rsid w:val="009006F3"/>
    <w:rsid w:val="00901585"/>
    <w:rsid w:val="00902E1D"/>
    <w:rsid w:val="00903D97"/>
    <w:rsid w:val="00903F82"/>
    <w:rsid w:val="0090463A"/>
    <w:rsid w:val="0090686F"/>
    <w:rsid w:val="009074E5"/>
    <w:rsid w:val="00910417"/>
    <w:rsid w:val="00910549"/>
    <w:rsid w:val="00912A38"/>
    <w:rsid w:val="00914727"/>
    <w:rsid w:val="0091499C"/>
    <w:rsid w:val="00917131"/>
    <w:rsid w:val="009172A7"/>
    <w:rsid w:val="0092328A"/>
    <w:rsid w:val="009253DA"/>
    <w:rsid w:val="00925627"/>
    <w:rsid w:val="009267EC"/>
    <w:rsid w:val="009279C2"/>
    <w:rsid w:val="00931BC4"/>
    <w:rsid w:val="00932BE3"/>
    <w:rsid w:val="0093483E"/>
    <w:rsid w:val="0093543B"/>
    <w:rsid w:val="00936EB7"/>
    <w:rsid w:val="00941560"/>
    <w:rsid w:val="00941B76"/>
    <w:rsid w:val="00941CEF"/>
    <w:rsid w:val="0094255D"/>
    <w:rsid w:val="00942DEE"/>
    <w:rsid w:val="0094685D"/>
    <w:rsid w:val="00946C4D"/>
    <w:rsid w:val="00946D72"/>
    <w:rsid w:val="009474C9"/>
    <w:rsid w:val="009509EC"/>
    <w:rsid w:val="00950AC0"/>
    <w:rsid w:val="00952CC0"/>
    <w:rsid w:val="00952DCF"/>
    <w:rsid w:val="009531B6"/>
    <w:rsid w:val="0095432A"/>
    <w:rsid w:val="009551A6"/>
    <w:rsid w:val="009557CC"/>
    <w:rsid w:val="00957607"/>
    <w:rsid w:val="00957959"/>
    <w:rsid w:val="0096058C"/>
    <w:rsid w:val="00960E39"/>
    <w:rsid w:val="0096107B"/>
    <w:rsid w:val="00961177"/>
    <w:rsid w:val="00961501"/>
    <w:rsid w:val="009615A0"/>
    <w:rsid w:val="009619E5"/>
    <w:rsid w:val="009622CF"/>
    <w:rsid w:val="009623D1"/>
    <w:rsid w:val="009623EE"/>
    <w:rsid w:val="009626C6"/>
    <w:rsid w:val="0096288F"/>
    <w:rsid w:val="00965393"/>
    <w:rsid w:val="009662BD"/>
    <w:rsid w:val="009666BD"/>
    <w:rsid w:val="00966F15"/>
    <w:rsid w:val="00970879"/>
    <w:rsid w:val="009709B1"/>
    <w:rsid w:val="009713D5"/>
    <w:rsid w:val="0097160F"/>
    <w:rsid w:val="0097175E"/>
    <w:rsid w:val="0097399F"/>
    <w:rsid w:val="00974DEA"/>
    <w:rsid w:val="00975351"/>
    <w:rsid w:val="00975456"/>
    <w:rsid w:val="00976089"/>
    <w:rsid w:val="00976CCB"/>
    <w:rsid w:val="00977814"/>
    <w:rsid w:val="009836C8"/>
    <w:rsid w:val="009844AA"/>
    <w:rsid w:val="009852E1"/>
    <w:rsid w:val="00986AE4"/>
    <w:rsid w:val="00986B33"/>
    <w:rsid w:val="00987AC2"/>
    <w:rsid w:val="00987AD5"/>
    <w:rsid w:val="00990BA3"/>
    <w:rsid w:val="009925AB"/>
    <w:rsid w:val="009946FD"/>
    <w:rsid w:val="00995501"/>
    <w:rsid w:val="009A2FEA"/>
    <w:rsid w:val="009A3828"/>
    <w:rsid w:val="009A3B02"/>
    <w:rsid w:val="009A45A7"/>
    <w:rsid w:val="009A4D97"/>
    <w:rsid w:val="009A4F93"/>
    <w:rsid w:val="009A51DC"/>
    <w:rsid w:val="009A5779"/>
    <w:rsid w:val="009A594B"/>
    <w:rsid w:val="009A7D19"/>
    <w:rsid w:val="009B3CDE"/>
    <w:rsid w:val="009B5284"/>
    <w:rsid w:val="009B6F99"/>
    <w:rsid w:val="009B7138"/>
    <w:rsid w:val="009B71FF"/>
    <w:rsid w:val="009B73AA"/>
    <w:rsid w:val="009B7518"/>
    <w:rsid w:val="009C1E46"/>
    <w:rsid w:val="009C205F"/>
    <w:rsid w:val="009C2634"/>
    <w:rsid w:val="009C274F"/>
    <w:rsid w:val="009C41FA"/>
    <w:rsid w:val="009C495B"/>
    <w:rsid w:val="009C6453"/>
    <w:rsid w:val="009C755B"/>
    <w:rsid w:val="009C7C39"/>
    <w:rsid w:val="009D0172"/>
    <w:rsid w:val="009D0242"/>
    <w:rsid w:val="009D0634"/>
    <w:rsid w:val="009D15BB"/>
    <w:rsid w:val="009D1E97"/>
    <w:rsid w:val="009D2E73"/>
    <w:rsid w:val="009D3648"/>
    <w:rsid w:val="009D380E"/>
    <w:rsid w:val="009D39AE"/>
    <w:rsid w:val="009D63D8"/>
    <w:rsid w:val="009D69ED"/>
    <w:rsid w:val="009D6E26"/>
    <w:rsid w:val="009E0272"/>
    <w:rsid w:val="009E043E"/>
    <w:rsid w:val="009E0F3A"/>
    <w:rsid w:val="009E13B3"/>
    <w:rsid w:val="009E24A6"/>
    <w:rsid w:val="009E554D"/>
    <w:rsid w:val="009E5642"/>
    <w:rsid w:val="009E59C2"/>
    <w:rsid w:val="009E5C45"/>
    <w:rsid w:val="009E6D9C"/>
    <w:rsid w:val="009E787C"/>
    <w:rsid w:val="009F07E4"/>
    <w:rsid w:val="009F09D6"/>
    <w:rsid w:val="009F15DB"/>
    <w:rsid w:val="009F20B3"/>
    <w:rsid w:val="009F2DBD"/>
    <w:rsid w:val="009F2F33"/>
    <w:rsid w:val="009F3E94"/>
    <w:rsid w:val="009F575A"/>
    <w:rsid w:val="009F5A2A"/>
    <w:rsid w:val="009F5BCF"/>
    <w:rsid w:val="009F5C3C"/>
    <w:rsid w:val="009F62D4"/>
    <w:rsid w:val="009F64AE"/>
    <w:rsid w:val="009F7B83"/>
    <w:rsid w:val="00A000DD"/>
    <w:rsid w:val="00A010C3"/>
    <w:rsid w:val="00A013C3"/>
    <w:rsid w:val="00A01652"/>
    <w:rsid w:val="00A029CA"/>
    <w:rsid w:val="00A0494D"/>
    <w:rsid w:val="00A07177"/>
    <w:rsid w:val="00A0760C"/>
    <w:rsid w:val="00A07A6E"/>
    <w:rsid w:val="00A125FE"/>
    <w:rsid w:val="00A127A5"/>
    <w:rsid w:val="00A13385"/>
    <w:rsid w:val="00A14A03"/>
    <w:rsid w:val="00A14E5D"/>
    <w:rsid w:val="00A1500F"/>
    <w:rsid w:val="00A15748"/>
    <w:rsid w:val="00A15DE5"/>
    <w:rsid w:val="00A15F12"/>
    <w:rsid w:val="00A16485"/>
    <w:rsid w:val="00A17909"/>
    <w:rsid w:val="00A20A64"/>
    <w:rsid w:val="00A2160F"/>
    <w:rsid w:val="00A21973"/>
    <w:rsid w:val="00A21A6C"/>
    <w:rsid w:val="00A24560"/>
    <w:rsid w:val="00A2533D"/>
    <w:rsid w:val="00A26155"/>
    <w:rsid w:val="00A264F5"/>
    <w:rsid w:val="00A2753C"/>
    <w:rsid w:val="00A30BCC"/>
    <w:rsid w:val="00A30F6D"/>
    <w:rsid w:val="00A31398"/>
    <w:rsid w:val="00A319B3"/>
    <w:rsid w:val="00A31D73"/>
    <w:rsid w:val="00A32F85"/>
    <w:rsid w:val="00A3334C"/>
    <w:rsid w:val="00A3372A"/>
    <w:rsid w:val="00A34110"/>
    <w:rsid w:val="00A34EE3"/>
    <w:rsid w:val="00A350D7"/>
    <w:rsid w:val="00A360A8"/>
    <w:rsid w:val="00A36626"/>
    <w:rsid w:val="00A4061C"/>
    <w:rsid w:val="00A40F9F"/>
    <w:rsid w:val="00A42656"/>
    <w:rsid w:val="00A435E4"/>
    <w:rsid w:val="00A43B47"/>
    <w:rsid w:val="00A44354"/>
    <w:rsid w:val="00A443B7"/>
    <w:rsid w:val="00A459B1"/>
    <w:rsid w:val="00A4640F"/>
    <w:rsid w:val="00A47F19"/>
    <w:rsid w:val="00A50BAD"/>
    <w:rsid w:val="00A511C7"/>
    <w:rsid w:val="00A536F2"/>
    <w:rsid w:val="00A53C55"/>
    <w:rsid w:val="00A54307"/>
    <w:rsid w:val="00A552CC"/>
    <w:rsid w:val="00A5596A"/>
    <w:rsid w:val="00A60422"/>
    <w:rsid w:val="00A604B3"/>
    <w:rsid w:val="00A60508"/>
    <w:rsid w:val="00A608E3"/>
    <w:rsid w:val="00A60CD8"/>
    <w:rsid w:val="00A61C93"/>
    <w:rsid w:val="00A62B1E"/>
    <w:rsid w:val="00A62B35"/>
    <w:rsid w:val="00A62E02"/>
    <w:rsid w:val="00A63134"/>
    <w:rsid w:val="00A63927"/>
    <w:rsid w:val="00A66B49"/>
    <w:rsid w:val="00A670B6"/>
    <w:rsid w:val="00A677E4"/>
    <w:rsid w:val="00A6789B"/>
    <w:rsid w:val="00A7146C"/>
    <w:rsid w:val="00A71BD5"/>
    <w:rsid w:val="00A7264D"/>
    <w:rsid w:val="00A743BA"/>
    <w:rsid w:val="00A74476"/>
    <w:rsid w:val="00A75712"/>
    <w:rsid w:val="00A7583E"/>
    <w:rsid w:val="00A75A3B"/>
    <w:rsid w:val="00A77DF9"/>
    <w:rsid w:val="00A81AFA"/>
    <w:rsid w:val="00A8203D"/>
    <w:rsid w:val="00A821B4"/>
    <w:rsid w:val="00A821EB"/>
    <w:rsid w:val="00A824B6"/>
    <w:rsid w:val="00A82A10"/>
    <w:rsid w:val="00A879EC"/>
    <w:rsid w:val="00A87A61"/>
    <w:rsid w:val="00A905D0"/>
    <w:rsid w:val="00A90C95"/>
    <w:rsid w:val="00A90DFD"/>
    <w:rsid w:val="00A92A3E"/>
    <w:rsid w:val="00A92BA2"/>
    <w:rsid w:val="00A93149"/>
    <w:rsid w:val="00A937B9"/>
    <w:rsid w:val="00A93A43"/>
    <w:rsid w:val="00A93FDB"/>
    <w:rsid w:val="00A94569"/>
    <w:rsid w:val="00A96660"/>
    <w:rsid w:val="00A96FF7"/>
    <w:rsid w:val="00A9703F"/>
    <w:rsid w:val="00A9755A"/>
    <w:rsid w:val="00A9779A"/>
    <w:rsid w:val="00A978D4"/>
    <w:rsid w:val="00A97A0B"/>
    <w:rsid w:val="00AA27A8"/>
    <w:rsid w:val="00AA2E5F"/>
    <w:rsid w:val="00AA3C5F"/>
    <w:rsid w:val="00AA4568"/>
    <w:rsid w:val="00AA4DB1"/>
    <w:rsid w:val="00AA5B56"/>
    <w:rsid w:val="00AA5CF3"/>
    <w:rsid w:val="00AA5E74"/>
    <w:rsid w:val="00AA714E"/>
    <w:rsid w:val="00AA7487"/>
    <w:rsid w:val="00AA7A47"/>
    <w:rsid w:val="00AA7AD0"/>
    <w:rsid w:val="00AA7B57"/>
    <w:rsid w:val="00AB0164"/>
    <w:rsid w:val="00AB08AF"/>
    <w:rsid w:val="00AB1D97"/>
    <w:rsid w:val="00AB28DA"/>
    <w:rsid w:val="00AB32AF"/>
    <w:rsid w:val="00AB3B1B"/>
    <w:rsid w:val="00AB3FB3"/>
    <w:rsid w:val="00AB4209"/>
    <w:rsid w:val="00AB4CF3"/>
    <w:rsid w:val="00AB5C56"/>
    <w:rsid w:val="00AB5E4D"/>
    <w:rsid w:val="00AB72C0"/>
    <w:rsid w:val="00AB772E"/>
    <w:rsid w:val="00AC2033"/>
    <w:rsid w:val="00AC3447"/>
    <w:rsid w:val="00AC39B0"/>
    <w:rsid w:val="00AC3DBC"/>
    <w:rsid w:val="00AC4331"/>
    <w:rsid w:val="00AC52EB"/>
    <w:rsid w:val="00AC54C6"/>
    <w:rsid w:val="00AC56F5"/>
    <w:rsid w:val="00AC64CE"/>
    <w:rsid w:val="00AC7C45"/>
    <w:rsid w:val="00AD0B79"/>
    <w:rsid w:val="00AD1346"/>
    <w:rsid w:val="00AD2ECE"/>
    <w:rsid w:val="00AD2F3D"/>
    <w:rsid w:val="00AD6E84"/>
    <w:rsid w:val="00AD729F"/>
    <w:rsid w:val="00AD7727"/>
    <w:rsid w:val="00AE04AC"/>
    <w:rsid w:val="00AE2E64"/>
    <w:rsid w:val="00AE3061"/>
    <w:rsid w:val="00AE31C3"/>
    <w:rsid w:val="00AE3382"/>
    <w:rsid w:val="00AE3795"/>
    <w:rsid w:val="00AE3BA5"/>
    <w:rsid w:val="00AE3DE4"/>
    <w:rsid w:val="00AE45C3"/>
    <w:rsid w:val="00AE4A0C"/>
    <w:rsid w:val="00AE596D"/>
    <w:rsid w:val="00AE6B90"/>
    <w:rsid w:val="00AE7B78"/>
    <w:rsid w:val="00AE7DC2"/>
    <w:rsid w:val="00AF10F2"/>
    <w:rsid w:val="00AF1163"/>
    <w:rsid w:val="00AF14F5"/>
    <w:rsid w:val="00AF21E1"/>
    <w:rsid w:val="00AF269E"/>
    <w:rsid w:val="00AF2952"/>
    <w:rsid w:val="00AF2E89"/>
    <w:rsid w:val="00AF33BD"/>
    <w:rsid w:val="00AF44C3"/>
    <w:rsid w:val="00AF52FE"/>
    <w:rsid w:val="00AF7EDE"/>
    <w:rsid w:val="00B01835"/>
    <w:rsid w:val="00B01A98"/>
    <w:rsid w:val="00B02AD2"/>
    <w:rsid w:val="00B03478"/>
    <w:rsid w:val="00B0712F"/>
    <w:rsid w:val="00B1002E"/>
    <w:rsid w:val="00B11E3C"/>
    <w:rsid w:val="00B13307"/>
    <w:rsid w:val="00B13425"/>
    <w:rsid w:val="00B14083"/>
    <w:rsid w:val="00B14470"/>
    <w:rsid w:val="00B1477D"/>
    <w:rsid w:val="00B1623E"/>
    <w:rsid w:val="00B171DF"/>
    <w:rsid w:val="00B17351"/>
    <w:rsid w:val="00B20533"/>
    <w:rsid w:val="00B21195"/>
    <w:rsid w:val="00B22138"/>
    <w:rsid w:val="00B240CC"/>
    <w:rsid w:val="00B24328"/>
    <w:rsid w:val="00B24924"/>
    <w:rsid w:val="00B2591C"/>
    <w:rsid w:val="00B25CDE"/>
    <w:rsid w:val="00B2659D"/>
    <w:rsid w:val="00B26ABE"/>
    <w:rsid w:val="00B27438"/>
    <w:rsid w:val="00B2743F"/>
    <w:rsid w:val="00B32E11"/>
    <w:rsid w:val="00B32ED9"/>
    <w:rsid w:val="00B3418E"/>
    <w:rsid w:val="00B37015"/>
    <w:rsid w:val="00B40345"/>
    <w:rsid w:val="00B407CE"/>
    <w:rsid w:val="00B40A7D"/>
    <w:rsid w:val="00B41009"/>
    <w:rsid w:val="00B41024"/>
    <w:rsid w:val="00B425E8"/>
    <w:rsid w:val="00B43C4F"/>
    <w:rsid w:val="00B44015"/>
    <w:rsid w:val="00B44A1D"/>
    <w:rsid w:val="00B457C8"/>
    <w:rsid w:val="00B45F8D"/>
    <w:rsid w:val="00B46B9D"/>
    <w:rsid w:val="00B475C0"/>
    <w:rsid w:val="00B47D93"/>
    <w:rsid w:val="00B500D3"/>
    <w:rsid w:val="00B50524"/>
    <w:rsid w:val="00B5054F"/>
    <w:rsid w:val="00B50E56"/>
    <w:rsid w:val="00B5165C"/>
    <w:rsid w:val="00B51AC9"/>
    <w:rsid w:val="00B542A3"/>
    <w:rsid w:val="00B5681E"/>
    <w:rsid w:val="00B56C6F"/>
    <w:rsid w:val="00B576C8"/>
    <w:rsid w:val="00B60A7A"/>
    <w:rsid w:val="00B60C2B"/>
    <w:rsid w:val="00B6188B"/>
    <w:rsid w:val="00B630AF"/>
    <w:rsid w:val="00B63F40"/>
    <w:rsid w:val="00B646C8"/>
    <w:rsid w:val="00B655F1"/>
    <w:rsid w:val="00B6639D"/>
    <w:rsid w:val="00B66890"/>
    <w:rsid w:val="00B7014C"/>
    <w:rsid w:val="00B70DF8"/>
    <w:rsid w:val="00B7147E"/>
    <w:rsid w:val="00B72149"/>
    <w:rsid w:val="00B727B9"/>
    <w:rsid w:val="00B734D9"/>
    <w:rsid w:val="00B73A16"/>
    <w:rsid w:val="00B73C04"/>
    <w:rsid w:val="00B741EC"/>
    <w:rsid w:val="00B75B36"/>
    <w:rsid w:val="00B75CC2"/>
    <w:rsid w:val="00B76768"/>
    <w:rsid w:val="00B80972"/>
    <w:rsid w:val="00B80E8E"/>
    <w:rsid w:val="00B812D4"/>
    <w:rsid w:val="00B82FDD"/>
    <w:rsid w:val="00B83281"/>
    <w:rsid w:val="00B83F32"/>
    <w:rsid w:val="00B84B77"/>
    <w:rsid w:val="00B87432"/>
    <w:rsid w:val="00B90569"/>
    <w:rsid w:val="00B907E6"/>
    <w:rsid w:val="00B916D7"/>
    <w:rsid w:val="00B9274E"/>
    <w:rsid w:val="00B92B6D"/>
    <w:rsid w:val="00B92E8E"/>
    <w:rsid w:val="00B936A5"/>
    <w:rsid w:val="00B94178"/>
    <w:rsid w:val="00B94C17"/>
    <w:rsid w:val="00B95344"/>
    <w:rsid w:val="00B95806"/>
    <w:rsid w:val="00B959E9"/>
    <w:rsid w:val="00B95BF5"/>
    <w:rsid w:val="00B96D89"/>
    <w:rsid w:val="00B97326"/>
    <w:rsid w:val="00B97382"/>
    <w:rsid w:val="00B97E5C"/>
    <w:rsid w:val="00BA2E4C"/>
    <w:rsid w:val="00BA374E"/>
    <w:rsid w:val="00BA462E"/>
    <w:rsid w:val="00BA464C"/>
    <w:rsid w:val="00BA6251"/>
    <w:rsid w:val="00BA6841"/>
    <w:rsid w:val="00BB00D0"/>
    <w:rsid w:val="00BB09EA"/>
    <w:rsid w:val="00BB118D"/>
    <w:rsid w:val="00BB41B1"/>
    <w:rsid w:val="00BB5F1F"/>
    <w:rsid w:val="00BB7618"/>
    <w:rsid w:val="00BC031C"/>
    <w:rsid w:val="00BC1232"/>
    <w:rsid w:val="00BC1C5B"/>
    <w:rsid w:val="00BC2962"/>
    <w:rsid w:val="00BC29F1"/>
    <w:rsid w:val="00BC4716"/>
    <w:rsid w:val="00BC4D8C"/>
    <w:rsid w:val="00BC7EB2"/>
    <w:rsid w:val="00BD00D2"/>
    <w:rsid w:val="00BD11DD"/>
    <w:rsid w:val="00BD2CD2"/>
    <w:rsid w:val="00BD2E03"/>
    <w:rsid w:val="00BD3643"/>
    <w:rsid w:val="00BD3AA2"/>
    <w:rsid w:val="00BD4E7A"/>
    <w:rsid w:val="00BD4E86"/>
    <w:rsid w:val="00BD637B"/>
    <w:rsid w:val="00BD742C"/>
    <w:rsid w:val="00BE0145"/>
    <w:rsid w:val="00BE246D"/>
    <w:rsid w:val="00BE254B"/>
    <w:rsid w:val="00BE3D8E"/>
    <w:rsid w:val="00BE41FD"/>
    <w:rsid w:val="00BE4374"/>
    <w:rsid w:val="00BE6515"/>
    <w:rsid w:val="00BF078F"/>
    <w:rsid w:val="00BF17AA"/>
    <w:rsid w:val="00BF1DAB"/>
    <w:rsid w:val="00BF396C"/>
    <w:rsid w:val="00BF39D9"/>
    <w:rsid w:val="00BF40E1"/>
    <w:rsid w:val="00BF4FC7"/>
    <w:rsid w:val="00BF5625"/>
    <w:rsid w:val="00BF595E"/>
    <w:rsid w:val="00BF5C9F"/>
    <w:rsid w:val="00BF5D10"/>
    <w:rsid w:val="00BF5E36"/>
    <w:rsid w:val="00BF7004"/>
    <w:rsid w:val="00BF7945"/>
    <w:rsid w:val="00BF7AA8"/>
    <w:rsid w:val="00C001D4"/>
    <w:rsid w:val="00C00527"/>
    <w:rsid w:val="00C0068F"/>
    <w:rsid w:val="00C00EC5"/>
    <w:rsid w:val="00C01190"/>
    <w:rsid w:val="00C02E36"/>
    <w:rsid w:val="00C046A0"/>
    <w:rsid w:val="00C05D38"/>
    <w:rsid w:val="00C060D7"/>
    <w:rsid w:val="00C070B7"/>
    <w:rsid w:val="00C12AF6"/>
    <w:rsid w:val="00C136EF"/>
    <w:rsid w:val="00C14889"/>
    <w:rsid w:val="00C16B20"/>
    <w:rsid w:val="00C174A0"/>
    <w:rsid w:val="00C21143"/>
    <w:rsid w:val="00C21570"/>
    <w:rsid w:val="00C2159B"/>
    <w:rsid w:val="00C22043"/>
    <w:rsid w:val="00C2286A"/>
    <w:rsid w:val="00C22FEB"/>
    <w:rsid w:val="00C23B5E"/>
    <w:rsid w:val="00C24556"/>
    <w:rsid w:val="00C24F69"/>
    <w:rsid w:val="00C24FC5"/>
    <w:rsid w:val="00C26148"/>
    <w:rsid w:val="00C26A84"/>
    <w:rsid w:val="00C30018"/>
    <w:rsid w:val="00C31BB7"/>
    <w:rsid w:val="00C31E46"/>
    <w:rsid w:val="00C32401"/>
    <w:rsid w:val="00C33C47"/>
    <w:rsid w:val="00C33F84"/>
    <w:rsid w:val="00C358A0"/>
    <w:rsid w:val="00C35FCF"/>
    <w:rsid w:val="00C3605F"/>
    <w:rsid w:val="00C3753D"/>
    <w:rsid w:val="00C37A85"/>
    <w:rsid w:val="00C403C2"/>
    <w:rsid w:val="00C4174B"/>
    <w:rsid w:val="00C4474F"/>
    <w:rsid w:val="00C4529E"/>
    <w:rsid w:val="00C45A21"/>
    <w:rsid w:val="00C46CD8"/>
    <w:rsid w:val="00C47397"/>
    <w:rsid w:val="00C473B1"/>
    <w:rsid w:val="00C47728"/>
    <w:rsid w:val="00C50ABE"/>
    <w:rsid w:val="00C50E55"/>
    <w:rsid w:val="00C5271B"/>
    <w:rsid w:val="00C52944"/>
    <w:rsid w:val="00C52B7B"/>
    <w:rsid w:val="00C5538A"/>
    <w:rsid w:val="00C554B5"/>
    <w:rsid w:val="00C55CE5"/>
    <w:rsid w:val="00C56987"/>
    <w:rsid w:val="00C577B8"/>
    <w:rsid w:val="00C630FB"/>
    <w:rsid w:val="00C644CB"/>
    <w:rsid w:val="00C64C42"/>
    <w:rsid w:val="00C64D90"/>
    <w:rsid w:val="00C65314"/>
    <w:rsid w:val="00C66BE4"/>
    <w:rsid w:val="00C67129"/>
    <w:rsid w:val="00C67221"/>
    <w:rsid w:val="00C70D80"/>
    <w:rsid w:val="00C71314"/>
    <w:rsid w:val="00C7147D"/>
    <w:rsid w:val="00C7290D"/>
    <w:rsid w:val="00C72B94"/>
    <w:rsid w:val="00C72C2B"/>
    <w:rsid w:val="00C733DC"/>
    <w:rsid w:val="00C73E72"/>
    <w:rsid w:val="00C743FC"/>
    <w:rsid w:val="00C74B02"/>
    <w:rsid w:val="00C7530D"/>
    <w:rsid w:val="00C763FF"/>
    <w:rsid w:val="00C76A3B"/>
    <w:rsid w:val="00C77AB4"/>
    <w:rsid w:val="00C81457"/>
    <w:rsid w:val="00C837AB"/>
    <w:rsid w:val="00C84926"/>
    <w:rsid w:val="00C8544A"/>
    <w:rsid w:val="00C870CA"/>
    <w:rsid w:val="00C90E92"/>
    <w:rsid w:val="00C92043"/>
    <w:rsid w:val="00C92FB9"/>
    <w:rsid w:val="00C936B9"/>
    <w:rsid w:val="00C95124"/>
    <w:rsid w:val="00C95BFA"/>
    <w:rsid w:val="00C970F5"/>
    <w:rsid w:val="00C97864"/>
    <w:rsid w:val="00C97986"/>
    <w:rsid w:val="00C97C27"/>
    <w:rsid w:val="00C97EB9"/>
    <w:rsid w:val="00CA032C"/>
    <w:rsid w:val="00CA16B2"/>
    <w:rsid w:val="00CA2105"/>
    <w:rsid w:val="00CA2C37"/>
    <w:rsid w:val="00CA415E"/>
    <w:rsid w:val="00CA5E19"/>
    <w:rsid w:val="00CA7244"/>
    <w:rsid w:val="00CA7FAC"/>
    <w:rsid w:val="00CB153F"/>
    <w:rsid w:val="00CB16C5"/>
    <w:rsid w:val="00CB2B9F"/>
    <w:rsid w:val="00CB303E"/>
    <w:rsid w:val="00CB3341"/>
    <w:rsid w:val="00CB352F"/>
    <w:rsid w:val="00CB46C1"/>
    <w:rsid w:val="00CB4A64"/>
    <w:rsid w:val="00CB5B97"/>
    <w:rsid w:val="00CB5D71"/>
    <w:rsid w:val="00CB7D21"/>
    <w:rsid w:val="00CC06CF"/>
    <w:rsid w:val="00CC08CC"/>
    <w:rsid w:val="00CC2587"/>
    <w:rsid w:val="00CC27B5"/>
    <w:rsid w:val="00CC2B8F"/>
    <w:rsid w:val="00CC3095"/>
    <w:rsid w:val="00CC33E9"/>
    <w:rsid w:val="00CC3449"/>
    <w:rsid w:val="00CC4F84"/>
    <w:rsid w:val="00CC7052"/>
    <w:rsid w:val="00CC74DA"/>
    <w:rsid w:val="00CD0310"/>
    <w:rsid w:val="00CD1177"/>
    <w:rsid w:val="00CD1433"/>
    <w:rsid w:val="00CD1FF8"/>
    <w:rsid w:val="00CD27BA"/>
    <w:rsid w:val="00CD427A"/>
    <w:rsid w:val="00CD46BE"/>
    <w:rsid w:val="00CD52EC"/>
    <w:rsid w:val="00CD5A1B"/>
    <w:rsid w:val="00CD5F1F"/>
    <w:rsid w:val="00CD6218"/>
    <w:rsid w:val="00CD707D"/>
    <w:rsid w:val="00CE07E4"/>
    <w:rsid w:val="00CE1F4B"/>
    <w:rsid w:val="00CE210A"/>
    <w:rsid w:val="00CE2BFA"/>
    <w:rsid w:val="00CE313E"/>
    <w:rsid w:val="00CE3603"/>
    <w:rsid w:val="00CE39D1"/>
    <w:rsid w:val="00CE4710"/>
    <w:rsid w:val="00CE48A6"/>
    <w:rsid w:val="00CE4D6A"/>
    <w:rsid w:val="00CE4F92"/>
    <w:rsid w:val="00CE567C"/>
    <w:rsid w:val="00CE603B"/>
    <w:rsid w:val="00CF0C5D"/>
    <w:rsid w:val="00CF1516"/>
    <w:rsid w:val="00CF243B"/>
    <w:rsid w:val="00CF24B7"/>
    <w:rsid w:val="00CF2CA6"/>
    <w:rsid w:val="00CF2F6D"/>
    <w:rsid w:val="00CF354D"/>
    <w:rsid w:val="00CF3C7D"/>
    <w:rsid w:val="00CF418A"/>
    <w:rsid w:val="00CF52DB"/>
    <w:rsid w:val="00CF5AB2"/>
    <w:rsid w:val="00CF648E"/>
    <w:rsid w:val="00CF68DE"/>
    <w:rsid w:val="00CF6ED2"/>
    <w:rsid w:val="00CF7EF4"/>
    <w:rsid w:val="00D01B35"/>
    <w:rsid w:val="00D027C4"/>
    <w:rsid w:val="00D0328E"/>
    <w:rsid w:val="00D037AC"/>
    <w:rsid w:val="00D03E8D"/>
    <w:rsid w:val="00D052A8"/>
    <w:rsid w:val="00D0679E"/>
    <w:rsid w:val="00D078D8"/>
    <w:rsid w:val="00D078EA"/>
    <w:rsid w:val="00D13009"/>
    <w:rsid w:val="00D134A1"/>
    <w:rsid w:val="00D14160"/>
    <w:rsid w:val="00D1466E"/>
    <w:rsid w:val="00D14C70"/>
    <w:rsid w:val="00D14F15"/>
    <w:rsid w:val="00D15A43"/>
    <w:rsid w:val="00D164B3"/>
    <w:rsid w:val="00D179BD"/>
    <w:rsid w:val="00D17E2D"/>
    <w:rsid w:val="00D2137D"/>
    <w:rsid w:val="00D21666"/>
    <w:rsid w:val="00D2180B"/>
    <w:rsid w:val="00D219E5"/>
    <w:rsid w:val="00D235EF"/>
    <w:rsid w:val="00D23D78"/>
    <w:rsid w:val="00D23F78"/>
    <w:rsid w:val="00D25B69"/>
    <w:rsid w:val="00D30977"/>
    <w:rsid w:val="00D30E47"/>
    <w:rsid w:val="00D31080"/>
    <w:rsid w:val="00D311F1"/>
    <w:rsid w:val="00D317FE"/>
    <w:rsid w:val="00D31987"/>
    <w:rsid w:val="00D3240C"/>
    <w:rsid w:val="00D337A7"/>
    <w:rsid w:val="00D34B24"/>
    <w:rsid w:val="00D34CCF"/>
    <w:rsid w:val="00D35815"/>
    <w:rsid w:val="00D35DBC"/>
    <w:rsid w:val="00D37155"/>
    <w:rsid w:val="00D37C30"/>
    <w:rsid w:val="00D4158F"/>
    <w:rsid w:val="00D419F3"/>
    <w:rsid w:val="00D42895"/>
    <w:rsid w:val="00D4307D"/>
    <w:rsid w:val="00D43D5C"/>
    <w:rsid w:val="00D43E1A"/>
    <w:rsid w:val="00D446DB"/>
    <w:rsid w:val="00D45B87"/>
    <w:rsid w:val="00D469D1"/>
    <w:rsid w:val="00D46B89"/>
    <w:rsid w:val="00D47208"/>
    <w:rsid w:val="00D47C92"/>
    <w:rsid w:val="00D5085B"/>
    <w:rsid w:val="00D51A39"/>
    <w:rsid w:val="00D51E35"/>
    <w:rsid w:val="00D5448C"/>
    <w:rsid w:val="00D545F2"/>
    <w:rsid w:val="00D569C5"/>
    <w:rsid w:val="00D572E7"/>
    <w:rsid w:val="00D579AF"/>
    <w:rsid w:val="00D62488"/>
    <w:rsid w:val="00D62B08"/>
    <w:rsid w:val="00D62B59"/>
    <w:rsid w:val="00D64356"/>
    <w:rsid w:val="00D649FC"/>
    <w:rsid w:val="00D66572"/>
    <w:rsid w:val="00D67E4D"/>
    <w:rsid w:val="00D70696"/>
    <w:rsid w:val="00D72765"/>
    <w:rsid w:val="00D72CE3"/>
    <w:rsid w:val="00D735F0"/>
    <w:rsid w:val="00D73851"/>
    <w:rsid w:val="00D73D31"/>
    <w:rsid w:val="00D744A0"/>
    <w:rsid w:val="00D748B0"/>
    <w:rsid w:val="00D753CD"/>
    <w:rsid w:val="00D76BC3"/>
    <w:rsid w:val="00D80626"/>
    <w:rsid w:val="00D81BBF"/>
    <w:rsid w:val="00D81EF3"/>
    <w:rsid w:val="00D83310"/>
    <w:rsid w:val="00D8349F"/>
    <w:rsid w:val="00D838B3"/>
    <w:rsid w:val="00D83C56"/>
    <w:rsid w:val="00D83E8B"/>
    <w:rsid w:val="00D84EFE"/>
    <w:rsid w:val="00D85669"/>
    <w:rsid w:val="00D86539"/>
    <w:rsid w:val="00D868AC"/>
    <w:rsid w:val="00D87A1B"/>
    <w:rsid w:val="00D90812"/>
    <w:rsid w:val="00D90C07"/>
    <w:rsid w:val="00D90EF5"/>
    <w:rsid w:val="00D9149A"/>
    <w:rsid w:val="00D92745"/>
    <w:rsid w:val="00D94631"/>
    <w:rsid w:val="00D97B30"/>
    <w:rsid w:val="00D97E1E"/>
    <w:rsid w:val="00DA0FDF"/>
    <w:rsid w:val="00DA11EA"/>
    <w:rsid w:val="00DA1984"/>
    <w:rsid w:val="00DA2607"/>
    <w:rsid w:val="00DA3458"/>
    <w:rsid w:val="00DA34B1"/>
    <w:rsid w:val="00DA3E0A"/>
    <w:rsid w:val="00DA4251"/>
    <w:rsid w:val="00DA4554"/>
    <w:rsid w:val="00DA472F"/>
    <w:rsid w:val="00DA4FCA"/>
    <w:rsid w:val="00DA6A50"/>
    <w:rsid w:val="00DA6BB9"/>
    <w:rsid w:val="00DA7157"/>
    <w:rsid w:val="00DB23E3"/>
    <w:rsid w:val="00DB29AE"/>
    <w:rsid w:val="00DB381F"/>
    <w:rsid w:val="00DB3B6F"/>
    <w:rsid w:val="00DB5D12"/>
    <w:rsid w:val="00DB5F93"/>
    <w:rsid w:val="00DB6AAC"/>
    <w:rsid w:val="00DC1BAE"/>
    <w:rsid w:val="00DC22A5"/>
    <w:rsid w:val="00DC35EF"/>
    <w:rsid w:val="00DC5924"/>
    <w:rsid w:val="00DC59B6"/>
    <w:rsid w:val="00DC67D1"/>
    <w:rsid w:val="00DD068E"/>
    <w:rsid w:val="00DD1153"/>
    <w:rsid w:val="00DD3F0E"/>
    <w:rsid w:val="00DD4ADB"/>
    <w:rsid w:val="00DD51E9"/>
    <w:rsid w:val="00DD54C3"/>
    <w:rsid w:val="00DD5BBF"/>
    <w:rsid w:val="00DD6A91"/>
    <w:rsid w:val="00DD7632"/>
    <w:rsid w:val="00DD7D7B"/>
    <w:rsid w:val="00DD7FD3"/>
    <w:rsid w:val="00DE088F"/>
    <w:rsid w:val="00DE1F5B"/>
    <w:rsid w:val="00DE214A"/>
    <w:rsid w:val="00DE2923"/>
    <w:rsid w:val="00DE2F2E"/>
    <w:rsid w:val="00DE39EC"/>
    <w:rsid w:val="00DE49EC"/>
    <w:rsid w:val="00DE5886"/>
    <w:rsid w:val="00DE65B4"/>
    <w:rsid w:val="00DE7187"/>
    <w:rsid w:val="00DE7922"/>
    <w:rsid w:val="00DE7E92"/>
    <w:rsid w:val="00DF12DD"/>
    <w:rsid w:val="00DF1789"/>
    <w:rsid w:val="00DF202B"/>
    <w:rsid w:val="00DF2129"/>
    <w:rsid w:val="00DF28A0"/>
    <w:rsid w:val="00DF2A80"/>
    <w:rsid w:val="00DF31E4"/>
    <w:rsid w:val="00DF3FDF"/>
    <w:rsid w:val="00DF4439"/>
    <w:rsid w:val="00DF4A99"/>
    <w:rsid w:val="00DF72E2"/>
    <w:rsid w:val="00DF75D3"/>
    <w:rsid w:val="00E0021D"/>
    <w:rsid w:val="00E0196C"/>
    <w:rsid w:val="00E01A0A"/>
    <w:rsid w:val="00E033B9"/>
    <w:rsid w:val="00E0341A"/>
    <w:rsid w:val="00E04276"/>
    <w:rsid w:val="00E056D0"/>
    <w:rsid w:val="00E06463"/>
    <w:rsid w:val="00E11FED"/>
    <w:rsid w:val="00E13464"/>
    <w:rsid w:val="00E13C34"/>
    <w:rsid w:val="00E142A9"/>
    <w:rsid w:val="00E144BA"/>
    <w:rsid w:val="00E1478B"/>
    <w:rsid w:val="00E15574"/>
    <w:rsid w:val="00E1589D"/>
    <w:rsid w:val="00E16193"/>
    <w:rsid w:val="00E174FA"/>
    <w:rsid w:val="00E176CA"/>
    <w:rsid w:val="00E17866"/>
    <w:rsid w:val="00E20207"/>
    <w:rsid w:val="00E21410"/>
    <w:rsid w:val="00E21A58"/>
    <w:rsid w:val="00E234F0"/>
    <w:rsid w:val="00E2373F"/>
    <w:rsid w:val="00E23FAA"/>
    <w:rsid w:val="00E30EAB"/>
    <w:rsid w:val="00E32276"/>
    <w:rsid w:val="00E32C03"/>
    <w:rsid w:val="00E34195"/>
    <w:rsid w:val="00E35999"/>
    <w:rsid w:val="00E368ED"/>
    <w:rsid w:val="00E37E72"/>
    <w:rsid w:val="00E40302"/>
    <w:rsid w:val="00E408F6"/>
    <w:rsid w:val="00E40DB0"/>
    <w:rsid w:val="00E40FCC"/>
    <w:rsid w:val="00E41832"/>
    <w:rsid w:val="00E423FD"/>
    <w:rsid w:val="00E4355F"/>
    <w:rsid w:val="00E43EA7"/>
    <w:rsid w:val="00E4567A"/>
    <w:rsid w:val="00E4671A"/>
    <w:rsid w:val="00E474B4"/>
    <w:rsid w:val="00E47B3F"/>
    <w:rsid w:val="00E516FF"/>
    <w:rsid w:val="00E519A4"/>
    <w:rsid w:val="00E51F2A"/>
    <w:rsid w:val="00E52109"/>
    <w:rsid w:val="00E52C3E"/>
    <w:rsid w:val="00E52DCA"/>
    <w:rsid w:val="00E52FDA"/>
    <w:rsid w:val="00E53C71"/>
    <w:rsid w:val="00E53DB4"/>
    <w:rsid w:val="00E53F70"/>
    <w:rsid w:val="00E55050"/>
    <w:rsid w:val="00E551E0"/>
    <w:rsid w:val="00E5598A"/>
    <w:rsid w:val="00E56DD6"/>
    <w:rsid w:val="00E57180"/>
    <w:rsid w:val="00E572FF"/>
    <w:rsid w:val="00E5771A"/>
    <w:rsid w:val="00E57D41"/>
    <w:rsid w:val="00E60CB4"/>
    <w:rsid w:val="00E629B1"/>
    <w:rsid w:val="00E63449"/>
    <w:rsid w:val="00E642E4"/>
    <w:rsid w:val="00E64B5B"/>
    <w:rsid w:val="00E65BFE"/>
    <w:rsid w:val="00E65DF4"/>
    <w:rsid w:val="00E6684F"/>
    <w:rsid w:val="00E67579"/>
    <w:rsid w:val="00E676AC"/>
    <w:rsid w:val="00E67CA7"/>
    <w:rsid w:val="00E712C5"/>
    <w:rsid w:val="00E720F4"/>
    <w:rsid w:val="00E72489"/>
    <w:rsid w:val="00E72F31"/>
    <w:rsid w:val="00E748F5"/>
    <w:rsid w:val="00E74D12"/>
    <w:rsid w:val="00E75C62"/>
    <w:rsid w:val="00E774A5"/>
    <w:rsid w:val="00E80305"/>
    <w:rsid w:val="00E80704"/>
    <w:rsid w:val="00E80991"/>
    <w:rsid w:val="00E80FAC"/>
    <w:rsid w:val="00E81522"/>
    <w:rsid w:val="00E82CB4"/>
    <w:rsid w:val="00E83178"/>
    <w:rsid w:val="00E831A2"/>
    <w:rsid w:val="00E83209"/>
    <w:rsid w:val="00E835F0"/>
    <w:rsid w:val="00E84FFE"/>
    <w:rsid w:val="00E85276"/>
    <w:rsid w:val="00E85434"/>
    <w:rsid w:val="00E86852"/>
    <w:rsid w:val="00E87537"/>
    <w:rsid w:val="00E904EF"/>
    <w:rsid w:val="00E9066B"/>
    <w:rsid w:val="00E9068C"/>
    <w:rsid w:val="00E90A76"/>
    <w:rsid w:val="00E9100A"/>
    <w:rsid w:val="00E921DB"/>
    <w:rsid w:val="00E923F1"/>
    <w:rsid w:val="00E927EE"/>
    <w:rsid w:val="00E92DCD"/>
    <w:rsid w:val="00E92FA5"/>
    <w:rsid w:val="00E93283"/>
    <w:rsid w:val="00E93444"/>
    <w:rsid w:val="00E957AF"/>
    <w:rsid w:val="00E95A2B"/>
    <w:rsid w:val="00E96099"/>
    <w:rsid w:val="00E96C58"/>
    <w:rsid w:val="00EA03B4"/>
    <w:rsid w:val="00EA0598"/>
    <w:rsid w:val="00EA098E"/>
    <w:rsid w:val="00EA1E5F"/>
    <w:rsid w:val="00EA1F9B"/>
    <w:rsid w:val="00EA1FCB"/>
    <w:rsid w:val="00EA2A38"/>
    <w:rsid w:val="00EA2AEB"/>
    <w:rsid w:val="00EA2E0A"/>
    <w:rsid w:val="00EA3232"/>
    <w:rsid w:val="00EA3A55"/>
    <w:rsid w:val="00EA48EC"/>
    <w:rsid w:val="00EA7539"/>
    <w:rsid w:val="00EA794A"/>
    <w:rsid w:val="00EB120E"/>
    <w:rsid w:val="00EB17D4"/>
    <w:rsid w:val="00EB2A34"/>
    <w:rsid w:val="00EB334D"/>
    <w:rsid w:val="00EB3BB0"/>
    <w:rsid w:val="00EB3E96"/>
    <w:rsid w:val="00EB45E6"/>
    <w:rsid w:val="00EB4B47"/>
    <w:rsid w:val="00EB5B34"/>
    <w:rsid w:val="00EC0633"/>
    <w:rsid w:val="00EC078F"/>
    <w:rsid w:val="00EC11C2"/>
    <w:rsid w:val="00EC2A80"/>
    <w:rsid w:val="00EC317F"/>
    <w:rsid w:val="00EC31BA"/>
    <w:rsid w:val="00EC4D5E"/>
    <w:rsid w:val="00EC532A"/>
    <w:rsid w:val="00EC5796"/>
    <w:rsid w:val="00EC57AB"/>
    <w:rsid w:val="00EC6CAA"/>
    <w:rsid w:val="00EC78C4"/>
    <w:rsid w:val="00ED046E"/>
    <w:rsid w:val="00ED23E5"/>
    <w:rsid w:val="00ED2560"/>
    <w:rsid w:val="00ED2AC5"/>
    <w:rsid w:val="00ED2ADB"/>
    <w:rsid w:val="00ED37B7"/>
    <w:rsid w:val="00ED3FA7"/>
    <w:rsid w:val="00ED40F5"/>
    <w:rsid w:val="00ED4D2D"/>
    <w:rsid w:val="00ED55B3"/>
    <w:rsid w:val="00ED589E"/>
    <w:rsid w:val="00ED6E93"/>
    <w:rsid w:val="00ED7529"/>
    <w:rsid w:val="00ED773F"/>
    <w:rsid w:val="00EE162C"/>
    <w:rsid w:val="00EE185C"/>
    <w:rsid w:val="00EE1AA7"/>
    <w:rsid w:val="00EE2BE3"/>
    <w:rsid w:val="00EE35F0"/>
    <w:rsid w:val="00EE39CA"/>
    <w:rsid w:val="00EE3EBD"/>
    <w:rsid w:val="00EE41F6"/>
    <w:rsid w:val="00EE45DE"/>
    <w:rsid w:val="00EE49FF"/>
    <w:rsid w:val="00EE5524"/>
    <w:rsid w:val="00EE5767"/>
    <w:rsid w:val="00EE5B1F"/>
    <w:rsid w:val="00EE6301"/>
    <w:rsid w:val="00EE7A94"/>
    <w:rsid w:val="00EF0A87"/>
    <w:rsid w:val="00EF1551"/>
    <w:rsid w:val="00EF1559"/>
    <w:rsid w:val="00EF22C4"/>
    <w:rsid w:val="00EF4068"/>
    <w:rsid w:val="00EF4AC5"/>
    <w:rsid w:val="00EF4B44"/>
    <w:rsid w:val="00EF4CAB"/>
    <w:rsid w:val="00EF553C"/>
    <w:rsid w:val="00EF5B44"/>
    <w:rsid w:val="00EF6821"/>
    <w:rsid w:val="00EF6E09"/>
    <w:rsid w:val="00EF7E4E"/>
    <w:rsid w:val="00F00F22"/>
    <w:rsid w:val="00F01631"/>
    <w:rsid w:val="00F030E1"/>
    <w:rsid w:val="00F03A4E"/>
    <w:rsid w:val="00F04922"/>
    <w:rsid w:val="00F050EE"/>
    <w:rsid w:val="00F053BB"/>
    <w:rsid w:val="00F05B8E"/>
    <w:rsid w:val="00F070C1"/>
    <w:rsid w:val="00F104B7"/>
    <w:rsid w:val="00F10CF9"/>
    <w:rsid w:val="00F1189A"/>
    <w:rsid w:val="00F11A51"/>
    <w:rsid w:val="00F12D3E"/>
    <w:rsid w:val="00F13580"/>
    <w:rsid w:val="00F140B2"/>
    <w:rsid w:val="00F14772"/>
    <w:rsid w:val="00F14B32"/>
    <w:rsid w:val="00F14ED3"/>
    <w:rsid w:val="00F1595E"/>
    <w:rsid w:val="00F17577"/>
    <w:rsid w:val="00F176E5"/>
    <w:rsid w:val="00F20062"/>
    <w:rsid w:val="00F208A9"/>
    <w:rsid w:val="00F20B33"/>
    <w:rsid w:val="00F2156F"/>
    <w:rsid w:val="00F221BE"/>
    <w:rsid w:val="00F22384"/>
    <w:rsid w:val="00F22886"/>
    <w:rsid w:val="00F24B16"/>
    <w:rsid w:val="00F24BAA"/>
    <w:rsid w:val="00F24D13"/>
    <w:rsid w:val="00F25112"/>
    <w:rsid w:val="00F26CC7"/>
    <w:rsid w:val="00F27A70"/>
    <w:rsid w:val="00F30D92"/>
    <w:rsid w:val="00F324BF"/>
    <w:rsid w:val="00F32509"/>
    <w:rsid w:val="00F33697"/>
    <w:rsid w:val="00F340DF"/>
    <w:rsid w:val="00F343E0"/>
    <w:rsid w:val="00F34CCA"/>
    <w:rsid w:val="00F35578"/>
    <w:rsid w:val="00F356BE"/>
    <w:rsid w:val="00F36133"/>
    <w:rsid w:val="00F36DE5"/>
    <w:rsid w:val="00F408C2"/>
    <w:rsid w:val="00F40ED8"/>
    <w:rsid w:val="00F421A8"/>
    <w:rsid w:val="00F43283"/>
    <w:rsid w:val="00F43E7E"/>
    <w:rsid w:val="00F44CFC"/>
    <w:rsid w:val="00F452DF"/>
    <w:rsid w:val="00F4561F"/>
    <w:rsid w:val="00F469B2"/>
    <w:rsid w:val="00F47D76"/>
    <w:rsid w:val="00F47E1E"/>
    <w:rsid w:val="00F50DB0"/>
    <w:rsid w:val="00F51176"/>
    <w:rsid w:val="00F514E3"/>
    <w:rsid w:val="00F5181E"/>
    <w:rsid w:val="00F5184A"/>
    <w:rsid w:val="00F52EDE"/>
    <w:rsid w:val="00F5542B"/>
    <w:rsid w:val="00F55DFA"/>
    <w:rsid w:val="00F56ABB"/>
    <w:rsid w:val="00F600C9"/>
    <w:rsid w:val="00F60D49"/>
    <w:rsid w:val="00F61E92"/>
    <w:rsid w:val="00F61EB8"/>
    <w:rsid w:val="00F627CB"/>
    <w:rsid w:val="00F62D06"/>
    <w:rsid w:val="00F63477"/>
    <w:rsid w:val="00F64CED"/>
    <w:rsid w:val="00F65C5F"/>
    <w:rsid w:val="00F66949"/>
    <w:rsid w:val="00F66DC3"/>
    <w:rsid w:val="00F66FE5"/>
    <w:rsid w:val="00F67A66"/>
    <w:rsid w:val="00F67DC0"/>
    <w:rsid w:val="00F70D5F"/>
    <w:rsid w:val="00F744EB"/>
    <w:rsid w:val="00F74880"/>
    <w:rsid w:val="00F74C3B"/>
    <w:rsid w:val="00F74C85"/>
    <w:rsid w:val="00F74E8E"/>
    <w:rsid w:val="00F76809"/>
    <w:rsid w:val="00F769AF"/>
    <w:rsid w:val="00F819A2"/>
    <w:rsid w:val="00F8346A"/>
    <w:rsid w:val="00F83999"/>
    <w:rsid w:val="00F84491"/>
    <w:rsid w:val="00F8577D"/>
    <w:rsid w:val="00F861B1"/>
    <w:rsid w:val="00F86733"/>
    <w:rsid w:val="00F8794B"/>
    <w:rsid w:val="00F901C6"/>
    <w:rsid w:val="00F90791"/>
    <w:rsid w:val="00F91C75"/>
    <w:rsid w:val="00F92661"/>
    <w:rsid w:val="00F93111"/>
    <w:rsid w:val="00F94848"/>
    <w:rsid w:val="00F94B1E"/>
    <w:rsid w:val="00F958E7"/>
    <w:rsid w:val="00F95BCF"/>
    <w:rsid w:val="00F95CC6"/>
    <w:rsid w:val="00F95F77"/>
    <w:rsid w:val="00FA0DEB"/>
    <w:rsid w:val="00FA4524"/>
    <w:rsid w:val="00FA471C"/>
    <w:rsid w:val="00FA6763"/>
    <w:rsid w:val="00FA6D20"/>
    <w:rsid w:val="00FA7FDB"/>
    <w:rsid w:val="00FB131A"/>
    <w:rsid w:val="00FB1320"/>
    <w:rsid w:val="00FB3F27"/>
    <w:rsid w:val="00FB4285"/>
    <w:rsid w:val="00FB5344"/>
    <w:rsid w:val="00FB69F8"/>
    <w:rsid w:val="00FB6C26"/>
    <w:rsid w:val="00FB7EA7"/>
    <w:rsid w:val="00FC0450"/>
    <w:rsid w:val="00FC0B65"/>
    <w:rsid w:val="00FC107F"/>
    <w:rsid w:val="00FC1488"/>
    <w:rsid w:val="00FC14AF"/>
    <w:rsid w:val="00FC1F3A"/>
    <w:rsid w:val="00FC22D5"/>
    <w:rsid w:val="00FC28D8"/>
    <w:rsid w:val="00FC2D60"/>
    <w:rsid w:val="00FC3F54"/>
    <w:rsid w:val="00FC4C54"/>
    <w:rsid w:val="00FC5769"/>
    <w:rsid w:val="00FC6760"/>
    <w:rsid w:val="00FD0300"/>
    <w:rsid w:val="00FD0E3D"/>
    <w:rsid w:val="00FD13AC"/>
    <w:rsid w:val="00FD177F"/>
    <w:rsid w:val="00FD1D40"/>
    <w:rsid w:val="00FD22CC"/>
    <w:rsid w:val="00FD2AF0"/>
    <w:rsid w:val="00FD3766"/>
    <w:rsid w:val="00FD43E2"/>
    <w:rsid w:val="00FD4B6F"/>
    <w:rsid w:val="00FD5ADC"/>
    <w:rsid w:val="00FD637F"/>
    <w:rsid w:val="00FD6E4A"/>
    <w:rsid w:val="00FD6EC9"/>
    <w:rsid w:val="00FD70FE"/>
    <w:rsid w:val="00FE1BEF"/>
    <w:rsid w:val="00FE1BFE"/>
    <w:rsid w:val="00FE1F9E"/>
    <w:rsid w:val="00FE2558"/>
    <w:rsid w:val="00FE2F33"/>
    <w:rsid w:val="00FE2FF7"/>
    <w:rsid w:val="00FE334C"/>
    <w:rsid w:val="00FE3704"/>
    <w:rsid w:val="00FE4F1F"/>
    <w:rsid w:val="00FE5237"/>
    <w:rsid w:val="00FE6DE1"/>
    <w:rsid w:val="00FF0703"/>
    <w:rsid w:val="00FF152A"/>
    <w:rsid w:val="00FF17DD"/>
    <w:rsid w:val="00FF30EA"/>
    <w:rsid w:val="00FF3B34"/>
    <w:rsid w:val="00FF3CA3"/>
    <w:rsid w:val="00FF3D38"/>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5233"/>
    <o:shapelayout v:ext="edit">
      <o:idmap v:ext="edit" data="1"/>
    </o:shapelayout>
  </w:shapeDefaults>
  <w:decimalSymbol w:val=","/>
  <w:listSeparator w:val=";"/>
  <w14:docId w14:val="281CA28B"/>
  <w15:docId w15:val="{89848A53-170C-4F7F-90DB-22789BA5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91C75"/>
    <w:pPr>
      <w:keepNext/>
      <w:numPr>
        <w:ilvl w:val="4"/>
        <w:numId w:val="49"/>
      </w:numPr>
      <w:outlineLvl w:val="4"/>
    </w:pPr>
    <w:rPr>
      <w:rFonts w:eastAsiaTheme="majorEastAsia"/>
    </w:rPr>
  </w:style>
  <w:style w:type="paragraph" w:styleId="Heading6">
    <w:name w:val="heading 6"/>
    <w:basedOn w:val="Normal"/>
    <w:next w:val="Text2"/>
    <w:link w:val="Heading6Char"/>
    <w:uiPriority w:val="9"/>
    <w:semiHidden/>
    <w:unhideWhenUsed/>
    <w:qFormat/>
    <w:rsid w:val="00F91C75"/>
    <w:pPr>
      <w:keepNext/>
      <w:numPr>
        <w:ilvl w:val="5"/>
        <w:numId w:val="49"/>
      </w:numPr>
      <w:outlineLvl w:val="5"/>
    </w:pPr>
    <w:rPr>
      <w:rFonts w:eastAsiaTheme="majorEastAsia"/>
      <w:iCs/>
    </w:rPr>
  </w:style>
  <w:style w:type="paragraph" w:styleId="Heading7">
    <w:name w:val="heading 7"/>
    <w:basedOn w:val="Normal"/>
    <w:next w:val="Text2"/>
    <w:link w:val="Heading7Char"/>
    <w:uiPriority w:val="9"/>
    <w:semiHidden/>
    <w:unhideWhenUsed/>
    <w:qFormat/>
    <w:rsid w:val="00F91C75"/>
    <w:pPr>
      <w:keepNext/>
      <w:numPr>
        <w:ilvl w:val="6"/>
        <w:numId w:val="4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94A8F"/>
    <w:pPr>
      <w:numPr>
        <w:numId w:val="1"/>
      </w:numPr>
    </w:pPr>
    <w:rPr>
      <w:rFonts w:eastAsia="Times New Roman"/>
      <w:lang w:eastAsia="en-GB"/>
    </w:rPr>
  </w:style>
  <w:style w:type="paragraph" w:styleId="ListNumber4">
    <w:name w:val="List Number 4"/>
    <w:basedOn w:val="Normal"/>
    <w:rsid w:val="00394A8F"/>
    <w:pPr>
      <w:numPr>
        <w:numId w:val="2"/>
      </w:numPr>
    </w:pPr>
    <w:rPr>
      <w:rFonts w:eastAsia="Times New Roman"/>
      <w:lang w:eastAsia="en-GB"/>
    </w:rPr>
  </w:style>
  <w:style w:type="character" w:styleId="Hyperlink">
    <w:name w:val="Hyperlink"/>
    <w:uiPriority w:val="99"/>
    <w:rsid w:val="00394A8F"/>
    <w:rPr>
      <w:color w:val="0000FF"/>
      <w:u w:val="single"/>
      <w:shd w:val="clear" w:color="auto" w:fill="auto"/>
    </w:rPr>
  </w:style>
  <w:style w:type="paragraph" w:styleId="ListBullet">
    <w:name w:val="List Bullet"/>
    <w:basedOn w:val="Normal"/>
    <w:uiPriority w:val="99"/>
    <w:semiHidden/>
    <w:unhideWhenUsed/>
    <w:rsid w:val="00BB09EA"/>
    <w:pPr>
      <w:numPr>
        <w:numId w:val="3"/>
      </w:numPr>
      <w:contextualSpacing/>
    </w:pPr>
  </w:style>
  <w:style w:type="paragraph" w:styleId="ListBullet2">
    <w:name w:val="List Bullet 2"/>
    <w:basedOn w:val="Normal"/>
    <w:uiPriority w:val="99"/>
    <w:semiHidden/>
    <w:unhideWhenUsed/>
    <w:rsid w:val="00BB09EA"/>
    <w:pPr>
      <w:numPr>
        <w:numId w:val="4"/>
      </w:numPr>
      <w:contextualSpacing/>
    </w:pPr>
  </w:style>
  <w:style w:type="paragraph" w:styleId="ListBullet3">
    <w:name w:val="List Bullet 3"/>
    <w:basedOn w:val="Normal"/>
    <w:uiPriority w:val="99"/>
    <w:semiHidden/>
    <w:unhideWhenUsed/>
    <w:rsid w:val="00BB09EA"/>
    <w:pPr>
      <w:numPr>
        <w:numId w:val="5"/>
      </w:numPr>
      <w:contextualSpacing/>
    </w:pPr>
  </w:style>
  <w:style w:type="paragraph" w:styleId="ListBullet4">
    <w:name w:val="List Bullet 4"/>
    <w:basedOn w:val="Normal"/>
    <w:uiPriority w:val="99"/>
    <w:semiHidden/>
    <w:unhideWhenUsed/>
    <w:rsid w:val="00BB09EA"/>
    <w:pPr>
      <w:numPr>
        <w:numId w:val="6"/>
      </w:numPr>
      <w:contextualSpacing/>
    </w:pPr>
  </w:style>
  <w:style w:type="paragraph" w:styleId="BalloonText">
    <w:name w:val="Balloon Text"/>
    <w:basedOn w:val="Normal"/>
    <w:link w:val="BalloonTextChar"/>
    <w:uiPriority w:val="99"/>
    <w:semiHidden/>
    <w:unhideWhenUsed/>
    <w:rsid w:val="00BB09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9EA"/>
    <w:rPr>
      <w:rFonts w:ascii="Segoe UI" w:hAnsi="Segoe UI" w:cs="Segoe UI"/>
      <w:sz w:val="18"/>
      <w:szCs w:val="18"/>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686EFF"/>
    <w:pPr>
      <w:ind w:left="720"/>
      <w:contextualSpacing/>
    </w:pPr>
  </w:style>
  <w:style w:type="paragraph" w:customStyle="1" w:styleId="Dash">
    <w:name w:val="Dash"/>
    <w:basedOn w:val="Normal"/>
    <w:rsid w:val="00C26148"/>
    <w:pPr>
      <w:numPr>
        <w:numId w:val="7"/>
      </w:numPr>
      <w:spacing w:line="360" w:lineRule="auto"/>
      <w:jc w:val="left"/>
    </w:pPr>
    <w:rPr>
      <w:rFonts w:eastAsia="Times New Roman"/>
      <w:szCs w:val="24"/>
    </w:rPr>
  </w:style>
  <w:style w:type="character" w:styleId="CommentReference">
    <w:name w:val="annotation reference"/>
    <w:uiPriority w:val="99"/>
    <w:semiHidden/>
    <w:unhideWhenUsed/>
    <w:rsid w:val="00CB3341"/>
    <w:rPr>
      <w:sz w:val="16"/>
      <w:szCs w:val="16"/>
    </w:rPr>
  </w:style>
  <w:style w:type="paragraph" w:styleId="CommentText">
    <w:name w:val="annotation text"/>
    <w:basedOn w:val="Normal"/>
    <w:link w:val="CommentTextChar"/>
    <w:uiPriority w:val="99"/>
    <w:unhideWhenUsed/>
    <w:rsid w:val="00CB3341"/>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B3341"/>
    <w:rPr>
      <w:sz w:val="20"/>
      <w:szCs w:val="20"/>
      <w:lang w:val="en-GB"/>
    </w:rPr>
  </w:style>
  <w:style w:type="paragraph" w:customStyle="1" w:styleId="Body">
    <w:name w:val="Body"/>
    <w:basedOn w:val="Normal"/>
    <w:link w:val="BodyChar"/>
    <w:uiPriority w:val="99"/>
    <w:qFormat/>
    <w:rsid w:val="003B32A2"/>
    <w:rPr>
      <w:rFonts w:ascii="Verdana" w:eastAsia="Times New Roman" w:hAnsi="Verdana"/>
      <w:sz w:val="20"/>
      <w:szCs w:val="20"/>
    </w:rPr>
  </w:style>
  <w:style w:type="character" w:customStyle="1" w:styleId="BodyChar">
    <w:name w:val="Body Char"/>
    <w:link w:val="Body"/>
    <w:uiPriority w:val="99"/>
    <w:rsid w:val="003B32A2"/>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70D5F"/>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70D5F"/>
    <w:rPr>
      <w:rFonts w:ascii="Times New Roman" w:hAnsi="Times New Roman" w:cs="Times New Roman"/>
      <w:b/>
      <w:bCs/>
      <w:sz w:val="20"/>
      <w:szCs w:val="20"/>
      <w:lang w:val="en-GB"/>
    </w:rPr>
  </w:style>
  <w:style w:type="paragraph" w:styleId="Revision">
    <w:name w:val="Revision"/>
    <w:hidden/>
    <w:uiPriority w:val="99"/>
    <w:semiHidden/>
    <w:rsid w:val="00F70D5F"/>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sid w:val="008C0AD8"/>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FF3CA3"/>
    <w:rPr>
      <w:rFonts w:ascii="Times New Roman" w:hAnsi="Times New Roman" w:cs="Times New Roman"/>
      <w:sz w:val="24"/>
      <w:lang w:val="en-GB"/>
    </w:rPr>
  </w:style>
  <w:style w:type="paragraph" w:customStyle="1" w:styleId="Bulletmain">
    <w:name w:val="Bullet main"/>
    <w:basedOn w:val="Normal"/>
    <w:link w:val="BulletmainChar"/>
    <w:qFormat/>
    <w:rsid w:val="00FF3CA3"/>
    <w:pPr>
      <w:spacing w:before="60" w:after="60"/>
    </w:pPr>
    <w:rPr>
      <w:rFonts w:ascii="Verdana" w:eastAsia="Times New Roman" w:hAnsi="Verdana"/>
      <w:bCs/>
      <w:sz w:val="20"/>
      <w:szCs w:val="20"/>
    </w:rPr>
  </w:style>
  <w:style w:type="character" w:customStyle="1" w:styleId="BulletmainChar">
    <w:name w:val="Bullet main Char"/>
    <w:basedOn w:val="BodyChar"/>
    <w:link w:val="Bulletmain"/>
    <w:rsid w:val="00FF3CA3"/>
    <w:rPr>
      <w:rFonts w:ascii="Verdana" w:eastAsia="Times New Roman" w:hAnsi="Verdana" w:cs="Times New Roman"/>
      <w:bCs/>
      <w:sz w:val="20"/>
      <w:szCs w:val="20"/>
      <w:lang w:val="en-GB"/>
    </w:rPr>
  </w:style>
  <w:style w:type="paragraph" w:customStyle="1" w:styleId="Default">
    <w:name w:val="Default"/>
    <w:rsid w:val="0001005B"/>
    <w:pPr>
      <w:autoSpaceDE w:val="0"/>
      <w:autoSpaceDN w:val="0"/>
      <w:adjustRightInd w:val="0"/>
      <w:spacing w:after="0" w:line="240" w:lineRule="auto"/>
    </w:pPr>
    <w:rPr>
      <w:rFonts w:ascii="EUAlbertina" w:hAnsi="EUAlbertina" w:cs="EUAlbertina"/>
      <w:color w:val="000000"/>
      <w:sz w:val="24"/>
      <w:szCs w:val="24"/>
      <w:lang w:val="fr-BE"/>
    </w:rPr>
  </w:style>
  <w:style w:type="character" w:customStyle="1" w:styleId="footnotereference">
    <w:name w:val="footnotereference"/>
    <w:basedOn w:val="DefaultParagraphFont"/>
    <w:rsid w:val="00581E20"/>
  </w:style>
  <w:style w:type="character" w:styleId="Strong">
    <w:name w:val="Strong"/>
    <w:basedOn w:val="DefaultParagraphFont"/>
    <w:uiPriority w:val="22"/>
    <w:qFormat/>
    <w:rsid w:val="00581E20"/>
    <w:rPr>
      <w:b/>
      <w:bCs/>
    </w:rPr>
  </w:style>
  <w:style w:type="paragraph" w:styleId="NormalWeb">
    <w:name w:val="Normal (Web)"/>
    <w:basedOn w:val="Normal"/>
    <w:uiPriority w:val="99"/>
    <w:unhideWhenUsed/>
    <w:rsid w:val="00ED7529"/>
    <w:pPr>
      <w:spacing w:before="100" w:beforeAutospacing="1" w:after="100" w:afterAutospacing="1"/>
      <w:jc w:val="left"/>
    </w:pPr>
    <w:rPr>
      <w:rFonts w:eastAsia="Times New Roman"/>
      <w:szCs w:val="24"/>
      <w:lang w:eastAsia="en-GB"/>
    </w:rPr>
  </w:style>
  <w:style w:type="paragraph" w:customStyle="1" w:styleId="Normal1">
    <w:name w:val="Normal1"/>
    <w:basedOn w:val="Normal"/>
    <w:rsid w:val="00781422"/>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781422"/>
  </w:style>
  <w:style w:type="paragraph" w:styleId="Caption">
    <w:name w:val="caption"/>
    <w:basedOn w:val="Normal"/>
    <w:next w:val="Normal"/>
    <w:uiPriority w:val="35"/>
    <w:semiHidden/>
    <w:unhideWhenUsed/>
    <w:qFormat/>
    <w:rsid w:val="00E6344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63449"/>
    <w:pPr>
      <w:spacing w:after="0"/>
    </w:pPr>
  </w:style>
  <w:style w:type="paragraph" w:styleId="ListNumber2">
    <w:name w:val="List Number 2"/>
    <w:basedOn w:val="Normal"/>
    <w:uiPriority w:val="99"/>
    <w:semiHidden/>
    <w:unhideWhenUsed/>
    <w:rsid w:val="00E63449"/>
    <w:pPr>
      <w:numPr>
        <w:numId w:val="8"/>
      </w:numPr>
      <w:contextualSpacing/>
    </w:pPr>
  </w:style>
  <w:style w:type="paragraph" w:styleId="ListNumber3">
    <w:name w:val="List Number 3"/>
    <w:basedOn w:val="Normal"/>
    <w:uiPriority w:val="99"/>
    <w:semiHidden/>
    <w:unhideWhenUsed/>
    <w:rsid w:val="00E63449"/>
    <w:pPr>
      <w:numPr>
        <w:numId w:val="9"/>
      </w:numPr>
      <w:contextualSpacing/>
    </w:p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Point0numbe">
    <w:name w:val="Point 0 numbe"/>
    <w:basedOn w:val="Point0"/>
    <w:rsid w:val="009557CC"/>
    <w:pPr>
      <w:ind w:left="426" w:hanging="426"/>
    </w:pPr>
  </w:style>
  <w:style w:type="paragraph" w:customStyle="1" w:styleId="Point0number0">
    <w:name w:val="Point 0 number"/>
    <w:basedOn w:val="Point0"/>
    <w:rsid w:val="009557CC"/>
    <w:pPr>
      <w:ind w:left="426" w:hanging="426"/>
    </w:pPr>
  </w:style>
  <w:style w:type="paragraph" w:customStyle="1" w:styleId="Numer">
    <w:name w:val="Numer"/>
    <w:basedOn w:val="Considrant"/>
    <w:rsid w:val="00C30018"/>
    <w:rPr>
      <w:szCs w:val="24"/>
    </w:rPr>
  </w:style>
  <w:style w:type="paragraph" w:customStyle="1" w:styleId="Number0">
    <w:name w:val="Number 0"/>
    <w:basedOn w:val="Numer"/>
    <w:rsid w:val="00C30018"/>
  </w:style>
  <w:style w:type="paragraph" w:customStyle="1" w:styleId="Explanatorymem">
    <w:name w:val="Explanatory mem"/>
    <w:basedOn w:val="Normal"/>
    <w:rsid w:val="00263CB2"/>
    <w:pPr>
      <w:tabs>
        <w:tab w:val="center" w:pos="4536"/>
      </w:tabs>
    </w:pPr>
    <w:rPr>
      <w:b/>
      <w:u w:val="single"/>
    </w:rPr>
  </w:style>
  <w:style w:type="paragraph" w:styleId="Header">
    <w:name w:val="header"/>
    <w:basedOn w:val="Normal"/>
    <w:link w:val="HeaderChar"/>
    <w:uiPriority w:val="99"/>
    <w:unhideWhenUsed/>
    <w:rsid w:val="006605B9"/>
    <w:pPr>
      <w:tabs>
        <w:tab w:val="center" w:pos="4535"/>
        <w:tab w:val="right" w:pos="9071"/>
      </w:tabs>
      <w:spacing w:before="0"/>
    </w:pPr>
  </w:style>
  <w:style w:type="character" w:customStyle="1" w:styleId="HeaderChar">
    <w:name w:val="Header Char"/>
    <w:basedOn w:val="DefaultParagraphFont"/>
    <w:link w:val="Header"/>
    <w:uiPriority w:val="99"/>
    <w:rsid w:val="006605B9"/>
    <w:rPr>
      <w:rFonts w:ascii="Times New Roman" w:hAnsi="Times New Roman" w:cs="Times New Roman"/>
      <w:sz w:val="24"/>
      <w:lang w:val="en-GB"/>
    </w:rPr>
  </w:style>
  <w:style w:type="paragraph" w:styleId="Footer">
    <w:name w:val="footer"/>
    <w:basedOn w:val="Normal"/>
    <w:link w:val="FooterChar"/>
    <w:uiPriority w:val="99"/>
    <w:unhideWhenUsed/>
    <w:rsid w:val="006605B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605B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605B9"/>
    <w:pPr>
      <w:tabs>
        <w:tab w:val="center" w:pos="7285"/>
        <w:tab w:val="right" w:pos="14003"/>
      </w:tabs>
      <w:spacing w:before="0"/>
    </w:pPr>
  </w:style>
  <w:style w:type="paragraph" w:customStyle="1" w:styleId="FooterLandscape">
    <w:name w:val="FooterLandscape"/>
    <w:basedOn w:val="Normal"/>
    <w:rsid w:val="006605B9"/>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6605B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605B9"/>
    <w:pPr>
      <w:spacing w:before="0"/>
      <w:jc w:val="right"/>
    </w:pPr>
    <w:rPr>
      <w:sz w:val="28"/>
    </w:rPr>
  </w:style>
  <w:style w:type="paragraph" w:customStyle="1" w:styleId="FooterSensitivity">
    <w:name w:val="Footer Sensitivity"/>
    <w:basedOn w:val="Normal"/>
    <w:rsid w:val="006605B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3"/>
      </w:numPr>
    </w:pPr>
  </w:style>
  <w:style w:type="paragraph" w:customStyle="1" w:styleId="Tiret1">
    <w:name w:val="Tiret 1"/>
    <w:basedOn w:val="Point1"/>
    <w:rsid w:val="009B7138"/>
    <w:pPr>
      <w:numPr>
        <w:numId w:val="34"/>
      </w:numPr>
    </w:pPr>
  </w:style>
  <w:style w:type="paragraph" w:customStyle="1" w:styleId="Tiret2">
    <w:name w:val="Tiret 2"/>
    <w:basedOn w:val="Point2"/>
    <w:rsid w:val="009B7138"/>
    <w:pPr>
      <w:numPr>
        <w:numId w:val="35"/>
      </w:numPr>
    </w:pPr>
  </w:style>
  <w:style w:type="paragraph" w:customStyle="1" w:styleId="Tiret3">
    <w:name w:val="Tiret 3"/>
    <w:basedOn w:val="Point3"/>
    <w:rsid w:val="009B7138"/>
    <w:pPr>
      <w:numPr>
        <w:numId w:val="36"/>
      </w:numPr>
    </w:pPr>
  </w:style>
  <w:style w:type="paragraph" w:customStyle="1" w:styleId="Tiret4">
    <w:name w:val="Tiret 4"/>
    <w:basedOn w:val="Point4"/>
    <w:rsid w:val="009B7138"/>
    <w:pPr>
      <w:numPr>
        <w:numId w:val="3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3"/>
      </w:numPr>
    </w:pPr>
  </w:style>
  <w:style w:type="paragraph" w:customStyle="1" w:styleId="NumPar2">
    <w:name w:val="NumPar 2"/>
    <w:basedOn w:val="Normal"/>
    <w:next w:val="Text1"/>
    <w:rsid w:val="009B7138"/>
    <w:pPr>
      <w:numPr>
        <w:ilvl w:val="1"/>
        <w:numId w:val="53"/>
      </w:numPr>
    </w:pPr>
  </w:style>
  <w:style w:type="paragraph" w:customStyle="1" w:styleId="NumPar3">
    <w:name w:val="NumPar 3"/>
    <w:basedOn w:val="Normal"/>
    <w:next w:val="Text1"/>
    <w:rsid w:val="009B7138"/>
    <w:pPr>
      <w:numPr>
        <w:ilvl w:val="2"/>
        <w:numId w:val="53"/>
      </w:numPr>
    </w:pPr>
  </w:style>
  <w:style w:type="paragraph" w:customStyle="1" w:styleId="NumPar4">
    <w:name w:val="NumPar 4"/>
    <w:basedOn w:val="Normal"/>
    <w:next w:val="Text1"/>
    <w:rsid w:val="009B7138"/>
    <w:pPr>
      <w:numPr>
        <w:ilvl w:val="3"/>
        <w:numId w:val="5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0"/>
      </w:numPr>
    </w:pPr>
  </w:style>
  <w:style w:type="paragraph" w:customStyle="1" w:styleId="Point1number">
    <w:name w:val="Point 1 (number)"/>
    <w:basedOn w:val="Normal"/>
    <w:rsid w:val="009B7138"/>
    <w:pPr>
      <w:numPr>
        <w:ilvl w:val="2"/>
        <w:numId w:val="40"/>
      </w:numPr>
    </w:pPr>
  </w:style>
  <w:style w:type="paragraph" w:customStyle="1" w:styleId="Point2number">
    <w:name w:val="Point 2 (number)"/>
    <w:basedOn w:val="Normal"/>
    <w:rsid w:val="009B7138"/>
    <w:pPr>
      <w:numPr>
        <w:ilvl w:val="4"/>
        <w:numId w:val="40"/>
      </w:numPr>
    </w:pPr>
  </w:style>
  <w:style w:type="paragraph" w:customStyle="1" w:styleId="Point3number">
    <w:name w:val="Point 3 (number)"/>
    <w:basedOn w:val="Normal"/>
    <w:rsid w:val="009B7138"/>
    <w:pPr>
      <w:numPr>
        <w:ilvl w:val="6"/>
        <w:numId w:val="40"/>
      </w:numPr>
    </w:pPr>
  </w:style>
  <w:style w:type="paragraph" w:customStyle="1" w:styleId="Point0letter">
    <w:name w:val="Point 0 (letter)"/>
    <w:basedOn w:val="Normal"/>
    <w:rsid w:val="009B7138"/>
    <w:pPr>
      <w:numPr>
        <w:ilvl w:val="1"/>
        <w:numId w:val="40"/>
      </w:numPr>
    </w:pPr>
  </w:style>
  <w:style w:type="paragraph" w:customStyle="1" w:styleId="Point1letter">
    <w:name w:val="Point 1 (letter)"/>
    <w:basedOn w:val="Normal"/>
    <w:rsid w:val="009B7138"/>
    <w:pPr>
      <w:numPr>
        <w:ilvl w:val="3"/>
        <w:numId w:val="40"/>
      </w:numPr>
    </w:pPr>
  </w:style>
  <w:style w:type="paragraph" w:customStyle="1" w:styleId="Point2letter">
    <w:name w:val="Point 2 (letter)"/>
    <w:basedOn w:val="Normal"/>
    <w:rsid w:val="009B7138"/>
    <w:pPr>
      <w:numPr>
        <w:ilvl w:val="5"/>
        <w:numId w:val="40"/>
      </w:numPr>
    </w:pPr>
  </w:style>
  <w:style w:type="paragraph" w:customStyle="1" w:styleId="Point3letter">
    <w:name w:val="Point 3 (letter)"/>
    <w:basedOn w:val="Normal"/>
    <w:rsid w:val="009B7138"/>
    <w:pPr>
      <w:numPr>
        <w:ilvl w:val="7"/>
        <w:numId w:val="40"/>
      </w:numPr>
    </w:pPr>
  </w:style>
  <w:style w:type="paragraph" w:customStyle="1" w:styleId="Point4letter">
    <w:name w:val="Point 4 (letter)"/>
    <w:basedOn w:val="Normal"/>
    <w:rsid w:val="009B7138"/>
    <w:pPr>
      <w:numPr>
        <w:ilvl w:val="8"/>
        <w:numId w:val="40"/>
      </w:numPr>
    </w:pPr>
  </w:style>
  <w:style w:type="paragraph" w:customStyle="1" w:styleId="Bullet0">
    <w:name w:val="Bullet 0"/>
    <w:basedOn w:val="Normal"/>
    <w:rsid w:val="009B7138"/>
    <w:pPr>
      <w:numPr>
        <w:numId w:val="41"/>
      </w:numPr>
    </w:pPr>
  </w:style>
  <w:style w:type="paragraph" w:customStyle="1" w:styleId="Bullet1">
    <w:name w:val="Bullet 1"/>
    <w:basedOn w:val="Normal"/>
    <w:rsid w:val="009B7138"/>
    <w:pPr>
      <w:numPr>
        <w:numId w:val="42"/>
      </w:numPr>
    </w:pPr>
  </w:style>
  <w:style w:type="paragraph" w:customStyle="1" w:styleId="Bullet2">
    <w:name w:val="Bullet 2"/>
    <w:basedOn w:val="Normal"/>
    <w:rsid w:val="009B7138"/>
    <w:pPr>
      <w:numPr>
        <w:numId w:val="43"/>
      </w:numPr>
    </w:pPr>
  </w:style>
  <w:style w:type="paragraph" w:customStyle="1" w:styleId="Bullet3">
    <w:name w:val="Bullet 3"/>
    <w:basedOn w:val="Normal"/>
    <w:rsid w:val="009B7138"/>
    <w:pPr>
      <w:numPr>
        <w:numId w:val="44"/>
      </w:numPr>
    </w:pPr>
  </w:style>
  <w:style w:type="paragraph" w:customStyle="1" w:styleId="Bullet4">
    <w:name w:val="Bullet 4"/>
    <w:basedOn w:val="Normal"/>
    <w:rsid w:val="009B7138"/>
    <w:pPr>
      <w:numPr>
        <w:numId w:val="4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F91C7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F91C7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F91C75"/>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F91C75"/>
    <w:pPr>
      <w:keepNext/>
      <w:tabs>
        <w:tab w:val="left" w:pos="1417"/>
      </w:tabs>
      <w:ind w:left="1417" w:hanging="1417"/>
      <w:outlineLvl w:val="4"/>
    </w:pPr>
  </w:style>
  <w:style w:type="paragraph" w:customStyle="1" w:styleId="ManualHeading6">
    <w:name w:val="Manual Heading 6"/>
    <w:basedOn w:val="Normal"/>
    <w:next w:val="Text2"/>
    <w:rsid w:val="00F91C75"/>
    <w:pPr>
      <w:keepNext/>
      <w:tabs>
        <w:tab w:val="left" w:pos="1417"/>
      </w:tabs>
      <w:ind w:left="1417" w:hanging="1417"/>
      <w:outlineLvl w:val="5"/>
    </w:pPr>
  </w:style>
  <w:style w:type="paragraph" w:customStyle="1" w:styleId="ManualHeading7">
    <w:name w:val="Manual Heading 7"/>
    <w:basedOn w:val="Normal"/>
    <w:next w:val="Text2"/>
    <w:rsid w:val="00F91C75"/>
    <w:pPr>
      <w:keepNext/>
      <w:tabs>
        <w:tab w:val="left" w:pos="1417"/>
      </w:tabs>
      <w:ind w:left="1417" w:hanging="1417"/>
      <w:outlineLvl w:val="6"/>
    </w:pPr>
  </w:style>
  <w:style w:type="paragraph" w:customStyle="1" w:styleId="Text5">
    <w:name w:val="Text 5"/>
    <w:basedOn w:val="Normal"/>
    <w:rsid w:val="00F91C75"/>
    <w:pPr>
      <w:ind w:left="3118"/>
    </w:pPr>
  </w:style>
  <w:style w:type="paragraph" w:customStyle="1" w:styleId="Text6">
    <w:name w:val="Text 6"/>
    <w:basedOn w:val="Normal"/>
    <w:rsid w:val="00F91C75"/>
    <w:pPr>
      <w:ind w:left="3685"/>
    </w:pPr>
  </w:style>
  <w:style w:type="paragraph" w:customStyle="1" w:styleId="Point5">
    <w:name w:val="Point 5"/>
    <w:basedOn w:val="Normal"/>
    <w:rsid w:val="00F91C75"/>
    <w:pPr>
      <w:ind w:left="3685" w:hanging="567"/>
    </w:pPr>
  </w:style>
  <w:style w:type="paragraph" w:customStyle="1" w:styleId="Tiret5">
    <w:name w:val="Tiret 5"/>
    <w:basedOn w:val="Point5"/>
    <w:rsid w:val="00F91C75"/>
    <w:pPr>
      <w:numPr>
        <w:numId w:val="50"/>
      </w:numPr>
    </w:pPr>
  </w:style>
  <w:style w:type="paragraph" w:customStyle="1" w:styleId="NumPar5">
    <w:name w:val="NumPar 5"/>
    <w:basedOn w:val="Normal"/>
    <w:next w:val="Text2"/>
    <w:rsid w:val="00F91C75"/>
    <w:pPr>
      <w:numPr>
        <w:ilvl w:val="4"/>
        <w:numId w:val="53"/>
      </w:numPr>
    </w:pPr>
  </w:style>
  <w:style w:type="paragraph" w:customStyle="1" w:styleId="NumPar6">
    <w:name w:val="NumPar 6"/>
    <w:basedOn w:val="Normal"/>
    <w:next w:val="Text2"/>
    <w:rsid w:val="00F91C75"/>
    <w:pPr>
      <w:numPr>
        <w:ilvl w:val="5"/>
        <w:numId w:val="53"/>
      </w:numPr>
    </w:pPr>
  </w:style>
  <w:style w:type="paragraph" w:customStyle="1" w:styleId="NumPar7">
    <w:name w:val="NumPar 7"/>
    <w:basedOn w:val="Normal"/>
    <w:next w:val="Text2"/>
    <w:rsid w:val="00F91C75"/>
    <w:pPr>
      <w:numPr>
        <w:ilvl w:val="6"/>
        <w:numId w:val="53"/>
      </w:numPr>
    </w:pPr>
  </w:style>
  <w:style w:type="paragraph" w:customStyle="1" w:styleId="ManualNumPar5">
    <w:name w:val="Manual NumPar 5"/>
    <w:basedOn w:val="Normal"/>
    <w:next w:val="Text2"/>
    <w:rsid w:val="00F91C75"/>
    <w:pPr>
      <w:ind w:left="1417" w:hanging="1417"/>
    </w:pPr>
  </w:style>
  <w:style w:type="paragraph" w:customStyle="1" w:styleId="ManualNumPar6">
    <w:name w:val="Manual NumPar 6"/>
    <w:basedOn w:val="Normal"/>
    <w:next w:val="Text2"/>
    <w:rsid w:val="00F91C75"/>
    <w:pPr>
      <w:ind w:left="1417" w:hanging="1417"/>
    </w:pPr>
  </w:style>
  <w:style w:type="paragraph" w:customStyle="1" w:styleId="ManualNumPar7">
    <w:name w:val="Manual NumPar 7"/>
    <w:basedOn w:val="Normal"/>
    <w:next w:val="Text2"/>
    <w:rsid w:val="00F91C75"/>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2512">
      <w:bodyDiv w:val="1"/>
      <w:marLeft w:val="0"/>
      <w:marRight w:val="0"/>
      <w:marTop w:val="0"/>
      <w:marBottom w:val="0"/>
      <w:divBdr>
        <w:top w:val="none" w:sz="0" w:space="0" w:color="auto"/>
        <w:left w:val="none" w:sz="0" w:space="0" w:color="auto"/>
        <w:bottom w:val="none" w:sz="0" w:space="0" w:color="auto"/>
        <w:right w:val="none" w:sz="0" w:space="0" w:color="auto"/>
      </w:divBdr>
    </w:div>
    <w:div w:id="54400929">
      <w:bodyDiv w:val="1"/>
      <w:marLeft w:val="0"/>
      <w:marRight w:val="0"/>
      <w:marTop w:val="0"/>
      <w:marBottom w:val="0"/>
      <w:divBdr>
        <w:top w:val="none" w:sz="0" w:space="0" w:color="auto"/>
        <w:left w:val="none" w:sz="0" w:space="0" w:color="auto"/>
        <w:bottom w:val="none" w:sz="0" w:space="0" w:color="auto"/>
        <w:right w:val="none" w:sz="0" w:space="0" w:color="auto"/>
      </w:divBdr>
    </w:div>
    <w:div w:id="118690639">
      <w:bodyDiv w:val="1"/>
      <w:marLeft w:val="0"/>
      <w:marRight w:val="0"/>
      <w:marTop w:val="0"/>
      <w:marBottom w:val="0"/>
      <w:divBdr>
        <w:top w:val="none" w:sz="0" w:space="0" w:color="auto"/>
        <w:left w:val="none" w:sz="0" w:space="0" w:color="auto"/>
        <w:bottom w:val="none" w:sz="0" w:space="0" w:color="auto"/>
        <w:right w:val="none" w:sz="0" w:space="0" w:color="auto"/>
      </w:divBdr>
    </w:div>
    <w:div w:id="169369355">
      <w:bodyDiv w:val="1"/>
      <w:marLeft w:val="0"/>
      <w:marRight w:val="0"/>
      <w:marTop w:val="0"/>
      <w:marBottom w:val="0"/>
      <w:divBdr>
        <w:top w:val="none" w:sz="0" w:space="0" w:color="auto"/>
        <w:left w:val="none" w:sz="0" w:space="0" w:color="auto"/>
        <w:bottom w:val="none" w:sz="0" w:space="0" w:color="auto"/>
        <w:right w:val="none" w:sz="0" w:space="0" w:color="auto"/>
      </w:divBdr>
    </w:div>
    <w:div w:id="301738421">
      <w:bodyDiv w:val="1"/>
      <w:marLeft w:val="0"/>
      <w:marRight w:val="0"/>
      <w:marTop w:val="0"/>
      <w:marBottom w:val="0"/>
      <w:divBdr>
        <w:top w:val="none" w:sz="0" w:space="0" w:color="auto"/>
        <w:left w:val="none" w:sz="0" w:space="0" w:color="auto"/>
        <w:bottom w:val="none" w:sz="0" w:space="0" w:color="auto"/>
        <w:right w:val="none" w:sz="0" w:space="0" w:color="auto"/>
      </w:divBdr>
    </w:div>
    <w:div w:id="561477786">
      <w:bodyDiv w:val="1"/>
      <w:marLeft w:val="0"/>
      <w:marRight w:val="0"/>
      <w:marTop w:val="0"/>
      <w:marBottom w:val="0"/>
      <w:divBdr>
        <w:top w:val="none" w:sz="0" w:space="0" w:color="auto"/>
        <w:left w:val="none" w:sz="0" w:space="0" w:color="auto"/>
        <w:bottom w:val="none" w:sz="0" w:space="0" w:color="auto"/>
        <w:right w:val="none" w:sz="0" w:space="0" w:color="auto"/>
      </w:divBdr>
    </w:div>
    <w:div w:id="628319818">
      <w:bodyDiv w:val="1"/>
      <w:marLeft w:val="0"/>
      <w:marRight w:val="0"/>
      <w:marTop w:val="0"/>
      <w:marBottom w:val="0"/>
      <w:divBdr>
        <w:top w:val="none" w:sz="0" w:space="0" w:color="auto"/>
        <w:left w:val="none" w:sz="0" w:space="0" w:color="auto"/>
        <w:bottom w:val="none" w:sz="0" w:space="0" w:color="auto"/>
        <w:right w:val="none" w:sz="0" w:space="0" w:color="auto"/>
      </w:divBdr>
    </w:div>
    <w:div w:id="653529825">
      <w:bodyDiv w:val="1"/>
      <w:marLeft w:val="0"/>
      <w:marRight w:val="0"/>
      <w:marTop w:val="0"/>
      <w:marBottom w:val="0"/>
      <w:divBdr>
        <w:top w:val="none" w:sz="0" w:space="0" w:color="auto"/>
        <w:left w:val="none" w:sz="0" w:space="0" w:color="auto"/>
        <w:bottom w:val="none" w:sz="0" w:space="0" w:color="auto"/>
        <w:right w:val="none" w:sz="0" w:space="0" w:color="auto"/>
      </w:divBdr>
    </w:div>
    <w:div w:id="726298361">
      <w:bodyDiv w:val="1"/>
      <w:marLeft w:val="0"/>
      <w:marRight w:val="0"/>
      <w:marTop w:val="0"/>
      <w:marBottom w:val="0"/>
      <w:divBdr>
        <w:top w:val="none" w:sz="0" w:space="0" w:color="auto"/>
        <w:left w:val="none" w:sz="0" w:space="0" w:color="auto"/>
        <w:bottom w:val="none" w:sz="0" w:space="0" w:color="auto"/>
        <w:right w:val="none" w:sz="0" w:space="0" w:color="auto"/>
      </w:divBdr>
    </w:div>
    <w:div w:id="765734711">
      <w:bodyDiv w:val="1"/>
      <w:marLeft w:val="0"/>
      <w:marRight w:val="0"/>
      <w:marTop w:val="0"/>
      <w:marBottom w:val="0"/>
      <w:divBdr>
        <w:top w:val="none" w:sz="0" w:space="0" w:color="auto"/>
        <w:left w:val="none" w:sz="0" w:space="0" w:color="auto"/>
        <w:bottom w:val="none" w:sz="0" w:space="0" w:color="auto"/>
        <w:right w:val="none" w:sz="0" w:space="0" w:color="auto"/>
      </w:divBdr>
    </w:div>
    <w:div w:id="784273489">
      <w:bodyDiv w:val="1"/>
      <w:marLeft w:val="0"/>
      <w:marRight w:val="0"/>
      <w:marTop w:val="0"/>
      <w:marBottom w:val="0"/>
      <w:divBdr>
        <w:top w:val="none" w:sz="0" w:space="0" w:color="auto"/>
        <w:left w:val="none" w:sz="0" w:space="0" w:color="auto"/>
        <w:bottom w:val="none" w:sz="0" w:space="0" w:color="auto"/>
        <w:right w:val="none" w:sz="0" w:space="0" w:color="auto"/>
      </w:divBdr>
    </w:div>
    <w:div w:id="839470705">
      <w:bodyDiv w:val="1"/>
      <w:marLeft w:val="0"/>
      <w:marRight w:val="0"/>
      <w:marTop w:val="0"/>
      <w:marBottom w:val="0"/>
      <w:divBdr>
        <w:top w:val="none" w:sz="0" w:space="0" w:color="auto"/>
        <w:left w:val="none" w:sz="0" w:space="0" w:color="auto"/>
        <w:bottom w:val="none" w:sz="0" w:space="0" w:color="auto"/>
        <w:right w:val="none" w:sz="0" w:space="0" w:color="auto"/>
      </w:divBdr>
    </w:div>
    <w:div w:id="963733670">
      <w:bodyDiv w:val="1"/>
      <w:marLeft w:val="0"/>
      <w:marRight w:val="0"/>
      <w:marTop w:val="0"/>
      <w:marBottom w:val="0"/>
      <w:divBdr>
        <w:top w:val="none" w:sz="0" w:space="0" w:color="auto"/>
        <w:left w:val="none" w:sz="0" w:space="0" w:color="auto"/>
        <w:bottom w:val="none" w:sz="0" w:space="0" w:color="auto"/>
        <w:right w:val="none" w:sz="0" w:space="0" w:color="auto"/>
      </w:divBdr>
    </w:div>
    <w:div w:id="1366247247">
      <w:bodyDiv w:val="1"/>
      <w:marLeft w:val="0"/>
      <w:marRight w:val="0"/>
      <w:marTop w:val="0"/>
      <w:marBottom w:val="0"/>
      <w:divBdr>
        <w:top w:val="none" w:sz="0" w:space="0" w:color="auto"/>
        <w:left w:val="none" w:sz="0" w:space="0" w:color="auto"/>
        <w:bottom w:val="none" w:sz="0" w:space="0" w:color="auto"/>
        <w:right w:val="none" w:sz="0" w:space="0" w:color="auto"/>
      </w:divBdr>
    </w:div>
    <w:div w:id="1535118657">
      <w:bodyDiv w:val="1"/>
      <w:marLeft w:val="0"/>
      <w:marRight w:val="0"/>
      <w:marTop w:val="0"/>
      <w:marBottom w:val="0"/>
      <w:divBdr>
        <w:top w:val="none" w:sz="0" w:space="0" w:color="auto"/>
        <w:left w:val="none" w:sz="0" w:space="0" w:color="auto"/>
        <w:bottom w:val="none" w:sz="0" w:space="0" w:color="auto"/>
        <w:right w:val="none" w:sz="0" w:space="0" w:color="auto"/>
      </w:divBdr>
    </w:div>
    <w:div w:id="1541280001">
      <w:bodyDiv w:val="1"/>
      <w:marLeft w:val="0"/>
      <w:marRight w:val="0"/>
      <w:marTop w:val="0"/>
      <w:marBottom w:val="0"/>
      <w:divBdr>
        <w:top w:val="none" w:sz="0" w:space="0" w:color="auto"/>
        <w:left w:val="none" w:sz="0" w:space="0" w:color="auto"/>
        <w:bottom w:val="none" w:sz="0" w:space="0" w:color="auto"/>
        <w:right w:val="none" w:sz="0" w:space="0" w:color="auto"/>
      </w:divBdr>
    </w:div>
    <w:div w:id="1607275580">
      <w:bodyDiv w:val="1"/>
      <w:marLeft w:val="0"/>
      <w:marRight w:val="0"/>
      <w:marTop w:val="0"/>
      <w:marBottom w:val="0"/>
      <w:divBdr>
        <w:top w:val="none" w:sz="0" w:space="0" w:color="auto"/>
        <w:left w:val="none" w:sz="0" w:space="0" w:color="auto"/>
        <w:bottom w:val="none" w:sz="0" w:space="0" w:color="auto"/>
        <w:right w:val="none" w:sz="0" w:space="0" w:color="auto"/>
      </w:divBdr>
    </w:div>
    <w:div w:id="1623070483">
      <w:bodyDiv w:val="1"/>
      <w:marLeft w:val="0"/>
      <w:marRight w:val="0"/>
      <w:marTop w:val="0"/>
      <w:marBottom w:val="0"/>
      <w:divBdr>
        <w:top w:val="none" w:sz="0" w:space="0" w:color="auto"/>
        <w:left w:val="none" w:sz="0" w:space="0" w:color="auto"/>
        <w:bottom w:val="none" w:sz="0" w:space="0" w:color="auto"/>
        <w:right w:val="none" w:sz="0" w:space="0" w:color="auto"/>
      </w:divBdr>
    </w:div>
    <w:div w:id="1818646617">
      <w:bodyDiv w:val="1"/>
      <w:marLeft w:val="0"/>
      <w:marRight w:val="0"/>
      <w:marTop w:val="0"/>
      <w:marBottom w:val="0"/>
      <w:divBdr>
        <w:top w:val="none" w:sz="0" w:space="0" w:color="auto"/>
        <w:left w:val="none" w:sz="0" w:space="0" w:color="auto"/>
        <w:bottom w:val="none" w:sz="0" w:space="0" w:color="auto"/>
        <w:right w:val="none" w:sz="0" w:space="0" w:color="auto"/>
      </w:divBdr>
    </w:div>
    <w:div w:id="1907761027">
      <w:bodyDiv w:val="1"/>
      <w:marLeft w:val="0"/>
      <w:marRight w:val="0"/>
      <w:marTop w:val="0"/>
      <w:marBottom w:val="0"/>
      <w:divBdr>
        <w:top w:val="none" w:sz="0" w:space="0" w:color="auto"/>
        <w:left w:val="none" w:sz="0" w:space="0" w:color="auto"/>
        <w:bottom w:val="none" w:sz="0" w:space="0" w:color="auto"/>
        <w:right w:val="none" w:sz="0" w:space="0" w:color="auto"/>
      </w:divBdr>
    </w:div>
    <w:div w:id="1961914968">
      <w:bodyDiv w:val="1"/>
      <w:marLeft w:val="0"/>
      <w:marRight w:val="0"/>
      <w:marTop w:val="0"/>
      <w:marBottom w:val="0"/>
      <w:divBdr>
        <w:top w:val="none" w:sz="0" w:space="0" w:color="auto"/>
        <w:left w:val="none" w:sz="0" w:space="0" w:color="auto"/>
        <w:bottom w:val="none" w:sz="0" w:space="0" w:color="auto"/>
        <w:right w:val="none" w:sz="0" w:space="0" w:color="auto"/>
      </w:divBdr>
    </w:div>
    <w:div w:id="1998729734">
      <w:bodyDiv w:val="1"/>
      <w:marLeft w:val="0"/>
      <w:marRight w:val="0"/>
      <w:marTop w:val="0"/>
      <w:marBottom w:val="0"/>
      <w:divBdr>
        <w:top w:val="none" w:sz="0" w:space="0" w:color="auto"/>
        <w:left w:val="none" w:sz="0" w:space="0" w:color="auto"/>
        <w:bottom w:val="none" w:sz="0" w:space="0" w:color="auto"/>
        <w:right w:val="none" w:sz="0" w:space="0" w:color="auto"/>
      </w:divBdr>
    </w:div>
    <w:div w:id="2051416499">
      <w:bodyDiv w:val="1"/>
      <w:marLeft w:val="0"/>
      <w:marRight w:val="0"/>
      <w:marTop w:val="0"/>
      <w:marBottom w:val="0"/>
      <w:divBdr>
        <w:top w:val="none" w:sz="0" w:space="0" w:color="auto"/>
        <w:left w:val="none" w:sz="0" w:space="0" w:color="auto"/>
        <w:bottom w:val="none" w:sz="0" w:space="0" w:color="auto"/>
        <w:right w:val="none" w:sz="0" w:space="0" w:color="auto"/>
      </w:divBdr>
    </w:div>
    <w:div w:id="2065789667">
      <w:bodyDiv w:val="1"/>
      <w:marLeft w:val="0"/>
      <w:marRight w:val="0"/>
      <w:marTop w:val="0"/>
      <w:marBottom w:val="0"/>
      <w:divBdr>
        <w:top w:val="none" w:sz="0" w:space="0" w:color="auto"/>
        <w:left w:val="none" w:sz="0" w:space="0" w:color="auto"/>
        <w:bottom w:val="none" w:sz="0" w:space="0" w:color="auto"/>
        <w:right w:val="none" w:sz="0" w:space="0" w:color="auto"/>
      </w:divBdr>
    </w:div>
    <w:div w:id="2112970796">
      <w:bodyDiv w:val="1"/>
      <w:marLeft w:val="0"/>
      <w:marRight w:val="0"/>
      <w:marTop w:val="0"/>
      <w:marBottom w:val="0"/>
      <w:divBdr>
        <w:top w:val="none" w:sz="0" w:space="0" w:color="auto"/>
        <w:left w:val="none" w:sz="0" w:space="0" w:color="auto"/>
        <w:bottom w:val="none" w:sz="0" w:space="0" w:color="auto"/>
        <w:right w:val="none" w:sz="0" w:space="0" w:color="auto"/>
      </w:divBdr>
    </w:div>
    <w:div w:id="21356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2614-EU-police-cooperation-code-tackling-cross-border-serious-&amp;-organised-crime/public-consulta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4A5BB1147864387727C8E50CF82ED" ma:contentTypeVersion="0" ma:contentTypeDescription="Create a new document." ma:contentTypeScope="" ma:versionID="598f7cf5ce70807436982e14c310a3e7">
  <xsd:schema xmlns:xsd="http://www.w3.org/2001/XMLSchema" xmlns:xs="http://www.w3.org/2001/XMLSchema" xmlns:p="http://schemas.microsoft.com/office/2006/metadata/properties" targetNamespace="http://schemas.microsoft.com/office/2006/metadata/properties" ma:root="true" ma:fieldsID="2506f4d399f376064f26344a9f6181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D6CA2E1-C740-4C87-B412-FFE32DC98792}">
  <ds:schemaRefs>
    <ds:schemaRef ds:uri="http://schemas.microsoft.com/sharepoint/v3/contenttype/forms"/>
  </ds:schemaRefs>
</ds:datastoreItem>
</file>

<file path=customXml/itemProps2.xml><?xml version="1.0" encoding="utf-8"?>
<ds:datastoreItem xmlns:ds="http://schemas.openxmlformats.org/officeDocument/2006/customXml" ds:itemID="{E3902B43-C1AF-4AC4-A6BD-74E45C8070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AB3F877-5C05-4F4D-BFE9-5346EA2E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311DD5-E07A-484F-8F32-F1741974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36</Pages>
  <Words>15123</Words>
  <Characters>84241</Characters>
  <Application>Microsoft Office Word</Application>
  <DocSecurity>0</DocSecurity>
  <Lines>1358</Lines>
  <Paragraphs>422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2021-11-16T12:56:00Z</cp:lastPrinted>
  <dcterms:created xsi:type="dcterms:W3CDTF">2021-11-30T17:01:00Z</dcterms:created>
  <dcterms:modified xsi:type="dcterms:W3CDTF">2021-12-06T19:25:00Z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0x010100BB74A5BB1147864387727C8E50CF82ED</vt:lpwstr>
  </property>
  <property fmtid="{D5CDD505-2E9C-101B-9397-08002B2CF9AE}" pid="11" name="IsMyDocuments">
    <vt:bool>true</vt:bool>
  </property>
  <property fmtid="{D5CDD505-2E9C-101B-9397-08002B2CF9AE}" pid="12" name="DQCStatus">
    <vt:lpwstr>Yellow (DQC version 03)</vt:lpwstr>
  </property>
</Properties>
</file>